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1259"/>
        </w:tabs>
        <w:spacing w:line="600" w:lineRule="exact"/>
        <w:ind w:firstLine="1440" w:firstLineChars="300"/>
        <w:jc w:val="both"/>
        <w:rPr>
          <w:rFonts w:ascii="黑体" w:hAnsi="黑体" w:eastAsia="黑体" w:cs="宋体"/>
          <w:sz w:val="48"/>
          <w:szCs w:val="48"/>
          <w:lang w:eastAsia="zh-CN"/>
        </w:rPr>
      </w:pPr>
      <w:r>
        <w:rPr>
          <w:rFonts w:hint="eastAsia" w:ascii="黑体" w:hAnsi="黑体" w:eastAsia="黑体" w:cs="宋体"/>
          <w:color w:val="231F20"/>
          <w:sz w:val="48"/>
          <w:szCs w:val="48"/>
          <w:lang w:eastAsia="zh-CN"/>
        </w:rPr>
        <w:t>洛阳市偃师区市场监督管理局</w:t>
      </w:r>
    </w:p>
    <w:p>
      <w:pPr>
        <w:spacing w:line="600" w:lineRule="exact"/>
        <w:ind w:firstLine="2880" w:firstLineChars="600"/>
        <w:jc w:val="both"/>
        <w:rPr>
          <w:rFonts w:ascii="黑体" w:hAnsi="黑体" w:eastAsia="黑体" w:cs="宋体"/>
          <w:sz w:val="48"/>
          <w:szCs w:val="48"/>
          <w:lang w:eastAsia="zh-CN"/>
        </w:rPr>
      </w:pPr>
      <w:r>
        <w:rPr>
          <w:rFonts w:hint="eastAsia" w:ascii="黑体" w:hAnsi="黑体" w:eastAsia="黑体" w:cs="宋体"/>
          <w:color w:val="231F20"/>
          <w:sz w:val="48"/>
          <w:szCs w:val="48"/>
          <w:lang w:eastAsia="zh-CN"/>
        </w:rPr>
        <w:t>行政处罚决定书</w:t>
      </w:r>
    </w:p>
    <w:p>
      <w:pPr>
        <w:pStyle w:val="3"/>
        <w:tabs>
          <w:tab w:val="left" w:pos="319"/>
          <w:tab w:val="left" w:pos="1486"/>
          <w:tab w:val="left" w:pos="2353"/>
          <w:tab w:val="left" w:pos="3199"/>
        </w:tabs>
        <w:spacing w:line="600" w:lineRule="exact"/>
        <w:ind w:firstLine="2700" w:firstLineChars="900"/>
        <w:jc w:val="both"/>
        <w:rPr>
          <w:rFonts w:ascii="宋体" w:hAnsi="宋体" w:eastAsia="宋体" w:cs="仿宋_GB2312"/>
          <w:color w:val="231F20"/>
          <w:sz w:val="30"/>
          <w:szCs w:val="30"/>
          <w:lang w:eastAsia="zh-CN"/>
        </w:rPr>
      </w:pPr>
      <w:r>
        <w:rPr>
          <w:rFonts w:hint="eastAsia" w:ascii="宋体" w:hAnsi="宋体" w:eastAsia="宋体" w:cs="仿宋_GB2312"/>
          <w:color w:val="231F20"/>
          <w:sz w:val="30"/>
          <w:szCs w:val="30"/>
          <w:lang w:eastAsia="zh-CN"/>
        </w:rPr>
        <w:t>偃市监处罚〔202</w:t>
      </w:r>
      <w:r>
        <w:rPr>
          <w:rFonts w:ascii="宋体" w:hAnsi="宋体" w:eastAsia="宋体" w:cs="仿宋_GB2312"/>
          <w:color w:val="231F20"/>
          <w:sz w:val="30"/>
          <w:szCs w:val="30"/>
          <w:lang w:eastAsia="zh-CN"/>
        </w:rPr>
        <w:t>4</w:t>
      </w:r>
      <w:r>
        <w:rPr>
          <w:rFonts w:hint="eastAsia" w:ascii="宋体" w:hAnsi="宋体" w:eastAsia="宋体" w:cs="仿宋_GB2312"/>
          <w:color w:val="231F20"/>
          <w:sz w:val="30"/>
          <w:szCs w:val="30"/>
          <w:lang w:eastAsia="zh-CN"/>
        </w:rPr>
        <w:t>〕25号</w:t>
      </w:r>
    </w:p>
    <w:p>
      <w:pPr>
        <w:pStyle w:val="3"/>
        <w:tabs>
          <w:tab w:val="left" w:pos="4440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 w:cs="仿宋"/>
          <w:color w:val="231F20"/>
          <w:lang w:eastAsia="zh-CN"/>
        </w:rPr>
      </w:pPr>
    </w:p>
    <w:p>
      <w:pPr>
        <w:pStyle w:val="3"/>
        <w:tabs>
          <w:tab w:val="left" w:pos="4440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 w:cs="仿宋"/>
          <w:color w:val="231F20"/>
          <w:lang w:eastAsia="zh-CN"/>
        </w:rPr>
      </w:pPr>
      <w:r>
        <w:rPr>
          <w:rFonts w:hint="eastAsia" w:ascii="仿宋" w:hAnsi="仿宋" w:eastAsia="仿宋" w:cs="仿宋"/>
          <w:color w:val="231F20"/>
          <w:lang w:eastAsia="zh-CN"/>
        </w:rPr>
        <w:t>当事人：偃师市邙岭乡西蔡庄益民药店</w:t>
      </w:r>
    </w:p>
    <w:p>
      <w:pPr>
        <w:pStyle w:val="3"/>
        <w:tabs>
          <w:tab w:val="left" w:pos="3785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 w:cs="仿宋_GB2312"/>
          <w:color w:val="000000"/>
          <w:lang w:eastAsia="zh-CN"/>
        </w:rPr>
      </w:pPr>
      <w:r>
        <w:rPr>
          <w:rFonts w:ascii="仿宋" w:hAnsi="仿宋" w:eastAsia="仿宋" w:cs="仿宋_GB2312"/>
          <w:color w:val="000000"/>
          <w:lang w:eastAsia="zh-CN"/>
        </w:rPr>
        <w:t>主体资格证照名称：</w:t>
      </w:r>
      <w:r>
        <w:rPr>
          <w:rFonts w:hint="eastAsia" w:ascii="仿宋" w:hAnsi="仿宋" w:eastAsia="仿宋" w:cs="仿宋_GB2312"/>
          <w:color w:val="000000"/>
          <w:lang w:eastAsia="zh-CN"/>
        </w:rPr>
        <w:t>《营业执照》</w:t>
      </w:r>
    </w:p>
    <w:p>
      <w:pPr>
        <w:pStyle w:val="3"/>
        <w:tabs>
          <w:tab w:val="left" w:pos="3785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_GB2312"/>
          <w:color w:val="000000"/>
          <w:lang w:eastAsia="zh-CN"/>
        </w:rPr>
        <w:t>统一社会信用代码：92410381MA41CGN35P</w:t>
      </w:r>
    </w:p>
    <w:p>
      <w:pPr>
        <w:pStyle w:val="3"/>
        <w:tabs>
          <w:tab w:val="left" w:pos="3785"/>
          <w:tab w:val="left" w:pos="8920"/>
        </w:tabs>
        <w:spacing w:line="600" w:lineRule="exact"/>
        <w:ind w:left="2240" w:right="118" w:hanging="2240" w:hangingChars="700"/>
        <w:jc w:val="both"/>
        <w:rPr>
          <w:rFonts w:ascii="仿宋" w:hAnsi="仿宋" w:eastAsia="仿宋" w:cs="仿宋"/>
          <w:lang w:eastAsia="zh-CN"/>
        </w:rPr>
      </w:pPr>
      <w:r>
        <w:rPr>
          <w:rFonts w:ascii="仿宋" w:hAnsi="仿宋" w:eastAsia="仿宋" w:cs="仿宋"/>
          <w:color w:val="231F20"/>
          <w:lang w:eastAsia="zh-CN"/>
        </w:rPr>
        <w:t>经营场所</w:t>
      </w:r>
      <w:r>
        <w:rPr>
          <w:rFonts w:hint="eastAsia" w:ascii="仿宋" w:hAnsi="仿宋" w:eastAsia="仿宋" w:cs="仿宋"/>
          <w:color w:val="231F20"/>
          <w:lang w:eastAsia="zh-CN"/>
        </w:rPr>
        <w:t>：邙岭乡西蔡庄村</w:t>
      </w:r>
    </w:p>
    <w:p>
      <w:pPr>
        <w:pStyle w:val="3"/>
        <w:tabs>
          <w:tab w:val="left" w:pos="3785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 w:cs="仿宋"/>
          <w:color w:val="000000"/>
          <w:lang w:eastAsia="zh-CN"/>
        </w:rPr>
      </w:pPr>
      <w:r>
        <w:rPr>
          <w:rFonts w:hint="eastAsia" w:ascii="仿宋" w:hAnsi="仿宋" w:eastAsia="仿宋" w:cs="仿宋"/>
          <w:color w:val="231F20"/>
          <w:lang w:eastAsia="zh-CN"/>
        </w:rPr>
        <w:t>经营者：鲍俊霞</w:t>
      </w:r>
    </w:p>
    <w:p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color w:val="000000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2024年2月23日，我局执法人员对当事人进行日常检查，抽查其经营的“阿莫西林胶囊、阿奇霉素颗粒”等处方药，发现其不能凭处方销售，我局执法人员当场责令其改正。2024年3月20日，我局执法人员对当事人再次进行检查，其仍未改正上述违法行为。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上述事实，主要有以下证据证明：</w:t>
      </w:r>
    </w:p>
    <w:p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1.《现场检查笔录》，证明我局对当事人的现场检查情况；</w:t>
      </w:r>
    </w:p>
    <w:p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2.《营业执照》复印件1份，证明当事人许可登记情况；</w:t>
      </w:r>
    </w:p>
    <w:p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3.《药品经营许可证》复印件1份，证明当事人药品经营情况；</w:t>
      </w:r>
    </w:p>
    <w:p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4.《调查笔录》，证明该单位处方药没有凭处方销售的有关情况；</w:t>
      </w:r>
    </w:p>
    <w:p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5.《偃师区市场监督管理局责令改正通知书》复印件，证明对该单位处方药没有凭处方销售的违法行为已于2024年2月23日责令其限期改正。</w:t>
      </w:r>
    </w:p>
    <w:p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color w:val="231F20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231F20"/>
          <w:sz w:val="32"/>
          <w:szCs w:val="32"/>
          <w:lang w:eastAsia="zh-CN"/>
        </w:rPr>
        <w:t>当事人</w:t>
      </w:r>
      <w:r>
        <w:rPr>
          <w:rFonts w:ascii="仿宋" w:hAnsi="仿宋" w:eastAsia="仿宋" w:cs="仿宋_GB2312"/>
          <w:color w:val="231F20"/>
          <w:sz w:val="32"/>
          <w:szCs w:val="32"/>
          <w:lang w:eastAsia="zh-CN"/>
        </w:rPr>
        <w:t>未按规定</w:t>
      </w:r>
      <w:r>
        <w:rPr>
          <w:rFonts w:hint="eastAsia" w:ascii="仿宋" w:hAnsi="仿宋" w:eastAsia="仿宋" w:cs="仿宋_GB2312"/>
          <w:color w:val="231F20"/>
          <w:sz w:val="32"/>
          <w:szCs w:val="32"/>
          <w:lang w:eastAsia="zh-CN"/>
        </w:rPr>
        <w:t>凭处方销售</w:t>
      </w:r>
      <w:r>
        <w:rPr>
          <w:rFonts w:ascii="仿宋" w:hAnsi="仿宋" w:eastAsia="仿宋" w:cs="仿宋_GB2312"/>
          <w:color w:val="231F20"/>
          <w:sz w:val="32"/>
          <w:szCs w:val="32"/>
          <w:lang w:eastAsia="zh-CN"/>
        </w:rPr>
        <w:t>处方药</w:t>
      </w:r>
      <w:r>
        <w:rPr>
          <w:rFonts w:hint="eastAsia" w:ascii="仿宋" w:hAnsi="仿宋" w:eastAsia="仿宋" w:cs="仿宋_GB2312"/>
          <w:color w:val="231F20"/>
          <w:sz w:val="32"/>
          <w:szCs w:val="32"/>
          <w:lang w:eastAsia="zh-CN"/>
        </w:rPr>
        <w:t>的行为违反了《药品经营和使用质量监督管理办法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</w:t>
      </w:r>
      <w:r>
        <w:rPr>
          <w:rFonts w:hint="eastAsia" w:ascii="仿宋" w:hAnsi="仿宋" w:eastAsia="仿宋" w:cs="仿宋_GB2312"/>
          <w:color w:val="231F20"/>
          <w:sz w:val="32"/>
          <w:szCs w:val="32"/>
          <w:lang w:eastAsia="zh-CN"/>
        </w:rPr>
        <w:t>第四十二</w:t>
      </w: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条第一款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药品零售企业应当遵守国家处方药与非处方药分类管理制度，按规定凭处方销售处方药，处方保留不少于五年。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_GB2312"/>
          <w:color w:val="231F20"/>
          <w:sz w:val="32"/>
          <w:szCs w:val="32"/>
          <w:lang w:eastAsia="zh-CN"/>
        </w:rPr>
        <w:t>的规定。</w:t>
      </w:r>
      <w:r>
        <w:rPr>
          <w:rFonts w:ascii="仿宋" w:hAnsi="仿宋" w:eastAsia="仿宋" w:cs="仿宋_GB2312"/>
          <w:color w:val="231F20"/>
          <w:sz w:val="32"/>
          <w:szCs w:val="32"/>
          <w:lang w:eastAsia="zh-CN"/>
        </w:rPr>
        <w:t>当事人的行为，鉴于没有造成危害后果，根据其违法的事实、性质、情节，可以依法对其从轻行政处罚。</w:t>
      </w:r>
    </w:p>
    <w:p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  <w:lang w:eastAsia="zh-CN"/>
        </w:rPr>
        <w:t>我局于2023年4月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29</w:t>
      </w:r>
      <w:r>
        <w:rPr>
          <w:rFonts w:ascii="仿宋" w:hAnsi="仿宋" w:eastAsia="仿宋" w:cs="仿宋_GB2312"/>
          <w:sz w:val="32"/>
          <w:szCs w:val="32"/>
          <w:lang w:eastAsia="zh-CN"/>
        </w:rPr>
        <w:t>日向当事人送达了《偃师区市场监督管理局行政处罚告知书》，告知当事人我局拟作出行政处罚决定的事实、理由、依据、内容以及当事人依法享有的陈述权、申辩权，当事人在法定期限内未提出陈述、申辩意见。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231F20"/>
          <w:sz w:val="32"/>
          <w:szCs w:val="32"/>
          <w:lang w:eastAsia="zh-CN"/>
        </w:rPr>
        <w:t>依据《药品经营和使用质量监督管理办法》第七十二条第一款 “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药品零售企业有以下情形之一的，由药品监督管理部门责令限期改正；逾期不改正的，处五千元以上五万元以下罚款；造成危害后果的，处五万元以上二十万元以下罚款：（一）未按规定凭处方销售处方药的；</w:t>
      </w:r>
      <w:r>
        <w:rPr>
          <w:rFonts w:hint="eastAsia" w:ascii="仿宋" w:hAnsi="仿宋" w:eastAsia="仿宋" w:cs="仿宋_GB2312"/>
          <w:color w:val="231F20"/>
          <w:sz w:val="32"/>
          <w:szCs w:val="32"/>
          <w:lang w:eastAsia="zh-CN"/>
        </w:rPr>
        <w:t>”的规定，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决定对</w:t>
      </w: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偃师市邙岭乡西蔡庄益民药店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处</w:t>
      </w: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7000元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罚款。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  <w:lang w:eastAsia="zh-CN"/>
        </w:rPr>
        <w:t>当事</w:t>
      </w:r>
      <w:r>
        <w:rPr>
          <w:rFonts w:ascii="仿宋" w:hAnsi="仿宋" w:eastAsia="仿宋" w:cs="仿宋"/>
          <w:sz w:val="32"/>
          <w:szCs w:val="32"/>
          <w:lang w:eastAsia="zh-CN"/>
        </w:rPr>
        <w:t>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</w:t>
      </w:r>
      <w:r>
        <w:rPr>
          <w:rFonts w:ascii="仿宋" w:hAnsi="仿宋" w:eastAsia="仿宋" w:cs="仿宋_GB2312"/>
          <w:sz w:val="32"/>
          <w:szCs w:val="32"/>
          <w:lang w:eastAsia="zh-CN"/>
        </w:rPr>
        <w:t>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）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  <w:lang w:eastAsia="zh-CN"/>
        </w:rPr>
        <w:t xml:space="preserve">根据《行政处罚法》第七十二条规定，当事人逾期不履行行政处罚决定的，本机关可以采取以下措施：（一）到期不缴纳罚款的，每日按罚款数额的百分之三加处罚款；（二）申请人民法院强制执行。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  <w:lang w:eastAsia="zh-CN"/>
        </w:rPr>
        <w:t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://xzfy.moj.gov.cn/）网站提交申请。行政复议或者行政诉讼期间，本行政处罚决定不停止执行。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 </w:t>
      </w:r>
    </w:p>
    <w:p>
      <w:pPr>
        <w:spacing w:line="540" w:lineRule="exact"/>
        <w:ind w:firstLine="3840" w:firstLineChars="1200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</w:p>
    <w:p>
      <w:pPr>
        <w:spacing w:line="540" w:lineRule="exact"/>
        <w:ind w:firstLine="3840" w:firstLineChars="1200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</w:p>
    <w:p>
      <w:pPr>
        <w:spacing w:line="540" w:lineRule="exact"/>
        <w:ind w:firstLine="3840" w:firstLineChars="1200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</w:p>
    <w:p>
      <w:pPr>
        <w:spacing w:line="540" w:lineRule="exact"/>
        <w:ind w:firstLine="3840" w:firstLineChars="1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洛阳市偃师区市场监督管理局</w:t>
      </w:r>
    </w:p>
    <w:p>
      <w:pPr>
        <w:spacing w:line="540" w:lineRule="exact"/>
        <w:ind w:firstLine="4800" w:firstLineChars="15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</w:p>
    <w:p>
      <w:pPr>
        <w:spacing w:line="540" w:lineRule="exact"/>
        <w:ind w:firstLine="4800" w:firstLineChars="15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202</w:t>
      </w:r>
      <w:r>
        <w:rPr>
          <w:rFonts w:ascii="仿宋" w:hAnsi="仿宋" w:eastAsia="仿宋" w:cs="仿宋_GB2312"/>
          <w:sz w:val="32"/>
          <w:szCs w:val="32"/>
          <w:lang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年6月24日</w:t>
      </w:r>
    </w:p>
    <w:p>
      <w:pPr>
        <w:spacing w:line="540" w:lineRule="exact"/>
        <w:ind w:firstLine="4800" w:firstLineChars="1500"/>
        <w:jc w:val="both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tabs>
          <w:tab w:val="left" w:pos="2440"/>
          <w:tab w:val="left" w:pos="8964"/>
        </w:tabs>
        <w:spacing w:line="600" w:lineRule="exact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（市场监督管理部门将依法向社会公示本行政处罚决定信息）</w:t>
      </w:r>
    </w:p>
    <w:p>
      <w:pPr>
        <w:tabs>
          <w:tab w:val="left" w:pos="2440"/>
          <w:tab w:val="left" w:pos="8964"/>
        </w:tabs>
        <w:spacing w:line="600" w:lineRule="exact"/>
        <w:ind w:firstLine="320" w:firstLineChars="100"/>
        <w:jc w:val="both"/>
        <w:rPr>
          <w:rFonts w:hint="eastAsia" w:ascii="仿宋" w:hAnsi="仿宋" w:eastAsia="仿宋" w:cs="仿宋_GB2312"/>
          <w:bCs/>
          <w:sz w:val="32"/>
          <w:szCs w:val="32"/>
          <w:lang w:eastAsia="zh-CN"/>
        </w:rPr>
      </w:pPr>
      <w:r>
        <w:rPr>
          <w:rFonts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121285</wp:posOffset>
                </wp:positionH>
                <wp:positionV relativeFrom="paragraph">
                  <wp:posOffset>37465</wp:posOffset>
                </wp:positionV>
                <wp:extent cx="5305425" cy="0"/>
                <wp:effectExtent l="0" t="6350" r="0" b="6350"/>
                <wp:wrapNone/>
                <wp:docPr id="3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425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9.55pt;margin-top:2.95pt;height:0pt;width:417.75pt;z-index:251659264;mso-width-relative:page;mso-height-relative:page;" filled="f" stroked="t" coordsize="21600,21600" o:gfxdata="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z6/y/VAAAABgEAAA8AAAAAAAAAAQAgAAAAIgAAAGRycy9kb3ducmV2LnhtbFBLAQIUABQA&#10;AAAIAIdO4kAFpIxx8wEAAOcDAAAOAAAAAAAAAAEAIAAAACQBAABkcnMvZTJvRG9jLnhtbFBLBQYA&#10;AAAABgAGAFkBAACJ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本文书一式三份，一份送达，一份归档，一份办案机构留存。</w:t>
      </w:r>
    </w:p>
    <w:sectPr>
      <w:footerReference r:id="rId3" w:type="default"/>
      <w:pgSz w:w="11905" w:h="16838"/>
      <w:pgMar w:top="1417" w:right="1417" w:bottom="1417" w:left="1417" w:header="0" w:footer="0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00055747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>
    <w:pPr>
      <w:spacing w:line="14" w:lineRule="auto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220"/>
  <w:drawingGridVerticalSpacing w:val="-7946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15616F"/>
    <w:rsid w:val="00016689"/>
    <w:rsid w:val="0015616F"/>
    <w:rsid w:val="001D6B6F"/>
    <w:rsid w:val="00210058"/>
    <w:rsid w:val="002422C5"/>
    <w:rsid w:val="002F2FA6"/>
    <w:rsid w:val="003D77FB"/>
    <w:rsid w:val="004211A7"/>
    <w:rsid w:val="00422FB5"/>
    <w:rsid w:val="00461248"/>
    <w:rsid w:val="00470C18"/>
    <w:rsid w:val="00490210"/>
    <w:rsid w:val="00533E8F"/>
    <w:rsid w:val="00570237"/>
    <w:rsid w:val="005714C6"/>
    <w:rsid w:val="0072094E"/>
    <w:rsid w:val="007F272E"/>
    <w:rsid w:val="007F2A28"/>
    <w:rsid w:val="00956576"/>
    <w:rsid w:val="009E0FAF"/>
    <w:rsid w:val="00C07C65"/>
    <w:rsid w:val="00C62430"/>
    <w:rsid w:val="00D842AC"/>
    <w:rsid w:val="00DD5BC9"/>
    <w:rsid w:val="00DF1A05"/>
    <w:rsid w:val="00E63FA6"/>
    <w:rsid w:val="00EF7B10"/>
    <w:rsid w:val="02064FFB"/>
    <w:rsid w:val="02DB675D"/>
    <w:rsid w:val="0F12795B"/>
    <w:rsid w:val="12B72FCD"/>
    <w:rsid w:val="14C56374"/>
    <w:rsid w:val="17854713"/>
    <w:rsid w:val="19792055"/>
    <w:rsid w:val="199221E1"/>
    <w:rsid w:val="1BCA4141"/>
    <w:rsid w:val="1FC87A64"/>
    <w:rsid w:val="21CE2F9B"/>
    <w:rsid w:val="227F4BB4"/>
    <w:rsid w:val="23330B07"/>
    <w:rsid w:val="2C887F11"/>
    <w:rsid w:val="2E1A575D"/>
    <w:rsid w:val="2E5779DB"/>
    <w:rsid w:val="2E586C8C"/>
    <w:rsid w:val="2FD51A6C"/>
    <w:rsid w:val="31DA4F33"/>
    <w:rsid w:val="340771B5"/>
    <w:rsid w:val="351548D3"/>
    <w:rsid w:val="3C94469A"/>
    <w:rsid w:val="3CAE656C"/>
    <w:rsid w:val="3D9832FE"/>
    <w:rsid w:val="444E386F"/>
    <w:rsid w:val="4615686A"/>
    <w:rsid w:val="47DA696D"/>
    <w:rsid w:val="4BE41998"/>
    <w:rsid w:val="50612CA7"/>
    <w:rsid w:val="56D97F48"/>
    <w:rsid w:val="5AAA2C0C"/>
    <w:rsid w:val="5C294C3A"/>
    <w:rsid w:val="60A8098C"/>
    <w:rsid w:val="632B0469"/>
    <w:rsid w:val="645F5A22"/>
    <w:rsid w:val="6B597DBA"/>
    <w:rsid w:val="6C506213"/>
    <w:rsid w:val="70373EE4"/>
    <w:rsid w:val="70EB1D57"/>
    <w:rsid w:val="71933375"/>
    <w:rsid w:val="71FD57F9"/>
    <w:rsid w:val="72FF5977"/>
    <w:rsid w:val="746137F6"/>
    <w:rsid w:val="750F0403"/>
    <w:rsid w:val="767E3BD5"/>
    <w:rsid w:val="7A227C11"/>
    <w:rsid w:val="7E4A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</w:pPr>
    <w:rPr>
      <w:rFonts w:ascii="Calibri" w:hAnsi="Calibri" w:eastAsia="Calibri" w:cs="黑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autoRedefine/>
    <w:qFormat/>
    <w:uiPriority w:val="1"/>
    <w:pPr>
      <w:outlineLvl w:val="0"/>
    </w:pPr>
    <w:rPr>
      <w:rFonts w:ascii="Arial Unicode MS" w:hAnsi="Arial Unicode MS" w:eastAsia="Arial Unicode MS"/>
      <w:sz w:val="42"/>
      <w:szCs w:val="4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pPr>
      <w:ind w:left="220"/>
    </w:pPr>
    <w:rPr>
      <w:rFonts w:ascii="Arial Unicode MS" w:hAnsi="Arial Unicode MS" w:eastAsia="Arial Unicode MS"/>
      <w:sz w:val="32"/>
      <w:szCs w:val="32"/>
    </w:rPr>
  </w:style>
  <w:style w:type="paragraph" w:styleId="4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Date"/>
    <w:basedOn w:val="1"/>
    <w:next w:val="1"/>
    <w:link w:val="15"/>
    <w:autoRedefine/>
    <w:qFormat/>
    <w:uiPriority w:val="0"/>
    <w:pPr>
      <w:ind w:left="100" w:leftChars="2500"/>
    </w:pPr>
  </w:style>
  <w:style w:type="paragraph" w:styleId="6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after="150"/>
    </w:pPr>
    <w:rPr>
      <w:sz w:val="24"/>
      <w:lang w:eastAsia="zh-CN"/>
    </w:rPr>
  </w:style>
  <w:style w:type="paragraph" w:styleId="9">
    <w:name w:val="Body Text First Indent 2"/>
    <w:basedOn w:val="4"/>
    <w:autoRedefine/>
    <w:qFormat/>
    <w:uiPriority w:val="0"/>
    <w:pPr>
      <w:ind w:firstLine="420" w:firstLineChars="200"/>
    </w:pPr>
  </w:style>
  <w:style w:type="paragraph" w:customStyle="1" w:styleId="12">
    <w:name w:val="Table Paragraph"/>
    <w:basedOn w:val="1"/>
    <w:autoRedefine/>
    <w:qFormat/>
    <w:uiPriority w:val="1"/>
  </w:style>
  <w:style w:type="paragraph" w:customStyle="1" w:styleId="13">
    <w:name w:val="列表段落1"/>
    <w:basedOn w:val="1"/>
    <w:autoRedefine/>
    <w:qFormat/>
    <w:uiPriority w:val="34"/>
    <w:pPr>
      <w:ind w:firstLine="420" w:firstLineChars="200"/>
      <w:jc w:val="both"/>
    </w:pPr>
    <w:rPr>
      <w:rFonts w:eastAsia="宋体"/>
      <w:kern w:val="2"/>
      <w:sz w:val="21"/>
      <w:lang w:eastAsia="zh-CN"/>
    </w:rPr>
  </w:style>
  <w:style w:type="paragraph" w:customStyle="1" w:styleId="14">
    <w:name w:val="列表段落11"/>
    <w:basedOn w:val="1"/>
    <w:autoRedefine/>
    <w:qFormat/>
    <w:uiPriority w:val="34"/>
    <w:pPr>
      <w:ind w:firstLine="420" w:firstLineChars="200"/>
      <w:jc w:val="both"/>
    </w:pPr>
    <w:rPr>
      <w:rFonts w:eastAsia="宋体"/>
      <w:kern w:val="2"/>
      <w:sz w:val="21"/>
      <w:lang w:eastAsia="zh-CN"/>
    </w:rPr>
  </w:style>
  <w:style w:type="character" w:customStyle="1" w:styleId="15">
    <w:name w:val="日期 字符"/>
    <w:basedOn w:val="11"/>
    <w:link w:val="5"/>
    <w:autoRedefine/>
    <w:qFormat/>
    <w:uiPriority w:val="0"/>
    <w:rPr>
      <w:rFonts w:ascii="Calibri" w:hAnsi="Calibri" w:eastAsia="Calibri" w:cs="黑体"/>
      <w:sz w:val="22"/>
      <w:szCs w:val="22"/>
      <w:lang w:eastAsia="en-US"/>
    </w:rPr>
  </w:style>
  <w:style w:type="character" w:customStyle="1" w:styleId="16">
    <w:name w:val="页脚 字符"/>
    <w:basedOn w:val="11"/>
    <w:link w:val="6"/>
    <w:autoRedefine/>
    <w:qFormat/>
    <w:uiPriority w:val="99"/>
    <w:rPr>
      <w:rFonts w:ascii="Calibri" w:hAnsi="Calibri" w:eastAsia="Calibri" w:cs="黑体"/>
      <w:sz w:val="18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164E39-5901-4FF0-B5D0-E203847AF3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1352</Words>
  <Characters>1566</Characters>
  <Lines>22</Lines>
  <Paragraphs>6</Paragraphs>
  <TotalTime>8</TotalTime>
  <ScaleCrop>false</ScaleCrop>
  <LinksUpToDate>false</LinksUpToDate>
  <CharactersWithSpaces>3131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2024-06-27T02:11:00Z</dcterms:created>
  <dc:creator>Administrator</dc:creator>
  <cp:lastModifiedBy>王建清</cp:lastModifiedBy>
  <cp:lastPrinted>2024-05-11T00:41:00Z</cp:lastPrinted>
  <dcterms:modified xsi:type="dcterms:W3CDTF">2024-07-31T09:12:12Z</dcterms:modified>
  <dc:title>偃师市市场监督管理局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51A9F62096E94F06AE36543D1908CFD9_13</vt:lpwstr>
  </property>
</Properties>
</file>