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BEE92">
      <w:pPr>
        <w:pStyle w:val="2"/>
        <w:tabs>
          <w:tab w:val="left" w:pos="1259"/>
        </w:tabs>
        <w:spacing w:line="600" w:lineRule="exact"/>
        <w:ind w:firstLine="1440" w:firstLineChars="300"/>
        <w:jc w:val="both"/>
        <w:rPr>
          <w:rFonts w:ascii="黑体" w:hAnsi="黑体" w:eastAsia="黑体" w:cs="宋体"/>
          <w:sz w:val="48"/>
          <w:szCs w:val="48"/>
          <w:lang w:eastAsia="zh-CN"/>
        </w:rPr>
      </w:pPr>
      <w:r>
        <w:rPr>
          <w:rFonts w:hint="eastAsia" w:ascii="黑体" w:hAnsi="黑体" w:eastAsia="黑体" w:cs="宋体"/>
          <w:color w:val="231F20"/>
          <w:sz w:val="48"/>
          <w:szCs w:val="48"/>
          <w:lang w:eastAsia="zh-CN"/>
        </w:rPr>
        <w:t>洛阳市偃师区市场监督管理局</w:t>
      </w:r>
    </w:p>
    <w:p w14:paraId="3ECC0CEA">
      <w:pPr>
        <w:spacing w:line="600" w:lineRule="exact"/>
        <w:ind w:firstLine="2880" w:firstLineChars="600"/>
        <w:jc w:val="both"/>
        <w:rPr>
          <w:rFonts w:ascii="黑体" w:hAnsi="黑体" w:eastAsia="黑体" w:cs="宋体"/>
          <w:sz w:val="48"/>
          <w:szCs w:val="48"/>
          <w:lang w:eastAsia="zh-CN"/>
        </w:rPr>
      </w:pPr>
      <w:r>
        <w:rPr>
          <w:rFonts w:hint="eastAsia" w:ascii="黑体" w:hAnsi="黑体" w:eastAsia="黑体" w:cs="宋体"/>
          <w:color w:val="231F20"/>
          <w:sz w:val="48"/>
          <w:szCs w:val="48"/>
          <w:lang w:eastAsia="zh-CN"/>
        </w:rPr>
        <w:t>行政处罚决定书</w:t>
      </w:r>
    </w:p>
    <w:p w14:paraId="3518377D">
      <w:pPr>
        <w:pStyle w:val="3"/>
        <w:tabs>
          <w:tab w:val="left" w:pos="319"/>
          <w:tab w:val="left" w:pos="1486"/>
          <w:tab w:val="left" w:pos="2353"/>
          <w:tab w:val="left" w:pos="3199"/>
        </w:tabs>
        <w:spacing w:line="600" w:lineRule="exact"/>
        <w:ind w:firstLine="2700" w:firstLineChars="900"/>
        <w:jc w:val="both"/>
        <w:rPr>
          <w:rFonts w:ascii="宋体" w:hAnsi="宋体" w:eastAsia="宋体" w:cs="仿宋_GB2312"/>
          <w:color w:val="231F20"/>
          <w:sz w:val="30"/>
          <w:szCs w:val="30"/>
          <w:lang w:eastAsia="zh-CN"/>
        </w:rPr>
      </w:pPr>
      <w:r>
        <w:rPr>
          <w:rFonts w:hint="eastAsia" w:ascii="宋体" w:hAnsi="宋体" w:eastAsia="宋体" w:cs="仿宋_GB2312"/>
          <w:color w:val="231F20"/>
          <w:sz w:val="30"/>
          <w:szCs w:val="30"/>
          <w:lang w:eastAsia="zh-CN"/>
        </w:rPr>
        <w:t>偃市监处罚〔202</w:t>
      </w:r>
      <w:r>
        <w:rPr>
          <w:rFonts w:ascii="宋体" w:hAnsi="宋体" w:eastAsia="宋体" w:cs="仿宋_GB2312"/>
          <w:color w:val="231F20"/>
          <w:sz w:val="30"/>
          <w:szCs w:val="30"/>
          <w:lang w:eastAsia="zh-CN"/>
        </w:rPr>
        <w:t>4</w:t>
      </w:r>
      <w:r>
        <w:rPr>
          <w:rFonts w:hint="eastAsia" w:ascii="宋体" w:hAnsi="宋体" w:eastAsia="宋体" w:cs="仿宋_GB2312"/>
          <w:color w:val="231F20"/>
          <w:sz w:val="30"/>
          <w:szCs w:val="30"/>
          <w:lang w:eastAsia="zh-CN"/>
        </w:rPr>
        <w:t>〕25号</w:t>
      </w:r>
    </w:p>
    <w:p w14:paraId="7D157F03">
      <w:pPr>
        <w:pStyle w:val="3"/>
        <w:tabs>
          <w:tab w:val="left" w:pos="4440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 w:cs="仿宋"/>
          <w:color w:val="231F20"/>
          <w:lang w:eastAsia="zh-CN"/>
        </w:rPr>
      </w:pPr>
    </w:p>
    <w:p w14:paraId="3CB696AB">
      <w:pPr>
        <w:pStyle w:val="3"/>
        <w:tabs>
          <w:tab w:val="left" w:pos="4440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 w:cs="仿宋"/>
          <w:color w:val="231F20"/>
          <w:lang w:eastAsia="zh-CN"/>
        </w:rPr>
      </w:pPr>
      <w:r>
        <w:rPr>
          <w:rFonts w:hint="eastAsia" w:ascii="仿宋" w:hAnsi="仿宋" w:eastAsia="仿宋" w:cs="仿宋"/>
          <w:color w:val="231F20"/>
          <w:lang w:eastAsia="zh-CN"/>
        </w:rPr>
        <w:t>当事人：偃师市邙岭乡西蔡庄益民药店</w:t>
      </w:r>
    </w:p>
    <w:p w14:paraId="43BEEC45">
      <w:pPr>
        <w:pStyle w:val="3"/>
        <w:tabs>
          <w:tab w:val="left" w:pos="3785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 w:cs="仿宋_GB2312"/>
          <w:color w:val="000000"/>
          <w:lang w:eastAsia="zh-CN"/>
        </w:rPr>
      </w:pPr>
      <w:r>
        <w:rPr>
          <w:rFonts w:ascii="仿宋" w:hAnsi="仿宋" w:eastAsia="仿宋" w:cs="仿宋_GB2312"/>
          <w:color w:val="000000"/>
          <w:lang w:eastAsia="zh-CN"/>
        </w:rPr>
        <w:t>主体资格证照名称：</w:t>
      </w:r>
      <w:r>
        <w:rPr>
          <w:rFonts w:hint="eastAsia" w:ascii="仿宋" w:hAnsi="仿宋" w:eastAsia="仿宋" w:cs="仿宋_GB2312"/>
          <w:color w:val="000000"/>
          <w:lang w:eastAsia="zh-CN"/>
        </w:rPr>
        <w:t>《营业执照》</w:t>
      </w:r>
    </w:p>
    <w:p w14:paraId="0E7AFE38">
      <w:pPr>
        <w:pStyle w:val="3"/>
        <w:tabs>
          <w:tab w:val="left" w:pos="3785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_GB2312"/>
          <w:color w:val="000000"/>
          <w:lang w:eastAsia="zh-CN"/>
        </w:rPr>
        <w:t>统一社会信用代码：92410381MA41CGN35P</w:t>
      </w:r>
    </w:p>
    <w:p w14:paraId="1F775415">
      <w:pPr>
        <w:pStyle w:val="3"/>
        <w:tabs>
          <w:tab w:val="left" w:pos="3785"/>
          <w:tab w:val="left" w:pos="8920"/>
        </w:tabs>
        <w:spacing w:line="600" w:lineRule="exact"/>
        <w:ind w:left="2240" w:right="118" w:hanging="2240" w:hangingChars="700"/>
        <w:jc w:val="both"/>
        <w:rPr>
          <w:rFonts w:ascii="仿宋" w:hAnsi="仿宋" w:eastAsia="仿宋" w:cs="仿宋"/>
          <w:lang w:eastAsia="zh-CN"/>
        </w:rPr>
      </w:pPr>
      <w:r>
        <w:rPr>
          <w:rFonts w:ascii="仿宋" w:hAnsi="仿宋" w:eastAsia="仿宋" w:cs="仿宋"/>
          <w:color w:val="231F20"/>
          <w:lang w:eastAsia="zh-CN"/>
        </w:rPr>
        <w:t>经营场所</w:t>
      </w:r>
      <w:r>
        <w:rPr>
          <w:rFonts w:hint="eastAsia" w:ascii="仿宋" w:hAnsi="仿宋" w:eastAsia="仿宋" w:cs="仿宋"/>
          <w:color w:val="231F20"/>
          <w:lang w:eastAsia="zh-CN"/>
        </w:rPr>
        <w:t>：邙岭乡西蔡庄村</w:t>
      </w:r>
    </w:p>
    <w:p w14:paraId="3FE163C6">
      <w:pPr>
        <w:pStyle w:val="3"/>
        <w:tabs>
          <w:tab w:val="left" w:pos="3785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 w:cs="仿宋"/>
          <w:color w:val="000000"/>
          <w:lang w:eastAsia="zh-CN"/>
        </w:rPr>
      </w:pPr>
      <w:r>
        <w:rPr>
          <w:rFonts w:hint="eastAsia" w:ascii="仿宋" w:hAnsi="仿宋" w:eastAsia="仿宋" w:cs="仿宋"/>
          <w:color w:val="231F20"/>
          <w:lang w:eastAsia="zh-CN"/>
        </w:rPr>
        <w:t>经营者：鲍俊霞</w:t>
      </w:r>
    </w:p>
    <w:p w14:paraId="34236658">
      <w:pPr>
        <w:tabs>
          <w:tab w:val="left" w:pos="2440"/>
          <w:tab w:val="left" w:pos="8964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color w:val="000000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2024年2月23日，我局执法人员对当事人进行日常检查，抽查其经营的“阿莫西林胶囊、阿奇霉素颗粒”等处方药，发现其不能凭处方销售，我局执法人员当场责令其改正。2024年3月20日，我局执法人员对当事人再次进行检查，其仍未改正上述违法行为。</w:t>
      </w:r>
    </w:p>
    <w:p w14:paraId="4D1A072C">
      <w:pPr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上述事实，主要有以下证据证明：</w:t>
      </w:r>
    </w:p>
    <w:p w14:paraId="7A920E94">
      <w:pPr>
        <w:tabs>
          <w:tab w:val="left" w:pos="2440"/>
          <w:tab w:val="left" w:pos="8964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1.《现场检查笔录》，证明我局对当事人的现场检查情况；</w:t>
      </w:r>
    </w:p>
    <w:p w14:paraId="50463DAC">
      <w:pPr>
        <w:tabs>
          <w:tab w:val="left" w:pos="2440"/>
          <w:tab w:val="left" w:pos="8964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2.《营业执照》复印件1份，证明当事人许可登记情况；</w:t>
      </w:r>
    </w:p>
    <w:p w14:paraId="31B8DDB5">
      <w:pPr>
        <w:tabs>
          <w:tab w:val="left" w:pos="2440"/>
          <w:tab w:val="left" w:pos="8964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3.《药品经营许可证》复印件1份，证明当事人药品经营情况；</w:t>
      </w:r>
    </w:p>
    <w:p w14:paraId="1C1E23A6">
      <w:pPr>
        <w:tabs>
          <w:tab w:val="left" w:pos="2440"/>
          <w:tab w:val="left" w:pos="8964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4.《调查笔录》，证明该单位处方药没有凭处方销售的有关情况；</w:t>
      </w:r>
    </w:p>
    <w:p w14:paraId="4B4A684D">
      <w:pPr>
        <w:tabs>
          <w:tab w:val="left" w:pos="2440"/>
          <w:tab w:val="left" w:pos="8964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5.《偃师区市场监督管理局责令改正通知书》复印件，证明对该单位处方药没有凭处方销售的违法行为已于2024年2月23日责令其限期改正。</w:t>
      </w:r>
    </w:p>
    <w:p w14:paraId="00903961">
      <w:pPr>
        <w:tabs>
          <w:tab w:val="left" w:pos="2440"/>
          <w:tab w:val="left" w:pos="8964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color w:val="231F20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color w:val="231F20"/>
          <w:sz w:val="32"/>
          <w:szCs w:val="32"/>
          <w:lang w:eastAsia="zh-CN"/>
        </w:rPr>
        <w:t>当事人</w:t>
      </w:r>
      <w:r>
        <w:rPr>
          <w:rFonts w:ascii="仿宋" w:hAnsi="仿宋" w:eastAsia="仿宋" w:cs="仿宋_GB2312"/>
          <w:color w:val="231F20"/>
          <w:sz w:val="32"/>
          <w:szCs w:val="32"/>
          <w:lang w:eastAsia="zh-CN"/>
        </w:rPr>
        <w:t>未按规定</w:t>
      </w:r>
      <w:r>
        <w:rPr>
          <w:rFonts w:hint="eastAsia" w:ascii="仿宋" w:hAnsi="仿宋" w:eastAsia="仿宋" w:cs="仿宋_GB2312"/>
          <w:color w:val="231F20"/>
          <w:sz w:val="32"/>
          <w:szCs w:val="32"/>
          <w:lang w:eastAsia="zh-CN"/>
        </w:rPr>
        <w:t>凭处方销售</w:t>
      </w:r>
      <w:r>
        <w:rPr>
          <w:rFonts w:ascii="仿宋" w:hAnsi="仿宋" w:eastAsia="仿宋" w:cs="仿宋_GB2312"/>
          <w:color w:val="231F20"/>
          <w:sz w:val="32"/>
          <w:szCs w:val="32"/>
          <w:lang w:eastAsia="zh-CN"/>
        </w:rPr>
        <w:t>处方药</w:t>
      </w:r>
      <w:r>
        <w:rPr>
          <w:rFonts w:hint="eastAsia" w:ascii="仿宋" w:hAnsi="仿宋" w:eastAsia="仿宋" w:cs="仿宋_GB2312"/>
          <w:color w:val="231F20"/>
          <w:sz w:val="32"/>
          <w:szCs w:val="32"/>
          <w:lang w:eastAsia="zh-CN"/>
        </w:rPr>
        <w:t>的行为违反了《药品经营和使用质量监督管理办法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》</w:t>
      </w:r>
      <w:r>
        <w:rPr>
          <w:rFonts w:hint="eastAsia" w:ascii="仿宋" w:hAnsi="仿宋" w:eastAsia="仿宋" w:cs="仿宋_GB2312"/>
          <w:color w:val="231F20"/>
          <w:sz w:val="32"/>
          <w:szCs w:val="32"/>
          <w:lang w:eastAsia="zh-CN"/>
        </w:rPr>
        <w:t>第四十二</w:t>
      </w: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条第一款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药品零售企业应当遵守国家处方药与非处方药分类管理制度，按规定凭处方销售处方药，处方保留不少于五年。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_GB2312"/>
          <w:color w:val="231F20"/>
          <w:sz w:val="32"/>
          <w:szCs w:val="32"/>
          <w:lang w:eastAsia="zh-CN"/>
        </w:rPr>
        <w:t>的规定。</w:t>
      </w:r>
      <w:r>
        <w:rPr>
          <w:rFonts w:ascii="仿宋" w:hAnsi="仿宋" w:eastAsia="仿宋" w:cs="仿宋_GB2312"/>
          <w:color w:val="231F20"/>
          <w:sz w:val="32"/>
          <w:szCs w:val="32"/>
          <w:lang w:eastAsia="zh-CN"/>
        </w:rPr>
        <w:t>当事人的行为，鉴于没有造成危害后果，根据其违法的事实、性质、情节，可以依法对其从轻行政处罚。</w:t>
      </w:r>
    </w:p>
    <w:p w14:paraId="37F5E4D4">
      <w:pPr>
        <w:tabs>
          <w:tab w:val="left" w:pos="2440"/>
          <w:tab w:val="left" w:pos="8964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ascii="仿宋" w:hAnsi="仿宋" w:eastAsia="仿宋" w:cs="仿宋_GB2312"/>
          <w:sz w:val="32"/>
          <w:szCs w:val="32"/>
          <w:lang w:eastAsia="zh-CN"/>
        </w:rPr>
        <w:t>我局于2023年4月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29</w:t>
      </w:r>
      <w:r>
        <w:rPr>
          <w:rFonts w:ascii="仿宋" w:hAnsi="仿宋" w:eastAsia="仿宋" w:cs="仿宋_GB2312"/>
          <w:sz w:val="32"/>
          <w:szCs w:val="32"/>
          <w:lang w:eastAsia="zh-CN"/>
        </w:rPr>
        <w:t>日向当事人送达了《偃师区市场监督管理局行政处罚告知书》，告知当事人我局拟作出行政处罚决定的事实、理由、依据、内容以及当事人依法享有的陈述权、申辩权，当事人在法定期限内未提出陈述、申辩意见。</w:t>
      </w:r>
    </w:p>
    <w:p w14:paraId="6F586165">
      <w:pPr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color w:val="231F20"/>
          <w:sz w:val="32"/>
          <w:szCs w:val="32"/>
          <w:lang w:eastAsia="zh-CN"/>
        </w:rPr>
        <w:t>依据《药品经营和使用质量监督管理办法》第七十二条第一款 “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药品零售企业有以下情形之一的，由药品监督管理部门责令限期改正；逾期不改正的，处五千元以上五万元以下罚款；造成危害后果的，处五万元以上二十万元以下罚款：（一）未按规定凭处方销售处方药的；</w:t>
      </w:r>
      <w:r>
        <w:rPr>
          <w:rFonts w:hint="eastAsia" w:ascii="仿宋" w:hAnsi="仿宋" w:eastAsia="仿宋" w:cs="仿宋_GB2312"/>
          <w:color w:val="231F20"/>
          <w:sz w:val="32"/>
          <w:szCs w:val="32"/>
          <w:lang w:eastAsia="zh-CN"/>
        </w:rPr>
        <w:t>”的规定，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决定对</w:t>
      </w: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偃师市邙岭乡西蔡庄益民药店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处</w:t>
      </w: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7000元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 xml:space="preserve">罚款。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C9D56D4">
      <w:pPr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ascii="仿宋" w:hAnsi="仿宋" w:eastAsia="仿宋" w:cs="仿宋_GB2312"/>
          <w:sz w:val="32"/>
          <w:szCs w:val="32"/>
          <w:lang w:eastAsia="zh-CN"/>
        </w:rPr>
        <w:t>当事</w:t>
      </w:r>
      <w:r>
        <w:rPr>
          <w:rFonts w:ascii="仿宋" w:hAnsi="仿宋" w:eastAsia="仿宋" w:cs="仿宋"/>
          <w:sz w:val="32"/>
          <w:szCs w:val="32"/>
          <w:lang w:eastAsia="zh-CN"/>
        </w:rPr>
        <w:t>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</w:t>
      </w:r>
      <w:r>
        <w:rPr>
          <w:rFonts w:ascii="仿宋" w:hAnsi="仿宋" w:eastAsia="仿宋" w:cs="仿宋_GB2312"/>
          <w:sz w:val="32"/>
          <w:szCs w:val="32"/>
          <w:lang w:eastAsia="zh-CN"/>
        </w:rPr>
        <w:t>56581。4.农商银行偃师营业部，户名：洛阳市偃师区财政局财政专户，账号：00000005583396678012。5.建设银行偃师支行，户名：洛阳市偃师区财政局财政专户，账号：41001591110058000003。6.中原银行偃师市支行，户名：洛阳市偃师区财政局财政专户，账号：671610090000000753。7.邮储银行偃师市支行，户名：洛阳市偃师区财政局财政专户，账号：100216664840019999。）</w:t>
      </w:r>
    </w:p>
    <w:p w14:paraId="2B18D5AA">
      <w:pPr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ascii="仿宋" w:hAnsi="仿宋" w:eastAsia="仿宋" w:cs="仿宋_GB2312"/>
          <w:sz w:val="32"/>
          <w:szCs w:val="32"/>
          <w:lang w:eastAsia="zh-CN"/>
        </w:rPr>
        <w:t xml:space="preserve">根据《行政处罚法》第七十二条规定，当事人逾期不履行行政处罚决定的，本机关可以采取以下措施：（一）到期不缴纳罚款的，每日按罚款数额的百分之三加处罚款；（二）申请人民法院强制执行。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</w:p>
    <w:p w14:paraId="72C99BA5">
      <w:pPr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ascii="仿宋" w:hAnsi="仿宋" w:eastAsia="仿宋" w:cs="仿宋_GB2312"/>
          <w:sz w:val="32"/>
          <w:szCs w:val="32"/>
          <w:lang w:eastAsia="zh-CN"/>
        </w:rPr>
        <w:t>如不服本处罚决定，可自接文之日起六十日内向洛阳市偃师区人民政府申请复议，也可于接文之日起六个月内向洛阳市偃师区人民法院提起诉讼。如果需要通过互联网渠道申请行政复议，可以通过行政复议服务平台（https://xzfy.moj.gov.cn/）网站提交申请。行政复议或者行政诉讼期间，本行政处罚决定不停止执行。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 xml:space="preserve"> </w:t>
      </w:r>
    </w:p>
    <w:p w14:paraId="30E32AFC">
      <w:pPr>
        <w:spacing w:line="540" w:lineRule="exact"/>
        <w:ind w:firstLine="3840" w:firstLineChars="1200"/>
        <w:jc w:val="both"/>
        <w:rPr>
          <w:rFonts w:ascii="仿宋" w:hAnsi="仿宋" w:eastAsia="仿宋" w:cs="仿宋_GB2312"/>
          <w:bCs/>
          <w:sz w:val="32"/>
          <w:szCs w:val="32"/>
          <w:lang w:eastAsia="zh-CN"/>
        </w:rPr>
      </w:pPr>
    </w:p>
    <w:p w14:paraId="6E2AAAA2">
      <w:pPr>
        <w:spacing w:line="540" w:lineRule="exact"/>
        <w:ind w:firstLine="3840" w:firstLineChars="1200"/>
        <w:jc w:val="both"/>
        <w:rPr>
          <w:rFonts w:ascii="仿宋" w:hAnsi="仿宋" w:eastAsia="仿宋" w:cs="仿宋_GB2312"/>
          <w:bCs/>
          <w:sz w:val="32"/>
          <w:szCs w:val="32"/>
          <w:lang w:eastAsia="zh-CN"/>
        </w:rPr>
      </w:pPr>
    </w:p>
    <w:p w14:paraId="5513F09C">
      <w:pPr>
        <w:spacing w:line="540" w:lineRule="exact"/>
        <w:ind w:firstLine="3840" w:firstLineChars="1200"/>
        <w:jc w:val="both"/>
        <w:rPr>
          <w:rFonts w:ascii="仿宋" w:hAnsi="仿宋" w:eastAsia="仿宋" w:cs="仿宋_GB2312"/>
          <w:bCs/>
          <w:sz w:val="32"/>
          <w:szCs w:val="32"/>
          <w:lang w:eastAsia="zh-CN"/>
        </w:rPr>
      </w:pPr>
    </w:p>
    <w:p w14:paraId="3B64EE52">
      <w:pPr>
        <w:spacing w:line="540" w:lineRule="exact"/>
        <w:ind w:firstLine="3840" w:firstLineChars="1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洛阳市偃师区市场监督管理局</w:t>
      </w:r>
    </w:p>
    <w:p w14:paraId="6BAEC16A">
      <w:pPr>
        <w:spacing w:line="540" w:lineRule="exact"/>
        <w:ind w:firstLine="4800" w:firstLineChars="15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</w:p>
    <w:p w14:paraId="2A17907D">
      <w:pPr>
        <w:spacing w:line="540" w:lineRule="exact"/>
        <w:ind w:firstLine="4800" w:firstLineChars="15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202</w:t>
      </w:r>
      <w:r>
        <w:rPr>
          <w:rFonts w:ascii="仿宋" w:hAnsi="仿宋" w:eastAsia="仿宋" w:cs="仿宋_GB2312"/>
          <w:sz w:val="32"/>
          <w:szCs w:val="32"/>
          <w:lang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年6月24日</w:t>
      </w:r>
    </w:p>
    <w:p w14:paraId="4E63352C">
      <w:pPr>
        <w:spacing w:line="540" w:lineRule="exact"/>
        <w:ind w:firstLine="4800" w:firstLineChars="1500"/>
        <w:jc w:val="both"/>
        <w:rPr>
          <w:rFonts w:hint="eastAsia" w:ascii="仿宋" w:hAnsi="仿宋" w:eastAsia="仿宋"/>
          <w:sz w:val="32"/>
          <w:szCs w:val="32"/>
          <w:lang w:eastAsia="zh-CN"/>
        </w:rPr>
      </w:pPr>
    </w:p>
    <w:p w14:paraId="650ED6F0">
      <w:pPr>
        <w:tabs>
          <w:tab w:val="left" w:pos="2440"/>
          <w:tab w:val="left" w:pos="8964"/>
        </w:tabs>
        <w:spacing w:line="600" w:lineRule="exact"/>
        <w:jc w:val="both"/>
        <w:rPr>
          <w:rFonts w:ascii="仿宋" w:hAnsi="仿宋" w:eastAsia="仿宋" w:cs="仿宋_GB2312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（市场监督管理部门将依法向社会公示本行政处罚决定信息）</w:t>
      </w:r>
    </w:p>
    <w:p w14:paraId="6A500E11">
      <w:pPr>
        <w:tabs>
          <w:tab w:val="left" w:pos="2440"/>
          <w:tab w:val="left" w:pos="8964"/>
        </w:tabs>
        <w:spacing w:line="600" w:lineRule="exact"/>
        <w:ind w:firstLine="320" w:firstLineChars="100"/>
        <w:jc w:val="both"/>
        <w:rPr>
          <w:rFonts w:hint="eastAsia" w:ascii="仿宋" w:hAnsi="仿宋" w:eastAsia="仿宋" w:cs="仿宋_GB2312"/>
          <w:bCs/>
          <w:sz w:val="32"/>
          <w:szCs w:val="32"/>
          <w:lang w:eastAsia="zh-CN"/>
        </w:rPr>
      </w:pPr>
      <w:r>
        <w:rPr>
          <w:rFonts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121285</wp:posOffset>
                </wp:positionH>
                <wp:positionV relativeFrom="paragraph">
                  <wp:posOffset>37465</wp:posOffset>
                </wp:positionV>
                <wp:extent cx="5305425" cy="0"/>
                <wp:effectExtent l="0" t="6350" r="0" b="6350"/>
                <wp:wrapNone/>
                <wp:docPr id="3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425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9.55pt;margin-top:2.95pt;height:0pt;width:417.75pt;z-index:251659264;mso-width-relative:page;mso-height-relative:page;" filled="f" stroked="t" coordsize="21600,21600" o:gfxdata="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z6/y/VAAAABgEAAA8AAAAAAAAAAQAgAAAAIgAAAGRycy9kb3ducmV2LnhtbFBLAQIUABQA&#10;AAAIAIdO4kAFpIxx8wEAAOcDAAAOAAAAAAAAAAEAIAAAACQBAABkcnMvZTJvRG9jLnhtbFBLBQYA&#10;AAAABgAGAFkBAACJBQAAAAA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本文书一式三份，一份送达，一份归档，一份办案机构留存。</w:t>
      </w:r>
    </w:p>
    <w:sectPr>
      <w:footerReference r:id="rId3" w:type="default"/>
      <w:pgSz w:w="11905" w:h="16838"/>
      <w:pgMar w:top="1417" w:right="1417" w:bottom="1417" w:left="1417" w:header="0" w:footer="0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00055747"/>
    </w:sdtPr>
    <w:sdtContent>
      <w:p w14:paraId="415FEA0B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17A271CE">
    <w:pPr>
      <w:spacing w:line="14" w:lineRule="auto"/>
      <w:rPr>
        <w:sz w:val="20"/>
        <w:szCs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220"/>
  <w:drawingGridVerticalSpacing w:val="-7946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0015616F"/>
    <w:rsid w:val="00016689"/>
    <w:rsid w:val="0015616F"/>
    <w:rsid w:val="001D6B6F"/>
    <w:rsid w:val="00210058"/>
    <w:rsid w:val="002422C5"/>
    <w:rsid w:val="002F2FA6"/>
    <w:rsid w:val="003D77FB"/>
    <w:rsid w:val="004211A7"/>
    <w:rsid w:val="00422FB5"/>
    <w:rsid w:val="00461248"/>
    <w:rsid w:val="00470C18"/>
    <w:rsid w:val="00490210"/>
    <w:rsid w:val="00533E8F"/>
    <w:rsid w:val="00570237"/>
    <w:rsid w:val="0072094E"/>
    <w:rsid w:val="007F272E"/>
    <w:rsid w:val="007F2A28"/>
    <w:rsid w:val="00956576"/>
    <w:rsid w:val="009E0FAF"/>
    <w:rsid w:val="00C07C65"/>
    <w:rsid w:val="00C62430"/>
    <w:rsid w:val="00D842AC"/>
    <w:rsid w:val="00DD5BC9"/>
    <w:rsid w:val="00DF1A05"/>
    <w:rsid w:val="00E63FA6"/>
    <w:rsid w:val="00EF7B10"/>
    <w:rsid w:val="02064FFB"/>
    <w:rsid w:val="02DB675D"/>
    <w:rsid w:val="0F12795B"/>
    <w:rsid w:val="12B72FCD"/>
    <w:rsid w:val="14C56374"/>
    <w:rsid w:val="17854713"/>
    <w:rsid w:val="199221E1"/>
    <w:rsid w:val="1BCA4141"/>
    <w:rsid w:val="1FC87A64"/>
    <w:rsid w:val="21CE2F9B"/>
    <w:rsid w:val="227F4BB4"/>
    <w:rsid w:val="23330B07"/>
    <w:rsid w:val="2C887F11"/>
    <w:rsid w:val="2E5779DB"/>
    <w:rsid w:val="2E586C8C"/>
    <w:rsid w:val="2FD51A6C"/>
    <w:rsid w:val="31DA4F33"/>
    <w:rsid w:val="340771B5"/>
    <w:rsid w:val="351548D3"/>
    <w:rsid w:val="3C94469A"/>
    <w:rsid w:val="3CAE656C"/>
    <w:rsid w:val="3D9832FE"/>
    <w:rsid w:val="444E386F"/>
    <w:rsid w:val="4615686A"/>
    <w:rsid w:val="47DA696D"/>
    <w:rsid w:val="4A9063C1"/>
    <w:rsid w:val="4BE41998"/>
    <w:rsid w:val="50044053"/>
    <w:rsid w:val="50612CA7"/>
    <w:rsid w:val="56D97F48"/>
    <w:rsid w:val="60A8098C"/>
    <w:rsid w:val="632B0469"/>
    <w:rsid w:val="645F5A22"/>
    <w:rsid w:val="6B597DBA"/>
    <w:rsid w:val="6C506213"/>
    <w:rsid w:val="70373EE4"/>
    <w:rsid w:val="70EB1D57"/>
    <w:rsid w:val="71933375"/>
    <w:rsid w:val="71FD57F9"/>
    <w:rsid w:val="72FF5977"/>
    <w:rsid w:val="746137F6"/>
    <w:rsid w:val="750F0403"/>
    <w:rsid w:val="767E3BD5"/>
    <w:rsid w:val="7A227C11"/>
    <w:rsid w:val="7E4A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</w:pPr>
    <w:rPr>
      <w:rFonts w:ascii="Calibri" w:hAnsi="Calibri" w:eastAsia="Calibri" w:cs="黑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autoRedefine/>
    <w:qFormat/>
    <w:uiPriority w:val="1"/>
    <w:pPr>
      <w:outlineLvl w:val="0"/>
    </w:pPr>
    <w:rPr>
      <w:rFonts w:ascii="Arial Unicode MS" w:hAnsi="Arial Unicode MS" w:eastAsia="Arial Unicode MS"/>
      <w:sz w:val="42"/>
      <w:szCs w:val="4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pPr>
      <w:ind w:left="220"/>
    </w:pPr>
    <w:rPr>
      <w:rFonts w:ascii="Arial Unicode MS" w:hAnsi="Arial Unicode MS" w:eastAsia="Arial Unicode MS"/>
      <w:sz w:val="32"/>
      <w:szCs w:val="32"/>
    </w:rPr>
  </w:style>
  <w:style w:type="paragraph" w:styleId="4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Date"/>
    <w:basedOn w:val="1"/>
    <w:next w:val="1"/>
    <w:link w:val="15"/>
    <w:autoRedefine/>
    <w:qFormat/>
    <w:uiPriority w:val="0"/>
    <w:pPr>
      <w:ind w:left="100" w:leftChars="2500"/>
    </w:pPr>
  </w:style>
  <w:style w:type="paragraph" w:styleId="6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8">
    <w:name w:val="Normal (Web)"/>
    <w:basedOn w:val="1"/>
    <w:autoRedefine/>
    <w:qFormat/>
    <w:uiPriority w:val="0"/>
    <w:pPr>
      <w:spacing w:after="150"/>
    </w:pPr>
    <w:rPr>
      <w:sz w:val="24"/>
      <w:lang w:eastAsia="zh-CN"/>
    </w:rPr>
  </w:style>
  <w:style w:type="paragraph" w:styleId="9">
    <w:name w:val="Body Text First Indent 2"/>
    <w:basedOn w:val="4"/>
    <w:autoRedefine/>
    <w:qFormat/>
    <w:uiPriority w:val="0"/>
    <w:pPr>
      <w:ind w:firstLine="420" w:firstLineChars="200"/>
    </w:pPr>
  </w:style>
  <w:style w:type="paragraph" w:customStyle="1" w:styleId="12">
    <w:name w:val="Table Paragraph"/>
    <w:basedOn w:val="1"/>
    <w:autoRedefine/>
    <w:qFormat/>
    <w:uiPriority w:val="1"/>
  </w:style>
  <w:style w:type="paragraph" w:customStyle="1" w:styleId="13">
    <w:name w:val="列表段落1"/>
    <w:basedOn w:val="1"/>
    <w:autoRedefine/>
    <w:qFormat/>
    <w:uiPriority w:val="34"/>
    <w:pPr>
      <w:ind w:firstLine="420" w:firstLineChars="200"/>
      <w:jc w:val="both"/>
    </w:pPr>
    <w:rPr>
      <w:rFonts w:eastAsia="宋体"/>
      <w:kern w:val="2"/>
      <w:sz w:val="21"/>
      <w:lang w:eastAsia="zh-CN"/>
    </w:rPr>
  </w:style>
  <w:style w:type="paragraph" w:customStyle="1" w:styleId="14">
    <w:name w:val="列表段落11"/>
    <w:basedOn w:val="1"/>
    <w:autoRedefine/>
    <w:qFormat/>
    <w:uiPriority w:val="34"/>
    <w:pPr>
      <w:ind w:firstLine="420" w:firstLineChars="200"/>
      <w:jc w:val="both"/>
    </w:pPr>
    <w:rPr>
      <w:rFonts w:eastAsia="宋体"/>
      <w:kern w:val="2"/>
      <w:sz w:val="21"/>
      <w:lang w:eastAsia="zh-CN"/>
    </w:rPr>
  </w:style>
  <w:style w:type="character" w:customStyle="1" w:styleId="15">
    <w:name w:val="日期 字符"/>
    <w:basedOn w:val="11"/>
    <w:link w:val="5"/>
    <w:autoRedefine/>
    <w:qFormat/>
    <w:uiPriority w:val="0"/>
    <w:rPr>
      <w:rFonts w:ascii="Calibri" w:hAnsi="Calibri" w:eastAsia="Calibri" w:cs="黑体"/>
      <w:sz w:val="22"/>
      <w:szCs w:val="22"/>
      <w:lang w:eastAsia="en-US"/>
    </w:rPr>
  </w:style>
  <w:style w:type="character" w:customStyle="1" w:styleId="16">
    <w:name w:val="页脚 字符"/>
    <w:basedOn w:val="11"/>
    <w:link w:val="6"/>
    <w:autoRedefine/>
    <w:qFormat/>
    <w:uiPriority w:val="99"/>
    <w:rPr>
      <w:rFonts w:ascii="Calibri" w:hAnsi="Calibri" w:eastAsia="Calibri" w:cs="黑体"/>
      <w:sz w:val="18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164E39-5901-4FF0-B5D0-E203847AF3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1352</Words>
  <Characters>1566</Characters>
  <Lines>22</Lines>
  <Paragraphs>6</Paragraphs>
  <TotalTime>8</TotalTime>
  <ScaleCrop>false</ScaleCrop>
  <LinksUpToDate>false</LinksUpToDate>
  <CharactersWithSpaces>3131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2024-06-27T02:11:00Z</dcterms:created>
  <dc:creator>Administrator</dc:creator>
  <cp:lastModifiedBy>王建清</cp:lastModifiedBy>
  <cp:lastPrinted>2024-05-11T00:41:00Z</cp:lastPrinted>
  <dcterms:modified xsi:type="dcterms:W3CDTF">2024-08-28T07:02:59Z</dcterms:modified>
  <dc:title>偃师市市场监督管理局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4CBDE69B0CD14CBEA49C4B8FB268C812_13</vt:lpwstr>
  </property>
</Properties>
</file>