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5EB8D">
      <w:pPr>
        <w:spacing w:line="600" w:lineRule="exact"/>
        <w:ind w:firstLine="1440" w:firstLineChars="300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洛阳市偃师区市场监督管理局</w:t>
      </w:r>
    </w:p>
    <w:p w14:paraId="504A5112">
      <w:pPr>
        <w:spacing w:line="600" w:lineRule="exact"/>
        <w:ind w:firstLine="2880" w:firstLineChars="600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行政处罚决定书</w:t>
      </w:r>
    </w:p>
    <w:p w14:paraId="4E14F901">
      <w:pPr>
        <w:spacing w:line="600" w:lineRule="exact"/>
        <w:ind w:firstLine="2400" w:firstLineChars="8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偃市监处罚〔</w:t>
      </w:r>
      <w:r>
        <w:rPr>
          <w:rFonts w:ascii="宋体" w:hAnsi="宋体" w:eastAsia="宋体"/>
          <w:sz w:val="30"/>
          <w:szCs w:val="30"/>
        </w:rPr>
        <w:t>202</w:t>
      </w: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〕</w:t>
      </w:r>
      <w:r>
        <w:rPr>
          <w:rFonts w:hint="eastAsia" w:ascii="宋体" w:hAnsi="宋体" w:eastAsia="宋体"/>
          <w:sz w:val="30"/>
          <w:szCs w:val="30"/>
        </w:rPr>
        <w:t>2023186</w:t>
      </w:r>
      <w:r>
        <w:rPr>
          <w:rFonts w:ascii="宋体" w:hAnsi="宋体" w:eastAsia="宋体"/>
          <w:sz w:val="30"/>
          <w:szCs w:val="30"/>
        </w:rPr>
        <w:t>号</w:t>
      </w:r>
    </w:p>
    <w:p w14:paraId="15A1708F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6D67E594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当事人：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洛阳市偃师区雪琴餐饮店</w:t>
      </w:r>
    </w:p>
    <w:p w14:paraId="45DF517B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主体资格证照名称：营业执照</w:t>
      </w:r>
    </w:p>
    <w:p w14:paraId="2345B91F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统一社会信用代码：</w:t>
      </w:r>
      <w:r>
        <w:rPr>
          <w:rFonts w:ascii="仿宋" w:hAnsi="仿宋" w:eastAsia="仿宋" w:cs="仿宋"/>
          <w:color w:val="221E1F"/>
          <w:sz w:val="32"/>
          <w:szCs w:val="32"/>
        </w:rPr>
        <w:t>92410381MA46D5Q77J</w:t>
      </w:r>
    </w:p>
    <w:p w14:paraId="44DBA125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经营者：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王雪琴</w:t>
      </w:r>
    </w:p>
    <w:p w14:paraId="38C1DBD6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住所：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洛阳市偃师区槐新街道洛神路物价所东侧6号门市</w:t>
      </w:r>
    </w:p>
    <w:p w14:paraId="3A2ECCCF">
      <w:pPr>
        <w:pStyle w:val="3"/>
        <w:tabs>
          <w:tab w:val="left" w:pos="8964"/>
        </w:tabs>
        <w:spacing w:line="600" w:lineRule="exact"/>
        <w:ind w:left="0" w:firstLine="612" w:firstLineChars="200"/>
        <w:rPr>
          <w:rFonts w:ascii="仿宋" w:hAnsi="仿宋" w:eastAsia="仿宋" w:cs="仿宋"/>
          <w14:ligatures w14:val="none"/>
        </w:rPr>
      </w:pPr>
      <w:bookmarkStart w:id="2" w:name="_GoBack"/>
      <w:bookmarkEnd w:id="2"/>
      <w:r>
        <w:rPr>
          <w:rFonts w:hint="eastAsia" w:ascii="仿宋" w:hAnsi="仿宋" w:eastAsia="仿宋" w:cs="仿宋"/>
          <w:color w:val="221E1F"/>
          <w:spacing w:val="-7"/>
        </w:rPr>
        <w:t>2023年10月12日，我局执法人员对</w:t>
      </w:r>
      <w:r>
        <w:rPr>
          <w:rFonts w:hint="eastAsia" w:ascii="仿宋" w:hAnsi="仿宋" w:eastAsia="仿宋" w:cs="仿宋"/>
          <w:color w:val="221E1F"/>
        </w:rPr>
        <w:t>当事人经营的生羊肉和生猪肉进行抽样，并委托</w:t>
      </w:r>
      <w:r>
        <w:rPr>
          <w:rFonts w:hint="eastAsia" w:ascii="仿宋" w:hAnsi="仿宋" w:eastAsia="仿宋" w:cs="仿宋"/>
          <w:color w:val="221E1F"/>
          <w:spacing w:val="-7"/>
        </w:rPr>
        <w:t>河南省产品质量检验技术研究院对样品进行检验。2023年11月17日，我局收到上述样品的检验检测报告（№ SY20230220807）和（№ SY20230220808），生羊肉（№ SY20230220807）</w:t>
      </w:r>
      <w:bookmarkStart w:id="0" w:name="_Hlk171670857"/>
      <w:r>
        <w:rPr>
          <w:rFonts w:hint="eastAsia" w:ascii="仿宋" w:hAnsi="仿宋" w:eastAsia="仿宋" w:cs="仿宋"/>
          <w:color w:val="221E1F"/>
          <w:spacing w:val="-7"/>
        </w:rPr>
        <w:t>报告检验结果：</w:t>
      </w:r>
      <w:bookmarkEnd w:id="0"/>
      <w:r>
        <w:rPr>
          <w:rFonts w:hint="eastAsia" w:ascii="仿宋" w:hAnsi="仿宋" w:eastAsia="仿宋" w:cs="仿宋"/>
          <w:color w:val="221E1F"/>
        </w:rPr>
        <w:t>检出猪源性成分、检出羊源性成分；生猪肉</w:t>
      </w:r>
      <w:r>
        <w:rPr>
          <w:rFonts w:hint="eastAsia" w:ascii="仿宋" w:hAnsi="仿宋" w:eastAsia="仿宋" w:cs="仿宋"/>
          <w:color w:val="221E1F"/>
          <w:spacing w:val="-7"/>
        </w:rPr>
        <w:t>（№ SY20230220808）报告检验结果：</w:t>
      </w:r>
      <w:r>
        <w:rPr>
          <w:rFonts w:hint="eastAsia" w:ascii="仿宋" w:hAnsi="仿宋" w:eastAsia="仿宋" w:cs="仿宋"/>
          <w:color w:val="221E1F"/>
        </w:rPr>
        <w:t>检出猪源性成分、检出羊源性成分。</w:t>
      </w:r>
      <w:r>
        <w:rPr>
          <w:rFonts w:hint="eastAsia" w:ascii="仿宋" w:hAnsi="仿宋" w:eastAsia="仿宋" w:cs="仿宋"/>
          <w:color w:val="221E1F"/>
          <w:spacing w:val="-7"/>
        </w:rPr>
        <w:t>执法人员同日将上述报告送达当事人</w:t>
      </w:r>
      <w:r>
        <w:rPr>
          <w:rFonts w:hint="eastAsia" w:ascii="仿宋" w:hAnsi="仿宋" w:eastAsia="仿宋" w:cs="仿宋"/>
          <w:color w:val="221E1F"/>
        </w:rPr>
        <w:t>。</w:t>
      </w:r>
      <w:r>
        <w:rPr>
          <w:rFonts w:hint="eastAsia" w:ascii="仿宋" w:hAnsi="仿宋" w:eastAsia="仿宋" w:cs="仿宋"/>
        </w:rPr>
        <w:t>在规定的时间内，</w:t>
      </w:r>
      <w:r>
        <w:rPr>
          <w:rFonts w:hint="eastAsia" w:ascii="仿宋" w:hAnsi="仿宋" w:eastAsia="仿宋" w:cs="仿宋"/>
          <w:color w:val="221E1F"/>
        </w:rPr>
        <w:t>当事人</w:t>
      </w:r>
      <w:r>
        <w:rPr>
          <w:rFonts w:hint="eastAsia" w:ascii="仿宋" w:hAnsi="仿宋" w:eastAsia="仿宋" w:cs="仿宋"/>
        </w:rPr>
        <w:t>未提出异议申请</w:t>
      </w:r>
      <w:r>
        <w:rPr>
          <w:rFonts w:hint="eastAsia" w:ascii="仿宋" w:hAnsi="仿宋" w:eastAsia="仿宋" w:cs="仿宋"/>
          <w:color w:val="221E1F"/>
        </w:rPr>
        <w:t>。</w:t>
      </w:r>
      <w:r>
        <w:rPr>
          <w:rFonts w:hint="eastAsia" w:ascii="仿宋" w:hAnsi="仿宋" w:eastAsia="仿宋" w:cs="仿宋"/>
          <w14:ligatures w14:val="none"/>
        </w:rPr>
        <w:t>为进一步查清事实，</w:t>
      </w:r>
      <w:r>
        <w:rPr>
          <w:rFonts w:ascii="仿宋" w:hAnsi="仿宋" w:eastAsia="仿宋" w:cs="仿宋"/>
          <w14:ligatures w14:val="none"/>
        </w:rPr>
        <w:t>2023年12月6日，我局对当事人立案</w:t>
      </w:r>
      <w:r>
        <w:rPr>
          <w:rFonts w:hint="eastAsia" w:ascii="仿宋" w:hAnsi="仿宋" w:eastAsia="仿宋" w:cs="仿宋"/>
          <w14:ligatures w14:val="none"/>
        </w:rPr>
        <w:t>并</w:t>
      </w:r>
      <w:r>
        <w:rPr>
          <w:rFonts w:ascii="仿宋" w:hAnsi="仿宋" w:eastAsia="仿宋" w:cs="仿宋"/>
          <w14:ligatures w14:val="none"/>
        </w:rPr>
        <w:t>通过现场检查、询问相关人员、调取相关证据等方式对案件进行了调查。</w:t>
      </w:r>
    </w:p>
    <w:p w14:paraId="2E3550C1">
      <w:pPr>
        <w:pStyle w:val="3"/>
        <w:tabs>
          <w:tab w:val="left" w:pos="8964"/>
        </w:tabs>
        <w:spacing w:line="600" w:lineRule="exact"/>
        <w:ind w:left="0"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经查，</w:t>
      </w:r>
      <w:r>
        <w:rPr>
          <w:rFonts w:ascii="仿宋" w:hAnsi="仿宋" w:eastAsia="仿宋" w:cs="仿宋"/>
        </w:rPr>
        <w:t>2023年10月12日</w:t>
      </w:r>
      <w:r>
        <w:rPr>
          <w:rFonts w:hint="eastAsia" w:ascii="仿宋" w:hAnsi="仿宋" w:eastAsia="仿宋" w:cs="仿宋"/>
        </w:rPr>
        <w:t>，当事人从偃师市槐新街道办事处亚飞羊肉店购进生羊肉4斤，每斤购进价格33元，当事人提供了微信转账记录。当事人称，当天共计穿制了80个羊肉串，每串销售价格3元，货值240元。另，2024年10月12日，当事人从洛阳市偃师区晨晴食品店购进生猪肉6斤，每斤购进价格11元，当事人提供了支付宝转账记录。当事人称，当天共计穿制120个猪肉串，每串销售价格3元，货值360元。羊尾油当天购进5斤，购进价格每</w:t>
      </w:r>
      <w:r>
        <w:rPr>
          <w:rFonts w:ascii="仿宋" w:hAnsi="仿宋" w:eastAsia="仿宋" w:cs="仿宋"/>
        </w:rPr>
        <w:t>斤</w:t>
      </w:r>
      <w:r>
        <w:rPr>
          <w:rFonts w:hint="eastAsia" w:ascii="仿宋" w:hAnsi="仿宋" w:eastAsia="仿宋" w:cs="仿宋"/>
        </w:rPr>
        <w:t>8元，在穿制肉串中占比较小，无法计算当天用量。上述羊肉及猪肉经河南省产品质量检验技术研究院抽样检验，报告检验结果：检出猪源性成分、检出羊源性成分。</w:t>
      </w:r>
    </w:p>
    <w:p w14:paraId="09DB7F01">
      <w:pPr>
        <w:spacing w:line="600" w:lineRule="exact"/>
        <w:ind w:right="-19" w:rightChars="-9" w:firstLine="640" w:firstLineChars="200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上述事实，主要有以下证据证明：</w:t>
      </w:r>
    </w:p>
    <w:p w14:paraId="6408D926">
      <w:pPr>
        <w:pStyle w:val="6"/>
        <w:shd w:val="clear" w:color="auto" w:fill="FFFFFF"/>
        <w:tabs>
          <w:tab w:val="left" w:pos="312"/>
        </w:tabs>
        <w:spacing w:beforeAutospacing="0" w:afterAutospacing="0" w:line="600" w:lineRule="exact"/>
        <w:ind w:left="745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1.营业执照、河南省食品小经营店登记证经营许可证及</w:t>
      </w:r>
    </w:p>
    <w:p w14:paraId="44A404DB">
      <w:pPr>
        <w:pStyle w:val="6"/>
        <w:shd w:val="clear" w:color="auto" w:fill="FFFFFF"/>
        <w:tabs>
          <w:tab w:val="left" w:pos="312"/>
        </w:tabs>
        <w:spacing w:beforeAutospacing="0" w:afterAutospacing="0" w:line="600" w:lineRule="exact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身份证复印件，证明当事人的主体资格及身份证明；</w:t>
      </w:r>
    </w:p>
    <w:p w14:paraId="635B27F0">
      <w:pPr>
        <w:pStyle w:val="6"/>
        <w:shd w:val="clear" w:color="auto" w:fill="FFFFFF"/>
        <w:tabs>
          <w:tab w:val="left" w:pos="312"/>
        </w:tabs>
        <w:spacing w:beforeAutospacing="0" w:afterAutospacing="0" w:line="600" w:lineRule="exact"/>
        <w:ind w:left="745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2.现场笔录，证明现场抽检的情况；</w:t>
      </w:r>
    </w:p>
    <w:p w14:paraId="3B180EFC">
      <w:pPr>
        <w:pStyle w:val="6"/>
        <w:shd w:val="clear" w:color="auto" w:fill="FFFFFF"/>
        <w:tabs>
          <w:tab w:val="left" w:pos="312"/>
        </w:tabs>
        <w:spacing w:beforeAutospacing="0" w:afterAutospacing="0" w:line="600" w:lineRule="exact"/>
        <w:ind w:left="745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3.现场照片一组，证明现场经营的情况；</w:t>
      </w:r>
    </w:p>
    <w:p w14:paraId="2503A97F">
      <w:pPr>
        <w:pStyle w:val="6"/>
        <w:shd w:val="clear" w:color="auto" w:fill="FFFFFF"/>
        <w:spacing w:beforeAutospacing="0" w:afterAutospacing="0" w:line="600" w:lineRule="exact"/>
        <w:ind w:left="105" w:lef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4.询问笔录，证明当事人违法行为的事实；</w:t>
      </w:r>
    </w:p>
    <w:p w14:paraId="188A3FB6">
      <w:pPr>
        <w:pStyle w:val="2"/>
        <w:widowControl/>
        <w:shd w:val="clear" w:color="auto" w:fill="FFFFFF"/>
        <w:spacing w:line="600" w:lineRule="exact"/>
        <w:ind w:left="105" w:leftChars="50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5.现场抽样记录和检验检测报告，证明当事人经营生羊肉和生猪肉被抽样检验的情况；</w:t>
      </w:r>
    </w:p>
    <w:p w14:paraId="0ABAE30A">
      <w:pPr>
        <w:pStyle w:val="2"/>
        <w:widowControl/>
        <w:shd w:val="clear" w:color="auto" w:fill="FFFFFF"/>
        <w:spacing w:line="600" w:lineRule="exact"/>
        <w:ind w:left="105" w:leftChars="50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6.现场抽样记录光盘一份，证明抽样时现场情况；</w:t>
      </w:r>
    </w:p>
    <w:p w14:paraId="3EA4B9C5">
      <w:pPr>
        <w:pStyle w:val="2"/>
        <w:widowControl/>
        <w:shd w:val="clear" w:color="auto" w:fill="FFFFFF"/>
        <w:spacing w:line="600" w:lineRule="exact"/>
        <w:ind w:left="105" w:leftChars="50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7.当事人提供的微信、支付宝的电子转账记录截屏，证明购买猪肉和羊肉的付款情况。</w:t>
      </w:r>
    </w:p>
    <w:p w14:paraId="5E887E1F">
      <w:pPr>
        <w:pStyle w:val="2"/>
        <w:widowControl/>
        <w:shd w:val="clear" w:color="auto" w:fill="FFFFFF"/>
        <w:spacing w:line="600" w:lineRule="exact"/>
        <w:ind w:left="105" w:leftChars="50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当事人上述行为，违反了《</w:t>
      </w:r>
      <w:r>
        <w:rPr>
          <w:rStyle w:val="11"/>
          <w:rFonts w:hint="eastAsia" w:ascii="仿宋" w:hAnsi="仿宋" w:eastAsia="仿宋" w:cs="仿宋"/>
          <w:sz w:val="32"/>
          <w:szCs w:val="32"/>
        </w:rPr>
        <w:t>侵害消费者权益行为处罚办法》第五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Style w:val="11"/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经营者提供商品或者服务不得有下列行为：（</w:t>
      </w:r>
      <w:r>
        <w:rPr>
          <w:rStyle w:val="11"/>
          <w:rFonts w:hint="eastAsia" w:ascii="仿宋" w:hAnsi="仿宋" w:eastAsia="仿宋" w:cs="仿宋"/>
          <w:sz w:val="32"/>
          <w:szCs w:val="32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Style w:val="11"/>
          <w:rFonts w:hint="eastAsia" w:ascii="仿宋" w:hAnsi="仿宋" w:eastAsia="仿宋" w:cs="仿宋"/>
          <w:sz w:val="32"/>
          <w:szCs w:val="32"/>
          <w:shd w:val="clear" w:color="auto" w:fill="FFFFFF"/>
        </w:rPr>
        <w:t>在销售的商品中掺杂、掺假，以假充真，以次充好，以不合格商品冒充合格商品；”之规定。</w:t>
      </w:r>
      <w:r>
        <w:rPr>
          <w:rFonts w:hint="eastAsia" w:ascii="仿宋" w:hAnsi="仿宋" w:eastAsia="仿宋" w:cs="仿宋"/>
          <w:sz w:val="32"/>
          <w:szCs w:val="32"/>
        </w:rPr>
        <w:t>当事人能够积极配合调配，并提供相关证据，参照《河南省市场监督管理行政处罚裁量权适用通则》第十条“有下列情形之一的，</w:t>
      </w:r>
      <w:bookmarkStart w:id="1" w:name="_Hlk171672006"/>
      <w:r>
        <w:rPr>
          <w:rFonts w:hint="eastAsia" w:ascii="仿宋" w:hAnsi="仿宋" w:eastAsia="仿宋" w:cs="仿宋"/>
          <w:sz w:val="32"/>
          <w:szCs w:val="32"/>
        </w:rPr>
        <w:t>可以依法从轻或者减轻行政处罚</w:t>
      </w:r>
      <w:bookmarkEnd w:id="1"/>
      <w:r>
        <w:rPr>
          <w:rFonts w:hint="eastAsia" w:ascii="仿宋" w:hAnsi="仿宋" w:eastAsia="仿宋" w:cs="仿宋"/>
          <w:sz w:val="32"/>
          <w:szCs w:val="32"/>
        </w:rPr>
        <w:t>：（二）积极配合市场监管部门调查，并主动提供证据材料的；”之规定，根据当事人违法行为的事实、性质、情节等情况，可以依法从轻行政处罚。</w:t>
      </w:r>
    </w:p>
    <w:p w14:paraId="15153C02">
      <w:pPr>
        <w:pStyle w:val="2"/>
        <w:widowControl/>
        <w:shd w:val="clear" w:color="auto" w:fill="FFFFFF"/>
        <w:spacing w:line="600" w:lineRule="exact"/>
        <w:ind w:left="105" w:leftChars="50" w:firstLine="640" w:firstLineChars="200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w:t>2024年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7</w:t>
      </w:r>
      <w:r>
        <w:rPr>
          <w:rFonts w:ascii="仿宋" w:hAnsi="仿宋" w:eastAsia="仿宋" w:cs="仿宋"/>
          <w:sz w:val="32"/>
          <w:szCs w:val="32"/>
          <w14:ligatures w14:val="none"/>
        </w:rPr>
        <w:t>月2日，我局向当事人送达了偃市监罚告〔2024〕202318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6</w:t>
      </w:r>
      <w:r>
        <w:rPr>
          <w:rFonts w:ascii="仿宋" w:hAnsi="仿宋" w:eastAsia="仿宋" w:cs="仿宋"/>
          <w:sz w:val="32"/>
          <w:szCs w:val="32"/>
          <w14:ligatures w14:val="none"/>
        </w:rPr>
        <w:t>号《行政处罚告知书》，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告知当事人我局拟做出行政处罚决定的事实、理由、依据、内容以及当事人依法享有的陈述、申辩权，并可以要求听证。</w:t>
      </w:r>
      <w:r>
        <w:rPr>
          <w:rFonts w:hint="eastAsia" w:ascii="仿宋" w:hAnsi="仿宋" w:eastAsia="仿宋" w:cs="仿宋_GB2312"/>
          <w:bCs/>
          <w:sz w:val="32"/>
          <w:szCs w:val="32"/>
        </w:rPr>
        <w:t>当事人在法定期限内未提出陈述、申辩</w:t>
      </w:r>
      <w:r>
        <w:rPr>
          <w:rFonts w:hint="eastAsia" w:ascii="仿宋" w:hAnsi="仿宋" w:eastAsia="仿宋" w:cs="仿宋"/>
          <w:sz w:val="32"/>
          <w:szCs w:val="32"/>
        </w:rPr>
        <w:t>和听证</w:t>
      </w:r>
      <w:r>
        <w:rPr>
          <w:rFonts w:hint="eastAsia" w:ascii="仿宋" w:hAnsi="仿宋" w:eastAsia="仿宋" w:cs="仿宋_GB2312"/>
          <w:bCs/>
          <w:sz w:val="32"/>
          <w:szCs w:val="32"/>
        </w:rPr>
        <w:t>意见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AABE886">
      <w:pPr>
        <w:widowControl/>
        <w:shd w:val="clear" w:color="auto" w:fill="FFFFFF"/>
        <w:spacing w:line="600" w:lineRule="exact"/>
        <w:ind w:firstLine="640" w:firstLineChars="200"/>
        <w:rPr>
          <w:rStyle w:val="11"/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依据《侵害消费者权益行为处罚办法》</w:t>
      </w:r>
      <w:r>
        <w:rPr>
          <w:rStyle w:val="11"/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 xml:space="preserve">第十四条 </w:t>
      </w:r>
      <w:r>
        <w:rPr>
          <w:rStyle w:val="11"/>
          <w:rFonts w:hint="eastAsia" w:ascii="仿宋" w:hAnsi="仿宋" w:eastAsia="仿宋" w:cs="仿宋"/>
          <w:sz w:val="32"/>
          <w:szCs w:val="32"/>
        </w:rPr>
        <w:t>经营者有本办法第五条至第十一条规定的情形之一，其他法律、法规有规定的，依照法律、法规的规定执行；法律法规未做规定的，由市场监督管理部门依照《消费者权益保护法》第五十六条予以处罚。”的</w:t>
      </w:r>
      <w:r>
        <w:rPr>
          <w:rFonts w:hint="eastAsia" w:ascii="仿宋" w:hAnsi="仿宋" w:eastAsia="仿宋" w:cs="仿宋"/>
          <w:sz w:val="32"/>
          <w:szCs w:val="32"/>
        </w:rPr>
        <w:t>规定，</w:t>
      </w:r>
      <w:r>
        <w:rPr>
          <w:rStyle w:val="11"/>
          <w:rFonts w:hint="eastAsia" w:ascii="仿宋" w:hAnsi="仿宋" w:eastAsia="仿宋"/>
          <w:sz w:val="32"/>
          <w:szCs w:val="32"/>
        </w:rPr>
        <w:t>依照</w:t>
      </w:r>
      <w:r>
        <w:rPr>
          <w:rFonts w:hint="eastAsia" w:ascii="仿宋" w:hAnsi="仿宋" w:eastAsia="仿宋" w:cs="仿宋"/>
          <w:bCs/>
          <w:sz w:val="32"/>
          <w:szCs w:val="32"/>
        </w:rPr>
        <w:t>《河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南省食品小作坊、小经营店和小摊点管理条例》</w:t>
      </w:r>
      <w:r>
        <w:rPr>
          <w:rFonts w:hint="eastAsia" w:ascii="仿宋" w:hAnsi="仿宋" w:eastAsia="仿宋" w:cs="仿宋"/>
          <w:color w:val="000000"/>
          <w:sz w:val="32"/>
          <w:szCs w:val="32"/>
          <w:lang w:bidi="en-US"/>
        </w:rPr>
        <w:t>第四十四条“违反本条例规定，小作坊和小经营店有下列行为之一，由县级人民政府食品药品监督管理部门没收违法所得，没收不符合食品安全标准和要求的食品和食品原料，处一万元以上十万元以下罚款；情节严重的，责令停产停业：……；（四）生产经营腐败变质、油脂酸败、霉变生虫、掺假掺杂、超过保质期或者被包装材料、容器、运输工具等污染的食品的。”</w:t>
      </w:r>
      <w:r>
        <w:rPr>
          <w:rStyle w:val="11"/>
          <w:rFonts w:hint="eastAsia" w:ascii="仿宋" w:hAnsi="仿宋" w:eastAsia="仿宋" w:cs="仿宋"/>
          <w:sz w:val="32"/>
          <w:szCs w:val="32"/>
          <w:shd w:val="clear" w:color="auto" w:fill="FFFFFF"/>
        </w:rPr>
        <w:t>之规定，参照</w:t>
      </w:r>
      <w:r>
        <w:rPr>
          <w:rFonts w:hint="eastAsia" w:ascii="仿宋" w:hAnsi="仿宋" w:eastAsia="仿宋" w:cs="仿宋"/>
          <w:sz w:val="32"/>
          <w:szCs w:val="32"/>
        </w:rPr>
        <w:t>《河</w:t>
      </w:r>
      <w:r>
        <w:rPr>
          <w:rFonts w:hint="eastAsia" w:ascii="仿宋" w:hAnsi="仿宋" w:eastAsia="仿宋" w:cs="仿宋_GB2312"/>
          <w:sz w:val="32"/>
          <w:szCs w:val="32"/>
        </w:rPr>
        <w:t>南省市场监督管理行政处罚裁量基准》8.5.1“依据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《河南省食品小作坊、小经营店和小摊点管理条例》第四十四条实施的行政处罚</w:t>
      </w:r>
      <w:r>
        <w:rPr>
          <w:rFonts w:hint="eastAsia" w:ascii="仿宋" w:hAnsi="仿宋" w:eastAsia="仿宋" w:cs="仿宋"/>
          <w:sz w:val="32"/>
          <w:szCs w:val="32"/>
        </w:rPr>
        <w:t xml:space="preserve"> 裁量基准 </w:t>
      </w:r>
      <w:r>
        <w:rPr>
          <w:rFonts w:hint="eastAsia" w:ascii="仿宋" w:hAnsi="仿宋" w:eastAsia="仿宋" w:cs="仿宋"/>
          <w:color w:val="000000"/>
          <w:sz w:val="32"/>
          <w:szCs w:val="32"/>
          <w:lang w:bidi="en-US"/>
        </w:rPr>
        <w:t>没收违法所得，没收不符合食品安全标准和要求的食品和食品原料，处1万元以上3.7万元以下罚款。</w:t>
      </w:r>
      <w:r>
        <w:rPr>
          <w:rFonts w:hint="eastAsia" w:ascii="仿宋" w:hAnsi="仿宋" w:eastAsia="仿宋" w:cs="仿宋"/>
          <w:sz w:val="32"/>
          <w:szCs w:val="32"/>
        </w:rPr>
        <w:t>”之规定，及《中华人民共和国行政处罚法》第二十八条第一款“行政机关实施行政处罚时，应当责令当事人改正或者限期改正违法行为。”之规定，</w:t>
      </w:r>
      <w:r>
        <w:rPr>
          <w:rStyle w:val="11"/>
          <w:rFonts w:hint="eastAsia" w:ascii="仿宋" w:hAnsi="仿宋" w:eastAsia="仿宋"/>
          <w:sz w:val="32"/>
          <w:szCs w:val="32"/>
          <w:shd w:val="clear" w:color="auto" w:fill="FFFFFF"/>
        </w:rPr>
        <w:t>经研究决定，对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洛阳市偃师区雪琴餐饮店责令改正违法行为，没收违法所得600元，处1</w:t>
      </w:r>
      <w:r>
        <w:rPr>
          <w:rFonts w:hint="eastAsia" w:ascii="仿宋" w:hAnsi="仿宋" w:eastAsia="仿宋" w:cs="宋体"/>
          <w:sz w:val="32"/>
        </w:rPr>
        <w:t>0000元罚款。以上两项罚、没款合计10600元。</w:t>
      </w:r>
    </w:p>
    <w:p w14:paraId="600447AD">
      <w:pPr>
        <w:spacing w:line="600" w:lineRule="exact"/>
        <w:ind w:right="-19" w:rightChars="-9" w:firstLine="640" w:firstLineChars="200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当事人收到本处罚决定之日起</w:t>
      </w:r>
      <w:r>
        <w:rPr>
          <w:rFonts w:ascii="仿宋" w:hAnsi="仿宋" w:eastAsia="仿宋" w:cs="仿宋"/>
          <w:sz w:val="32"/>
          <w:szCs w:val="32"/>
          <w14:ligatures w14:val="none"/>
        </w:rPr>
        <w:t>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，</w:t>
      </w:r>
      <w:r>
        <w:rPr>
          <w:rFonts w:ascii="仿宋" w:hAnsi="仿宋" w:eastAsia="仿宋" w:cs="仿宋"/>
          <w:sz w:val="32"/>
          <w:szCs w:val="32"/>
          <w14:ligatures w14:val="none"/>
        </w:rPr>
        <w:t>户名：洛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阳市偃师区财政局财政专户，账号：</w:t>
      </w:r>
      <w:r>
        <w:rPr>
          <w:rFonts w:ascii="仿宋" w:hAnsi="仿宋" w:eastAsia="仿宋" w:cs="仿宋"/>
          <w:sz w:val="32"/>
          <w:szCs w:val="32"/>
          <w14:ligatures w14:val="none"/>
        </w:rPr>
        <w:t>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 w14:paraId="1F3EA060">
      <w:pPr>
        <w:spacing w:line="600" w:lineRule="exact"/>
        <w:ind w:right="-19" w:rightChars="-9" w:firstLine="640" w:firstLineChars="200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 w14:paraId="409B4543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w:t xml:space="preserve">    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 w14:paraId="1FBCF2A2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2EB4FBC8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w:t xml:space="preserve"> </w:t>
      </w:r>
    </w:p>
    <w:p w14:paraId="702BF3B5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61314E9A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w:t xml:space="preserve">                  洛阳市偃师区市场监督管理局</w:t>
      </w:r>
    </w:p>
    <w:p w14:paraId="3BA160DB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390D9584">
      <w:pPr>
        <w:spacing w:line="600" w:lineRule="exact"/>
        <w:ind w:right="-19" w:rightChars="-9" w:firstLine="3840" w:firstLineChars="1200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w:t>2024年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7</w:t>
      </w:r>
      <w:r>
        <w:rPr>
          <w:rFonts w:ascii="仿宋" w:hAnsi="仿宋" w:eastAsia="仿宋" w:cs="仿宋"/>
          <w:sz w:val="32"/>
          <w:szCs w:val="32"/>
          <w14:ligatures w14:val="none"/>
        </w:rPr>
        <w:t>月1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2</w:t>
      </w:r>
      <w:r>
        <w:rPr>
          <w:rFonts w:ascii="仿宋" w:hAnsi="仿宋" w:eastAsia="仿宋" w:cs="仿宋"/>
          <w:sz w:val="32"/>
          <w:szCs w:val="32"/>
          <w14:ligatures w14:val="none"/>
        </w:rPr>
        <w:t>日</w:t>
      </w:r>
    </w:p>
    <w:p w14:paraId="592DA844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479D2533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7D078169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2DFB0CD7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0E87EBB0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</w:p>
    <w:p w14:paraId="5C3FF3B4">
      <w:pPr>
        <w:spacing w:line="600" w:lineRule="exact"/>
        <w:ind w:right="-19" w:rightChars="-9"/>
        <w:textAlignment w:val="baseline"/>
        <w:rPr>
          <w:rFonts w:hint="eastAsia" w:ascii="仿宋" w:hAnsi="仿宋" w:eastAsia="仿宋" w:cs="仿宋"/>
          <w:sz w:val="32"/>
          <w:szCs w:val="32"/>
          <w14:ligatures w14:val="none"/>
        </w:rPr>
      </w:pPr>
    </w:p>
    <w:p w14:paraId="72A8EFF7">
      <w:pPr>
        <w:spacing w:line="600" w:lineRule="exact"/>
        <w:ind w:right="-19" w:rightChars="-9"/>
        <w:textAlignment w:val="baseline"/>
        <w:rPr>
          <w:rFonts w:ascii="仿宋" w:hAnsi="仿宋" w:eastAsia="仿宋" w:cs="仿宋"/>
          <w:sz w:val="32"/>
          <w:szCs w:val="32"/>
          <w14:ligatures w14:val="none"/>
        </w:rPr>
      </w:pPr>
      <w:r>
        <w:rPr>
          <w:rFonts w:hint="eastAsia" w:ascii="仿宋" w:hAnsi="仿宋" w:eastAsia="仿宋" w:cs="仿宋"/>
          <w:sz w:val="32"/>
          <w:szCs w:val="32"/>
          <w14:ligatures w14:val="none"/>
        </w:rPr>
        <w:t>（市场监督管理部门将依法向社会公开行政处罚决定信息）</w:t>
      </w:r>
    </w:p>
    <w:p w14:paraId="560AB9C9">
      <w:pPr>
        <w:rPr>
          <w:rFonts w:ascii="Calibri" w:hAnsi="Calibri" w:eastAsia="宋体" w:cs="Times New Roman"/>
          <w:szCs w:val="24"/>
          <w14:ligatures w14:val="none"/>
        </w:rPr>
      </w:pPr>
      <w:r>
        <w:rPr>
          <w:rFonts w:ascii="仿宋" w:hAnsi="仿宋" w:eastAsia="仿宋" w:cs="仿宋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21590</wp:posOffset>
                </wp:positionV>
                <wp:extent cx="5036820" cy="0"/>
                <wp:effectExtent l="0" t="0" r="0" b="0"/>
                <wp:wrapNone/>
                <wp:docPr id="1021403170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682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4.2pt;margin-top:1.7pt;height:0pt;width:396.6pt;z-index:251659264;mso-width-relative:page;mso-height-relative:page;" filled="f" stroked="t" coordsize="21600,21600" o:gfxdata="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5TtArUAAAABQEAAA8AAAAAAAAAAQAgAAAAIgAAAGRycy9kb3ducmV2LnhtbFBL&#10;AQIUABQAAAAIAIdO4kAqe6Vl+gEAAPADAAAOAAAAAAAAAAEAIAAAACMBAABkcnMvZTJvRG9jLnht&#10;bFBLBQYAAAAABgAGAFkBAACP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" w:hAnsi="仿宋" w:eastAsia="仿宋" w:cs="仿宋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03762448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+/zkdcAAAAKAQAADwAAAAAAAAABACAAAAAiAAAAZHJzL2Rvd25yZXYu&#10;eG1sUEsBAhQAFAAAAAgAh07iQBYo2Sr8AQAA8AMAAA4AAAAAAAAAAQAgAAAAJgEAAGRycy9lMm9E&#10;b2MueG1sUEsFBgAAAAAGAAYAWQEAAJQ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本文书一式</w:t>
      </w:r>
      <w:r>
        <w:rPr>
          <w:rFonts w:hint="eastAsia" w:ascii="仿宋" w:hAnsi="仿宋" w:eastAsia="仿宋" w:cs="仿宋"/>
          <w:sz w:val="32"/>
          <w:szCs w:val="32"/>
          <w:u w:val="single"/>
          <w14:ligatures w14:val="none"/>
        </w:rPr>
        <w:t>三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份，</w:t>
      </w:r>
      <w:r>
        <w:rPr>
          <w:rFonts w:hint="eastAsia" w:ascii="仿宋" w:hAnsi="仿宋" w:eastAsia="仿宋" w:cs="仿宋"/>
          <w:sz w:val="32"/>
          <w:szCs w:val="32"/>
          <w:u w:val="single"/>
          <w14:ligatures w14:val="none"/>
        </w:rPr>
        <w:t>一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份送达，</w:t>
      </w:r>
      <w:r>
        <w:rPr>
          <w:rFonts w:hint="eastAsia" w:ascii="仿宋" w:hAnsi="仿宋" w:eastAsia="仿宋" w:cs="仿宋"/>
          <w:sz w:val="32"/>
          <w:szCs w:val="32"/>
          <w:u w:val="single"/>
          <w14:ligatures w14:val="none"/>
        </w:rPr>
        <w:t>一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份归档，</w:t>
      </w:r>
      <w:r>
        <w:rPr>
          <w:rFonts w:hint="eastAsia" w:ascii="仿宋" w:hAnsi="仿宋" w:eastAsia="仿宋" w:cs="仿宋"/>
          <w:sz w:val="32"/>
          <w:szCs w:val="32"/>
          <w:u w:val="single"/>
          <w14:ligatures w14:val="none"/>
        </w:rPr>
        <w:t>一</w:t>
      </w:r>
      <w:r>
        <w:rPr>
          <w:rFonts w:hint="eastAsia" w:ascii="仿宋" w:hAnsi="仿宋" w:eastAsia="仿宋" w:cs="仿宋"/>
          <w:sz w:val="32"/>
          <w:szCs w:val="32"/>
          <w14:ligatures w14:val="none"/>
        </w:rPr>
        <w:t>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23149764"/>
    </w:sdtPr>
    <w:sdtContent>
      <w:p w14:paraId="49216843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1A99BB2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821708"/>
    <w:rsid w:val="00022DF9"/>
    <w:rsid w:val="00132E2E"/>
    <w:rsid w:val="002A0508"/>
    <w:rsid w:val="002A5044"/>
    <w:rsid w:val="00327781"/>
    <w:rsid w:val="004041C9"/>
    <w:rsid w:val="004C44C8"/>
    <w:rsid w:val="007260BB"/>
    <w:rsid w:val="007B6499"/>
    <w:rsid w:val="00811C8F"/>
    <w:rsid w:val="00821708"/>
    <w:rsid w:val="00974073"/>
    <w:rsid w:val="009F18E9"/>
    <w:rsid w:val="00BD54D9"/>
    <w:rsid w:val="00C233A1"/>
    <w:rsid w:val="00C61EF2"/>
    <w:rsid w:val="00C62CDE"/>
    <w:rsid w:val="00DA6A23"/>
    <w:rsid w:val="00E4134B"/>
    <w:rsid w:val="0FA32EAB"/>
    <w:rsid w:val="10DD6A84"/>
    <w:rsid w:val="37204532"/>
    <w:rsid w:val="50ED5A67"/>
    <w:rsid w:val="625C337F"/>
    <w:rsid w:val="6B6D0620"/>
    <w:rsid w:val="71C01A00"/>
    <w:rsid w:val="7688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</w:pPr>
    <w:rPr>
      <w:rFonts w:cs="Times New Roman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text-tag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2276</Words>
  <Characters>2587</Characters>
  <Lines>18</Lines>
  <Paragraphs>5</Paragraphs>
  <TotalTime>1</TotalTime>
  <ScaleCrop>false</ScaleCrop>
  <LinksUpToDate>false</LinksUpToDate>
  <CharactersWithSpaces>2617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2024-07-12T02:27:00Z</dcterms:created>
  <dc:creator>zhe wang</dc:creator>
  <cp:lastModifiedBy>王建清</cp:lastModifiedBy>
  <cp:lastPrinted>2024-04-18T02:33:00Z</cp:lastPrinted>
  <dcterms:modified xsi:type="dcterms:W3CDTF">2024-08-28T07:10:28Z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1AB0BD29CA1F4958BE3436729CD5A7A6_13</vt:lpwstr>
  </property>
</Properties>
</file>