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B63DD7">
      <w:pPr>
        <w:spacing w:line="560" w:lineRule="exact"/>
        <w:ind w:firstLine="960" w:firstLineChars="200"/>
        <w:jc w:val="left"/>
        <w:rPr>
          <w:rFonts w:hint="eastAsia" w:ascii="黑体" w:hAnsi="黑体" w:eastAsia="黑体"/>
          <w:sz w:val="48"/>
          <w:szCs w:val="48"/>
        </w:rPr>
      </w:pPr>
      <w:r>
        <w:rPr>
          <w:rFonts w:hint="eastAsia" w:ascii="黑体" w:hAnsi="黑体" w:eastAsia="黑体"/>
          <w:sz w:val="48"/>
          <w:szCs w:val="48"/>
        </w:rPr>
        <w:t>洛阳市偃师区市场监督管理局</w:t>
      </w:r>
    </w:p>
    <w:p w14:paraId="5F6F5B16">
      <w:pPr>
        <w:spacing w:line="560" w:lineRule="exact"/>
        <w:ind w:firstLine="2400" w:firstLineChars="500"/>
        <w:jc w:val="left"/>
        <w:rPr>
          <w:rFonts w:hint="eastAsia" w:ascii="黑体" w:hAnsi="黑体" w:eastAsia="黑体"/>
          <w:sz w:val="48"/>
          <w:szCs w:val="48"/>
        </w:rPr>
      </w:pPr>
      <w:r>
        <w:rPr>
          <w:rFonts w:hint="eastAsia" w:ascii="黑体" w:hAnsi="黑体" w:eastAsia="黑体"/>
          <w:sz w:val="48"/>
          <w:szCs w:val="48"/>
        </w:rPr>
        <w:t>行政处罚决定书</w:t>
      </w:r>
    </w:p>
    <w:p w14:paraId="4E06501B">
      <w:pPr>
        <w:spacing w:line="580" w:lineRule="exact"/>
        <w:ind w:firstLine="2100" w:firstLineChars="700"/>
        <w:rPr>
          <w:rFonts w:hint="eastAsia" w:ascii="宋体" w:hAnsi="宋体" w:eastAsia="宋体"/>
          <w:sz w:val="30"/>
          <w:szCs w:val="30"/>
        </w:rPr>
      </w:pPr>
      <w:r>
        <w:rPr>
          <w:rFonts w:hint="eastAsia" w:ascii="宋体" w:hAnsi="宋体" w:eastAsia="宋体"/>
          <w:sz w:val="30"/>
          <w:szCs w:val="30"/>
        </w:rPr>
        <w:t>偃市监处罚〔2024〕2023190号</w:t>
      </w:r>
    </w:p>
    <w:p w14:paraId="633BF1F9">
      <w:pPr>
        <w:spacing w:line="580" w:lineRule="exact"/>
        <w:rPr>
          <w:rFonts w:hint="eastAsia" w:ascii="仿宋" w:hAnsi="仿宋" w:eastAsia="仿宋"/>
          <w:sz w:val="32"/>
          <w:szCs w:val="32"/>
        </w:rPr>
      </w:pPr>
    </w:p>
    <w:p w14:paraId="0DBED951">
      <w:pPr>
        <w:spacing w:line="580" w:lineRule="exact"/>
        <w:rPr>
          <w:rFonts w:hint="eastAsia" w:ascii="仿宋" w:hAnsi="仿宋" w:eastAsia="仿宋"/>
          <w:sz w:val="32"/>
          <w:szCs w:val="32"/>
        </w:rPr>
      </w:pPr>
      <w:r>
        <w:rPr>
          <w:rFonts w:hint="eastAsia" w:ascii="仿宋" w:hAnsi="仿宋" w:eastAsia="仿宋"/>
          <w:sz w:val="32"/>
          <w:szCs w:val="32"/>
        </w:rPr>
        <w:t>当事人：洛阳市偃师区伊洛街道可迎餐饮店</w:t>
      </w:r>
    </w:p>
    <w:p w14:paraId="6DA3B591">
      <w:pPr>
        <w:spacing w:line="580" w:lineRule="exact"/>
        <w:rPr>
          <w:rFonts w:hint="eastAsia" w:ascii="仿宋" w:hAnsi="仿宋" w:eastAsia="仿宋"/>
          <w:sz w:val="32"/>
          <w:szCs w:val="32"/>
        </w:rPr>
      </w:pPr>
      <w:r>
        <w:rPr>
          <w:rFonts w:hint="eastAsia" w:ascii="仿宋" w:hAnsi="仿宋" w:eastAsia="仿宋"/>
          <w:sz w:val="32"/>
          <w:szCs w:val="32"/>
        </w:rPr>
        <w:t>主体资格证照名称：营业执照</w:t>
      </w:r>
    </w:p>
    <w:p w14:paraId="3C795DE8">
      <w:pPr>
        <w:spacing w:line="580" w:lineRule="exact"/>
        <w:rPr>
          <w:rFonts w:hint="eastAsia" w:ascii="仿宋" w:hAnsi="仿宋" w:eastAsia="仿宋"/>
          <w:sz w:val="32"/>
          <w:szCs w:val="32"/>
        </w:rPr>
      </w:pPr>
      <w:r>
        <w:rPr>
          <w:rFonts w:hint="eastAsia" w:ascii="仿宋" w:hAnsi="仿宋" w:eastAsia="仿宋"/>
          <w:sz w:val="32"/>
          <w:szCs w:val="32"/>
        </w:rPr>
        <w:t>统一社会信用代码：92410381MA47YBJP10</w:t>
      </w:r>
    </w:p>
    <w:p w14:paraId="17146C38">
      <w:pPr>
        <w:spacing w:line="580" w:lineRule="exact"/>
        <w:rPr>
          <w:rFonts w:hint="eastAsia" w:ascii="仿宋" w:hAnsi="仿宋" w:eastAsia="仿宋"/>
          <w:sz w:val="32"/>
          <w:szCs w:val="32"/>
        </w:rPr>
      </w:pPr>
      <w:r>
        <w:rPr>
          <w:rFonts w:hint="eastAsia" w:ascii="仿宋" w:hAnsi="仿宋" w:eastAsia="仿宋"/>
          <w:sz w:val="32"/>
          <w:szCs w:val="32"/>
        </w:rPr>
        <w:t>经营者：杨可迎</w:t>
      </w:r>
    </w:p>
    <w:p w14:paraId="05885925">
      <w:pPr>
        <w:spacing w:line="580" w:lineRule="exact"/>
        <w:rPr>
          <w:rFonts w:hint="eastAsia" w:ascii="仿宋" w:hAnsi="仿宋" w:eastAsia="仿宋"/>
          <w:sz w:val="32"/>
          <w:szCs w:val="32"/>
        </w:rPr>
      </w:pPr>
      <w:r>
        <w:rPr>
          <w:rFonts w:hint="eastAsia" w:ascii="仿宋" w:hAnsi="仿宋" w:eastAsia="仿宋"/>
          <w:sz w:val="32"/>
          <w:szCs w:val="32"/>
        </w:rPr>
        <w:t>经营场所：洛阳市偃师区伊洛街道亚新橄榄城一期7号106门市</w:t>
      </w:r>
    </w:p>
    <w:p w14:paraId="0CF5C4FF">
      <w:pPr>
        <w:spacing w:line="580" w:lineRule="exact"/>
        <w:ind w:firstLine="640" w:firstLineChars="200"/>
        <w:rPr>
          <w:rFonts w:hint="eastAsia" w:ascii="仿宋" w:hAnsi="仿宋" w:eastAsia="仿宋"/>
          <w:sz w:val="32"/>
          <w:szCs w:val="32"/>
        </w:rPr>
      </w:pPr>
      <w:bookmarkStart w:id="0" w:name="_GoBack"/>
      <w:bookmarkEnd w:id="0"/>
      <w:r>
        <w:rPr>
          <w:rFonts w:hint="eastAsia" w:ascii="仿宋" w:hAnsi="仿宋" w:eastAsia="仿宋"/>
          <w:sz w:val="32"/>
          <w:szCs w:val="32"/>
        </w:rPr>
        <w:t>2023年9月4日，我局执法人员对当事人经营的“生羊肉”进行抽样（抽样单号：20232006），并委托河南省产品质量检验技术研究院对样品进行检验。2023年10月12日，我局收到上述样品的检验检测报告（№ SY20230218299），报告检验结果：检出羊源性成分、检出猪源性成分。执法人员同日将上述报告送达当事人。2023年10月13日当事人提出异议，我局同意当事人的复检申请，2023年11月2日委托中轻检验认证有限公司对备样进行复检，2024年1月22日，我局收到复检检验检测报告（№ G20231562001G），复检报告检验结果：检出羊源性成分、检出猪成分。执法人员同日将上述报告送达当事人。为进一步调查事实，2023年12月8日我局对当事人立案，并通过现场检查、询问相关人员、调取相关证据等方式对案件进行了调查。</w:t>
      </w:r>
    </w:p>
    <w:p w14:paraId="4B932D19">
      <w:pPr>
        <w:spacing w:line="580" w:lineRule="exact"/>
        <w:ind w:firstLine="640" w:firstLineChars="200"/>
        <w:rPr>
          <w:rFonts w:ascii="仿宋" w:hAnsi="仿宋" w:eastAsia="仿宋"/>
          <w:sz w:val="32"/>
          <w:szCs w:val="32"/>
        </w:rPr>
      </w:pPr>
      <w:r>
        <w:rPr>
          <w:rFonts w:hint="eastAsia" w:ascii="仿宋" w:hAnsi="仿宋" w:eastAsia="仿宋"/>
          <w:sz w:val="32"/>
          <w:szCs w:val="32"/>
        </w:rPr>
        <w:t>经查：当事人门头招牌为“刚仔爆虾尾”，涉案“生羊肉”当事人称是2023年9月4日从位于偃师区农贸市场51号门市的“洛阳市偃师区亚飞食品店”购进的，当天共购进了9.8斤，进价40元/斤，进货票据主要内容:老城鲜羊肉店销货清单 客户：刚仔 2023年9月4日 品名规格羊肉 数量9.8 单价40 金额 392元。当事人2023年9月4日进的9.8斤生羊肉，除去被抽检的2斤，剩余的7.8斤被制作成195串羊肉串。执法人员抽样时，抽样生羊肉基数为6斤，样品2斤，售价40元/斤，基数生羊肉货值</w:t>
      </w:r>
      <w:r>
        <w:rPr>
          <w:rFonts w:ascii="仿宋" w:hAnsi="仿宋" w:eastAsia="仿宋"/>
          <w:sz w:val="32"/>
          <w:szCs w:val="32"/>
        </w:rPr>
        <w:t>240</w:t>
      </w:r>
      <w:r>
        <w:rPr>
          <w:rFonts w:hint="eastAsia" w:ascii="仿宋" w:hAnsi="仿宋" w:eastAsia="仿宋" w:cs="仿宋"/>
          <w:sz w:val="32"/>
          <w:szCs w:val="32"/>
        </w:rPr>
        <w:t>‬</w:t>
      </w:r>
      <w:r>
        <w:rPr>
          <w:rFonts w:ascii="仿宋" w:hAnsi="仿宋" w:eastAsia="仿宋"/>
          <w:sz w:val="32"/>
          <w:szCs w:val="32"/>
        </w:rPr>
        <w:t>元。样品经河南省产品质量检验技术研究院检验(报告编号：№ SY20230220495）：检出羊源性成分、检出猪源性成分。2023年10月13日当事人异议，我局委托中轻检验认证有限公司对备样进行复检，复检报告（报告编号：№ G20231562001G）结果：检出羊源性成分、检出猪成分。</w:t>
      </w:r>
    </w:p>
    <w:p w14:paraId="6835F657">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上述事实，主要有以下证据证明：</w:t>
      </w:r>
    </w:p>
    <w:p w14:paraId="793854C6">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1.营业执照、食品经营许可证及身份证复印件，证明当事人的主体资格及身份证明；</w:t>
      </w:r>
    </w:p>
    <w:p w14:paraId="011922B9">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2.询问笔录，证明当事人违法行为的事实；</w:t>
      </w:r>
    </w:p>
    <w:p w14:paraId="3C55D12C">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3.现场笔录、抽样记录和检验检测报告，证明当事人经营熟牛肉被抽样和检验的情况；</w:t>
      </w:r>
    </w:p>
    <w:p w14:paraId="43466724">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4.复检报告及增值税普通发票，证明复检结果及复检费用情况；</w:t>
      </w:r>
    </w:p>
    <w:p w14:paraId="7EEFB36E">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 xml:space="preserve">5.购进票据及购进付款凭证，证明当事人涉案生羊肉的购进情况。        </w:t>
      </w:r>
    </w:p>
    <w:p w14:paraId="4CC37D9E">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当事人上述行为，违反了《侵害消费者权益行为处罚办法》第五条“经营者提供商品或者服务不得有下列行为：（七）在销售的商品中掺杂、掺假，以假充真，以次充好，以不合格商品冒充合格商品；”之规定，违背了经营者为消费者提供商品，应当遵循的诚实信用原则，侵害了消费者的合法权益。案发后，当事人积极配合调查，并提供相关证据，依据《河南省市场监督管理行政处罚裁量权适用通则》第十条“有下列情形之一的，可以依法从轻或者减轻行政处罚：（二）积极配合市场监管部门调查，并主动提供证据材料的；”之规定，根据当事人违法的事实，性质，情节及社会危害性，可以依法对当事人减轻行政处罚。</w:t>
      </w:r>
    </w:p>
    <w:p w14:paraId="02B6FD94">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2024年5月27日，我局向当事人送达偃市监罚告〔2024〕2023190号《行政处罚告知书》，告知当事人我局拟做出行政处罚决定的事实、理由、依据、内容以及当事人依法享有的陈述、申辩权，并可以要求听证。我局于2022年6月13日，向当事人送达了偃市监听证通〔2024〕2023190号《洛阳市偃师区市场监督管理局行政处罚听证通知书》，并于2024年6月26日公开举行了听证。当事人提出不认可检验结果等意见。</w:t>
      </w:r>
    </w:p>
    <w:p w14:paraId="21C29F64">
      <w:pPr>
        <w:spacing w:line="580" w:lineRule="exact"/>
        <w:ind w:firstLine="640" w:firstLineChars="200"/>
        <w:rPr>
          <w:rFonts w:ascii="仿宋" w:hAnsi="仿宋" w:eastAsia="仿宋"/>
          <w:sz w:val="32"/>
          <w:szCs w:val="32"/>
        </w:rPr>
      </w:pPr>
      <w:r>
        <w:rPr>
          <w:rFonts w:hint="eastAsia" w:ascii="仿宋" w:hAnsi="仿宋" w:eastAsia="仿宋"/>
          <w:sz w:val="32"/>
          <w:szCs w:val="32"/>
        </w:rPr>
        <w:t>依据《侵害消费者权益行为处罚办法》第十四条“经营者有本办法第五条至第十一条规定的情形之一，其他法律、法规有规定的，依照法律、法规的规定执行；法律、法规未做规定的，由市场监督管理部门依照《消费者权益保护法》第五十六条予以处罚”之规定，依照《中华人民共和国食品安全法》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四）生产经营腐败变质、油脂酸败、霉变生虫、污秽不洁、混有异物、掺假掺杂或者感官性状异常的食品、食品添加剂；”之规定，及《中华人民共和国行政处罚法》第二十八条第一款“行政机关实施行政处罚时，应当责令当事人改正或者限期改正违法行为”之规定，经我局研究，对洛阳市偃师区伊洛街道可迎餐饮店责令改正，没收违法所得240元，处10000元罚款。以上罚、没款合计10240元。</w:t>
      </w:r>
    </w:p>
    <w:p w14:paraId="224CD650">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 xml:space="preserve">当事人收到本处罚决定之日起15日内，缴清上述罚款。（当事人可选择以下银行缴纳罚款：1.农业银行偃师市支行，户名：洛阳市偃师区财政局财政专户，账号：16129101040000020。2.工商银行偃师市支行，户名：洛阳市偃师区财政局财政专户，账号：1705027009064004971。3.中国银行偃师市支行，户名：洛阳市偃师区财政局财政专户，账号：249407156581。4.农商银行偃师营业部，户名：洛阳市偃师区财政局财政专户，账号：00000005583396678012。5.建设银行偃师支行，户名：洛阳市偃师区财政局财政专户，账号：41001591110058000003。6.中原银行偃师市支行，户名：洛阳市偃师区财政局财政专户，账号：671610090000000753。7.邮储银行偃师市支行，户名：洛阳市偃师区财政局财政专户，账号：100216664840019999。  </w:t>
      </w:r>
    </w:p>
    <w:p w14:paraId="78C66FE2">
      <w:pPr>
        <w:spacing w:line="580" w:lineRule="exact"/>
        <w:rPr>
          <w:rFonts w:hint="eastAsia" w:ascii="仿宋" w:hAnsi="仿宋" w:eastAsia="仿宋"/>
          <w:sz w:val="32"/>
          <w:szCs w:val="32"/>
        </w:rPr>
      </w:pPr>
      <w:r>
        <w:rPr>
          <w:rFonts w:hint="eastAsia" w:ascii="仿宋" w:hAnsi="仿宋" w:eastAsia="仿宋"/>
          <w:sz w:val="32"/>
          <w:szCs w:val="32"/>
        </w:rPr>
        <w:t>根据《中华人民共和国行政处罚法》第七十二条规定，当事人逾期不履行行政处罚决定的，本机关可以采取以下措施：（一）到期不缴纳罚款的，每日按罚款数额的百分之三加处罚款；（二）申请人民法院强制执行。</w:t>
      </w:r>
    </w:p>
    <w:p w14:paraId="6FBF3379">
      <w:pPr>
        <w:spacing w:line="580" w:lineRule="exact"/>
        <w:ind w:firstLine="640" w:firstLineChars="200"/>
        <w:rPr>
          <w:rFonts w:hint="eastAsia" w:ascii="仿宋" w:hAnsi="仿宋" w:eastAsia="仿宋"/>
          <w:sz w:val="32"/>
          <w:szCs w:val="32"/>
        </w:rPr>
      </w:pPr>
      <w:r>
        <w:rPr>
          <w:rFonts w:hint="eastAsia" w:ascii="仿宋" w:hAnsi="仿宋" w:eastAsia="仿宋"/>
          <w:sz w:val="32"/>
          <w:szCs w:val="32"/>
        </w:rPr>
        <w:t xml:space="preserve">如不服本处罚决定，可自接文之日起六十日内向洛阳市偃师区人民政府申请复议，也可于接文之日起六个月内向洛阳市偃师区人民法院提起诉讼。如果需要通过互联网渠道申请行政复议，可以通过行政复议服务平台（https://xzfy.moj.gov.cn/）网站提交申请。行政复议或者行政诉讼期间，本行政处罚决定不停止执行。       </w:t>
      </w:r>
    </w:p>
    <w:p w14:paraId="1526AB43">
      <w:pPr>
        <w:spacing w:line="580" w:lineRule="exact"/>
        <w:rPr>
          <w:rFonts w:hint="eastAsia" w:ascii="仿宋" w:hAnsi="仿宋" w:eastAsia="仿宋"/>
          <w:sz w:val="32"/>
          <w:szCs w:val="32"/>
        </w:rPr>
      </w:pPr>
    </w:p>
    <w:p w14:paraId="0784D806">
      <w:pPr>
        <w:spacing w:line="580" w:lineRule="exact"/>
        <w:rPr>
          <w:rFonts w:hint="eastAsia" w:ascii="仿宋" w:hAnsi="仿宋" w:eastAsia="仿宋"/>
          <w:sz w:val="32"/>
          <w:szCs w:val="32"/>
        </w:rPr>
      </w:pPr>
    </w:p>
    <w:p w14:paraId="0E6017E1">
      <w:pPr>
        <w:spacing w:line="580" w:lineRule="exact"/>
        <w:rPr>
          <w:rFonts w:hint="eastAsia" w:ascii="仿宋" w:hAnsi="仿宋" w:eastAsia="仿宋"/>
          <w:sz w:val="32"/>
          <w:szCs w:val="32"/>
        </w:rPr>
      </w:pPr>
    </w:p>
    <w:p w14:paraId="1780C0F9">
      <w:pPr>
        <w:spacing w:line="580" w:lineRule="exact"/>
        <w:ind w:firstLine="2880" w:firstLineChars="900"/>
        <w:rPr>
          <w:rFonts w:hint="eastAsia" w:ascii="仿宋" w:hAnsi="仿宋" w:eastAsia="仿宋"/>
          <w:sz w:val="32"/>
          <w:szCs w:val="32"/>
        </w:rPr>
      </w:pPr>
      <w:r>
        <w:rPr>
          <w:rFonts w:hint="eastAsia" w:ascii="仿宋" w:hAnsi="仿宋" w:eastAsia="仿宋"/>
          <w:sz w:val="32"/>
          <w:szCs w:val="32"/>
        </w:rPr>
        <w:t xml:space="preserve">洛阳市偃师区市场监督管理局            </w:t>
      </w:r>
    </w:p>
    <w:p w14:paraId="4177C6B5">
      <w:pPr>
        <w:spacing w:line="580" w:lineRule="exact"/>
        <w:rPr>
          <w:rFonts w:hint="eastAsia" w:ascii="仿宋" w:hAnsi="仿宋" w:eastAsia="仿宋"/>
          <w:sz w:val="32"/>
          <w:szCs w:val="32"/>
        </w:rPr>
      </w:pPr>
      <w:r>
        <w:rPr>
          <w:rFonts w:hint="eastAsia" w:ascii="仿宋" w:hAnsi="仿宋" w:eastAsia="仿宋"/>
          <w:sz w:val="32"/>
          <w:szCs w:val="32"/>
        </w:rPr>
        <w:t xml:space="preserve">          </w:t>
      </w:r>
    </w:p>
    <w:p w14:paraId="2B0ED4B6">
      <w:pPr>
        <w:spacing w:line="580" w:lineRule="exact"/>
        <w:rPr>
          <w:rFonts w:hint="eastAsia" w:ascii="仿宋" w:hAnsi="仿宋" w:eastAsia="仿宋"/>
          <w:sz w:val="32"/>
          <w:szCs w:val="32"/>
        </w:rPr>
      </w:pPr>
      <w:r>
        <w:rPr>
          <w:rFonts w:hint="eastAsia" w:ascii="仿宋" w:hAnsi="仿宋" w:eastAsia="仿宋"/>
          <w:sz w:val="32"/>
          <w:szCs w:val="32"/>
        </w:rPr>
        <w:t xml:space="preserve">                       2024年7月18日</w:t>
      </w:r>
    </w:p>
    <w:p w14:paraId="7303247A">
      <w:pPr>
        <w:spacing w:line="460" w:lineRule="exact"/>
        <w:rPr>
          <w:rFonts w:hint="eastAsia" w:ascii="仿宋" w:hAnsi="仿宋" w:eastAsia="仿宋"/>
          <w:sz w:val="32"/>
          <w:szCs w:val="32"/>
        </w:rPr>
      </w:pPr>
    </w:p>
    <w:p w14:paraId="23ADDBD5">
      <w:pPr>
        <w:spacing w:line="560" w:lineRule="exact"/>
        <w:rPr>
          <w:rFonts w:hint="eastAsia" w:ascii="仿宋" w:hAnsi="仿宋" w:eastAsia="仿宋"/>
          <w:sz w:val="32"/>
          <w:szCs w:val="32"/>
        </w:rPr>
      </w:pPr>
      <w:r>
        <w:rPr>
          <w:rFonts w:hint="eastAsia" w:ascii="仿宋" w:hAnsi="仿宋" w:eastAsia="仿宋"/>
          <w:sz w:val="32"/>
          <w:szCs w:val="32"/>
        </w:rPr>
        <w:t>（市场监督管理部门将依法向社会公开行政处罚决定信息）</w:t>
      </w:r>
    </w:p>
    <w:p w14:paraId="0D990F0A">
      <w:pPr>
        <w:spacing w:line="560" w:lineRule="exact"/>
        <w:rPr>
          <w:rFonts w:hint="eastAsia" w:ascii="仿宋" w:hAnsi="仿宋" w:eastAsia="仿宋"/>
          <w:spacing w:val="-12"/>
          <w:sz w:val="32"/>
          <w:szCs w:val="32"/>
        </w:rPr>
      </w:pPr>
      <w:r>
        <w:rPr>
          <w:rFonts w:ascii="仿宋" w:hAnsi="仿宋" w:eastAsia="仿宋"/>
          <w:spacing w:val="-12"/>
          <w:sz w:val="32"/>
          <w:szCs w:val="32"/>
        </w:rPr>
        <mc:AlternateContent>
          <mc:Choice Requires="wps">
            <w:drawing>
              <wp:anchor distT="0" distB="0" distL="114300" distR="114300" simplePos="0" relativeHeight="251659264" behindDoc="0" locked="0" layoutInCell="1" allowOverlap="1">
                <wp:simplePos x="0" y="0"/>
                <wp:positionH relativeFrom="column">
                  <wp:posOffset>53340</wp:posOffset>
                </wp:positionH>
                <wp:positionV relativeFrom="paragraph">
                  <wp:posOffset>20955</wp:posOffset>
                </wp:positionV>
                <wp:extent cx="5379720" cy="0"/>
                <wp:effectExtent l="0" t="0" r="0" b="0"/>
                <wp:wrapNone/>
                <wp:docPr id="1768780386" name="直接连接符 4"/>
                <wp:cNvGraphicFramePr/>
                <a:graphic xmlns:a="http://schemas.openxmlformats.org/drawingml/2006/main">
                  <a:graphicData uri="http://schemas.microsoft.com/office/word/2010/wordprocessingShape">
                    <wps:wsp>
                      <wps:cNvCnPr/>
                      <wps:spPr>
                        <a:xfrm>
                          <a:off x="0" y="0"/>
                          <a:ext cx="5379720" cy="0"/>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4" o:spid="_x0000_s1026" o:spt="20" style="position:absolute;left:0pt;margin-left:4.2pt;margin-top:1.65pt;height:0pt;width:423.6pt;z-index:251659264;mso-width-relative:page;mso-height-relative:page;" filled="f" stroked="t" coordsize="21600,21600" o:gfxdata="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GLX4CXUAAAABQEAAA8AAAAAAAAAAQAgAAAAIgAAAGRycy9kb3ducmV2LnhtbFBL&#10;AQIUABQAAAAIAIdO4kCagSr7+gEAAPADAAAOAAAAAAAAAAEAIAAAACMBAABkcnMvZTJvRG9jLnht&#10;bFBLBQYAAAAABgAGAFkBAACPBQAAAAA=&#10;">
                <v:fill on="f" focussize="0,0"/>
                <v:stroke weight="1.25pt" color="#000000" joinstyle="round"/>
                <v:imagedata o:title=""/>
                <o:lock v:ext="edit" aspectratio="f"/>
              </v:line>
            </w:pict>
          </mc:Fallback>
        </mc:AlternateContent>
      </w:r>
      <w:r>
        <w:rPr>
          <w:rFonts w:ascii="仿宋" w:hAnsi="仿宋" w:eastAsia="仿宋"/>
          <w:spacing w:val="-12"/>
          <w:sz w:val="32"/>
          <w:szCs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20807045</wp:posOffset>
                </wp:positionV>
                <wp:extent cx="5762625" cy="1270"/>
                <wp:effectExtent l="19050" t="19050" r="9525" b="17780"/>
                <wp:wrapNone/>
                <wp:docPr id="1411636769"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0288;mso-width-relative:page;mso-height-relative:page;" filled="f" stroked="t" coordsize="21600,21600" o:gfxdata="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L7/OR1wAAAAoBAAAPAAAAAAAAAAEAIAAAACIAAABkcnMvZG93bnJl&#10;di54bWxQSwECFAAUAAAACACHTuJA/RgWlP4BAADwAwAADgAAAAAAAAABACAAAAAmAQAAZHJzL2Uy&#10;b0RvYy54bWxQSwUGAAAAAAYABgBZAQAAlgUAAAAA&#10;">
                <v:fill on="f" focussize="0,0"/>
                <v:stroke weight="0.737007874015748pt" color="#000000" joinstyle="round" endcap="square"/>
                <v:imagedata o:title=""/>
                <o:lock v:ext="edit" aspectratio="f"/>
              </v:line>
            </w:pict>
          </mc:Fallback>
        </mc:AlternateContent>
      </w:r>
      <w:r>
        <w:rPr>
          <w:rFonts w:hint="eastAsia" w:ascii="仿宋" w:hAnsi="仿宋" w:eastAsia="仿宋"/>
          <w:spacing w:val="-12"/>
          <w:sz w:val="32"/>
          <w:szCs w:val="32"/>
        </w:rPr>
        <w:t>本文书一式</w:t>
      </w:r>
      <w:r>
        <w:rPr>
          <w:rFonts w:hint="eastAsia" w:ascii="仿宋" w:hAnsi="仿宋" w:eastAsia="仿宋"/>
          <w:spacing w:val="-12"/>
          <w:sz w:val="32"/>
          <w:szCs w:val="32"/>
          <w:u w:val="single"/>
        </w:rPr>
        <w:t>三</w:t>
      </w:r>
      <w:r>
        <w:rPr>
          <w:rFonts w:hint="eastAsia" w:ascii="仿宋" w:hAnsi="仿宋" w:eastAsia="仿宋"/>
          <w:spacing w:val="-12"/>
          <w:sz w:val="32"/>
          <w:szCs w:val="32"/>
        </w:rPr>
        <w:t>份，</w:t>
      </w:r>
      <w:r>
        <w:rPr>
          <w:rFonts w:hint="eastAsia" w:ascii="仿宋" w:hAnsi="仿宋" w:eastAsia="仿宋"/>
          <w:spacing w:val="-12"/>
          <w:sz w:val="32"/>
          <w:szCs w:val="32"/>
          <w:u w:val="single"/>
        </w:rPr>
        <w:t>一</w:t>
      </w:r>
      <w:r>
        <w:rPr>
          <w:rFonts w:hint="eastAsia" w:ascii="仿宋" w:hAnsi="仿宋" w:eastAsia="仿宋"/>
          <w:spacing w:val="-12"/>
          <w:sz w:val="32"/>
          <w:szCs w:val="32"/>
        </w:rPr>
        <w:t>份送达，</w:t>
      </w:r>
      <w:r>
        <w:rPr>
          <w:rFonts w:hint="eastAsia" w:ascii="仿宋" w:hAnsi="仿宋" w:eastAsia="仿宋"/>
          <w:spacing w:val="-12"/>
          <w:sz w:val="32"/>
          <w:szCs w:val="32"/>
          <w:u w:val="single"/>
        </w:rPr>
        <w:t>一</w:t>
      </w:r>
      <w:r>
        <w:rPr>
          <w:rFonts w:hint="eastAsia" w:ascii="仿宋" w:hAnsi="仿宋" w:eastAsia="仿宋"/>
          <w:spacing w:val="-12"/>
          <w:sz w:val="32"/>
          <w:szCs w:val="32"/>
        </w:rPr>
        <w:t>份归档，</w:t>
      </w:r>
      <w:r>
        <w:rPr>
          <w:rFonts w:hint="eastAsia" w:ascii="仿宋" w:hAnsi="仿宋" w:eastAsia="仿宋"/>
          <w:spacing w:val="-12"/>
          <w:sz w:val="32"/>
          <w:szCs w:val="32"/>
          <w:u w:val="single"/>
        </w:rPr>
        <w:t>一</w:t>
      </w:r>
      <w:r>
        <w:rPr>
          <w:rFonts w:hint="eastAsia" w:ascii="仿宋" w:hAnsi="仿宋" w:eastAsia="仿宋"/>
          <w:spacing w:val="-12"/>
          <w:sz w:val="32"/>
          <w:szCs w:val="32"/>
        </w:rPr>
        <w:t>份办案机构留存。</w:t>
      </w:r>
    </w:p>
    <w:sectPr>
      <w:footerReference r:id="rId3" w:type="default"/>
      <w:pgSz w:w="11906" w:h="16838"/>
      <w:pgMar w:top="1440" w:right="1800" w:bottom="1440" w:left="1800" w:header="720" w:footer="720" w:gutter="0"/>
      <w:cols w:space="425"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2889437"/>
      <w:docPartObj>
        <w:docPartGallery w:val="autotext"/>
      </w:docPartObj>
    </w:sdtPr>
    <w:sdtContent>
      <w:p w14:paraId="5996CFF1">
        <w:pPr>
          <w:pStyle w:val="2"/>
          <w:jc w:val="center"/>
          <w:rPr>
            <w:rFonts w:hint="eastAsia"/>
          </w:rPr>
        </w:pPr>
        <w:r>
          <w:fldChar w:fldCharType="begin"/>
        </w:r>
        <w:r>
          <w:instrText xml:space="preserve">PAGE   \* MERGEFORMAT</w:instrText>
        </w:r>
        <w:r>
          <w:fldChar w:fldCharType="separate"/>
        </w:r>
        <w:r>
          <w:rPr>
            <w:lang w:val="zh-CN"/>
          </w:rPr>
          <w:t>2</w:t>
        </w:r>
        <w:r>
          <w:fldChar w:fldCharType="end"/>
        </w:r>
      </w:p>
    </w:sdtContent>
  </w:sdt>
  <w:p w14:paraId="51DEFFDF">
    <w:pPr>
      <w:pStyle w:val="2"/>
      <w:rPr>
        <w:rFonts w:hint="eastAsi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CA726F"/>
    <w:rsid w:val="000D7D5F"/>
    <w:rsid w:val="001D0B32"/>
    <w:rsid w:val="00223040"/>
    <w:rsid w:val="006941FC"/>
    <w:rsid w:val="00786BF2"/>
    <w:rsid w:val="007938B2"/>
    <w:rsid w:val="00BC4241"/>
    <w:rsid w:val="00CA726F"/>
    <w:rsid w:val="131267BB"/>
    <w:rsid w:val="611576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5">
    <w:name w:val="Default Paragraph Font"/>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2409</Words>
  <Characters>2763</Characters>
  <Lines>20</Lines>
  <Paragraphs>5</Paragraphs>
  <TotalTime>21</TotalTime>
  <ScaleCrop>false</ScaleCrop>
  <LinksUpToDate>false</LinksUpToDate>
  <CharactersWithSpaces>2836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2024-07-18T02:02:00Z</dcterms:created>
  <dc:creator>zhe wang</dc:creator>
  <cp:lastModifiedBy>王建清</cp:lastModifiedBy>
  <dcterms:modified xsi:type="dcterms:W3CDTF">2024-08-28T07:10:38Z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858541D1794C4AEB8FF3A635602871DB_13</vt:lpwstr>
  </property>
</Properties>
</file>