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5B4792">
      <w:pPr>
        <w:spacing w:line="600" w:lineRule="exact"/>
        <w:ind w:left="-19" w:leftChars="-9" w:right="-92" w:rightChars="-44" w:firstLine="19"/>
        <w:jc w:val="center"/>
        <w:textAlignment w:val="baseline"/>
        <w:rPr>
          <w:rFonts w:hint="eastAsia" w:ascii="黑体" w:hAnsi="黑体" w:eastAsia="黑体" w:cs="宋体"/>
          <w:bCs/>
          <w:sz w:val="48"/>
          <w:szCs w:val="48"/>
        </w:rPr>
      </w:pPr>
      <w:bookmarkStart w:id="0" w:name="_Toc76683363"/>
      <w:bookmarkStart w:id="1" w:name="_Toc27865"/>
      <w:r>
        <w:rPr>
          <w:rFonts w:hint="eastAsia" w:ascii="黑体" w:hAnsi="黑体" w:eastAsia="黑体" w:cs="宋体"/>
          <w:bCs/>
          <w:sz w:val="48"/>
          <w:szCs w:val="48"/>
        </w:rPr>
        <w:t>洛阳市偃师区市场监督管理局</w:t>
      </w:r>
    </w:p>
    <w:p w14:paraId="31D59E61">
      <w:pPr>
        <w:spacing w:line="600" w:lineRule="exact"/>
        <w:ind w:left="-19" w:leftChars="-9" w:right="-92" w:rightChars="-44" w:firstLine="19"/>
        <w:jc w:val="center"/>
        <w:textAlignment w:val="baseline"/>
        <w:rPr>
          <w:rFonts w:hint="eastAsia" w:ascii="黑体" w:hAnsi="黑体" w:eastAsia="黑体" w:cs="宋体"/>
          <w:bCs/>
          <w:color w:val="000000"/>
          <w:sz w:val="48"/>
          <w:szCs w:val="48"/>
        </w:rPr>
      </w:pPr>
      <w:bookmarkStart w:id="2" w:name="_Toc76683364"/>
      <w:r>
        <w:rPr>
          <w:rFonts w:hint="eastAsia" w:ascii="黑体" w:hAnsi="黑体" w:eastAsia="黑体" w:cs="宋体"/>
          <w:bCs/>
          <w:color w:val="000000"/>
          <w:sz w:val="48"/>
          <w:szCs w:val="48"/>
        </w:rPr>
        <w:t>行政处罚决定书</w:t>
      </w:r>
      <w:bookmarkEnd w:id="2"/>
    </w:p>
    <w:bookmarkEnd w:id="0"/>
    <w:bookmarkEnd w:id="1"/>
    <w:p w14:paraId="17846446">
      <w:pPr>
        <w:widowControl/>
        <w:snapToGrid w:val="0"/>
        <w:spacing w:line="600" w:lineRule="exact"/>
        <w:ind w:left="-19" w:leftChars="-9" w:right="-92" w:rightChars="-44" w:firstLine="19"/>
        <w:jc w:val="center"/>
        <w:textAlignment w:val="baseline"/>
        <w:rPr>
          <w:rFonts w:hint="eastAsia" w:ascii="宋体" w:hAnsi="宋体" w:cs="仿宋"/>
          <w:bCs/>
          <w:color w:val="000000"/>
          <w:sz w:val="30"/>
          <w:szCs w:val="30"/>
        </w:rPr>
      </w:pPr>
      <w:r>
        <w:rPr>
          <w:rFonts w:hint="eastAsia" w:ascii="宋体" w:hAnsi="宋体" w:cs="仿宋"/>
          <w:bCs/>
          <w:color w:val="000000"/>
          <w:sz w:val="30"/>
          <w:szCs w:val="30"/>
        </w:rPr>
        <w:t>偃市监处罚〔2024〕2023203号</w:t>
      </w:r>
      <w:bookmarkStart w:id="6" w:name="_GoBack"/>
      <w:bookmarkEnd w:id="6"/>
      <w:r>
        <w:rPr>
          <w:rFonts w:hint="eastAsia" w:ascii="宋体" w:hAnsi="宋体" w:cs="仿宋"/>
          <w:bCs/>
          <w:color w:val="000000"/>
          <w:sz w:val="30"/>
          <w:szCs w:val="30"/>
        </w:rPr>
        <mc:AlternateContent>
          <mc:Choice Requires="wps">
            <w:drawing>
              <wp:anchor distT="0" distB="0" distL="114300" distR="114300" simplePos="0" relativeHeight="251660288" behindDoc="0" locked="0" layoutInCell="1" allowOverlap="0">
                <wp:simplePos x="0" y="0"/>
                <wp:positionH relativeFrom="column">
                  <wp:posOffset>-38100</wp:posOffset>
                </wp:positionH>
                <wp:positionV relativeFrom="paragraph">
                  <wp:posOffset>20802600</wp:posOffset>
                </wp:positionV>
                <wp:extent cx="5761990" cy="0"/>
                <wp:effectExtent l="0" t="9525" r="13970" b="13335"/>
                <wp:wrapNone/>
                <wp:docPr id="3" name="直接箭头连接符 3"/>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txbx>
                        <w:txbxContent>
                          <w:p w14:paraId="1278E461">
                            <w:pPr>
                              <w:wordWrap w:val="0"/>
                              <w:rPr>
                                <w:rFonts w:hint="eastAsia" w:ascii="宋体" w:hAnsi="宋体"/>
                                <w:sz w:val="20"/>
                                <w:szCs w:val="20"/>
                              </w:rPr>
                            </w:pPr>
                          </w:p>
                        </w:txbxContent>
                      </wps:txbx>
                      <wps:bodyPr/>
                    </wps:wsp>
                  </a:graphicData>
                </a:graphic>
              </wp:anchor>
            </w:drawing>
          </mc:Choice>
          <mc:Fallback>
            <w:pict>
              <v:shape id="_x0000_s1026" o:spid="_x0000_s1026" o:spt="32" type="#_x0000_t32" style="position:absolute;left:0pt;margin-left:-3pt;margin-top:1638pt;height:0pt;width:453.7pt;z-index:251660288;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&#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grLW/1gAAAAwBAAAPAAAAAAAAAAEAIAAAACIAAABk&#10;cnMvZG93bnJldi54bWxQSwECFAAUAAAACACHTuJAwDcF1AgCAAAGBAAADgAAAAAAAAABACAAAAAl&#10;AQAAZHJzL2Uyb0RvYy54bWxQSwUGAAAAAAYABgBZAQAAnwUAAAAA&#10;">
                <v:fill on="f" focussize="0,0"/>
                <v:stroke weight="1.5pt" color="#000000" joinstyle="round"/>
                <v:imagedata o:title=""/>
                <o:lock v:ext="edit" aspectratio="f"/>
                <v:textbox>
                  <w:txbxContent>
                    <w:p w14:paraId="1278E461">
                      <w:pPr>
                        <w:wordWrap w:val="0"/>
                        <w:rPr>
                          <w:rFonts w:hint="eastAsia" w:ascii="宋体" w:hAnsi="宋体"/>
                          <w:sz w:val="20"/>
                          <w:szCs w:val="20"/>
                        </w:rPr>
                      </w:pPr>
                    </w:p>
                  </w:txbxContent>
                </v:textbox>
              </v:shape>
            </w:pict>
          </mc:Fallback>
        </mc:AlternateContent>
      </w:r>
    </w:p>
    <w:p w14:paraId="6411C5BF">
      <w:pPr>
        <w:spacing w:line="600" w:lineRule="exact"/>
        <w:ind w:left="-19" w:leftChars="-9" w:right="-92" w:rightChars="-44" w:firstLine="19"/>
        <w:textAlignment w:val="baseline"/>
        <w:rPr>
          <w:rFonts w:hint="eastAsia" w:ascii="仿宋" w:hAnsi="仿宋" w:eastAsia="仿宋" w:cs="仿宋"/>
          <w:bCs/>
          <w:kern w:val="1"/>
          <w:sz w:val="32"/>
          <w:szCs w:val="32"/>
        </w:rPr>
      </w:pPr>
    </w:p>
    <w:p w14:paraId="4D079C6F">
      <w:pPr>
        <w:spacing w:line="600" w:lineRule="exact"/>
        <w:ind w:left="-19" w:leftChars="-9" w:right="-92" w:rightChars="-44" w:firstLine="19"/>
        <w:textAlignment w:val="baseline"/>
        <w:rPr>
          <w:rFonts w:hint="eastAsia" w:ascii="仿宋" w:hAnsi="仿宋" w:eastAsia="仿宋" w:cs="仿宋"/>
          <w:kern w:val="1"/>
          <w:sz w:val="32"/>
          <w:szCs w:val="32"/>
        </w:rPr>
      </w:pPr>
      <w:r>
        <w:rPr>
          <w:rFonts w:hint="eastAsia" w:ascii="仿宋" w:hAnsi="仿宋" w:eastAsia="仿宋" w:cs="仿宋"/>
          <w:bCs/>
          <w:kern w:val="1"/>
          <w:sz w:val="32"/>
          <w:szCs w:val="32"/>
        </w:rPr>
        <w:t>当事人：</w:t>
      </w:r>
      <w:r>
        <w:rPr>
          <w:rFonts w:hint="eastAsia" w:ascii="仿宋" w:hAnsi="仿宋" w:eastAsia="仿宋" w:cs="仿宋"/>
          <w:color w:val="221E1F"/>
          <w:sz w:val="32"/>
          <w:szCs w:val="32"/>
        </w:rPr>
        <w:t>洛阳市偃师区岳滩镇好生活百货超市（个体工商户）</w:t>
      </w:r>
      <w:r>
        <w:rPr>
          <w:rFonts w:hint="eastAsia" w:ascii="仿宋" w:hAnsi="仿宋" w:eastAsia="仿宋" w:cs="仿宋"/>
          <w:sz w:val="32"/>
          <w:szCs w:val="32"/>
        </w:rPr>
        <w:t xml:space="preserve">               </w:t>
      </w:r>
      <w:r>
        <w:rPr>
          <w:rFonts w:hint="eastAsia" w:ascii="仿宋" w:hAnsi="仿宋" w:eastAsia="仿宋" w:cs="仿宋"/>
          <w:kern w:val="1"/>
          <w:sz w:val="32"/>
          <w:szCs w:val="32"/>
        </w:rPr>
        <w:t xml:space="preserve">                                                                            </w:t>
      </w:r>
    </w:p>
    <w:p w14:paraId="38092158">
      <w:pPr>
        <w:spacing w:line="600" w:lineRule="exact"/>
        <w:ind w:left="140" w:right="-19" w:rightChars="-9" w:hanging="140"/>
        <w:textAlignment w:val="baseline"/>
        <w:rPr>
          <w:rFonts w:hint="eastAsia" w:ascii="仿宋" w:hAnsi="仿宋" w:eastAsia="仿宋" w:cs="仿宋"/>
          <w:sz w:val="32"/>
          <w:szCs w:val="32"/>
        </w:rPr>
      </w:pPr>
      <w:r>
        <w:rPr>
          <w:rFonts w:hint="eastAsia" w:ascii="仿宋" w:hAnsi="仿宋" w:eastAsia="仿宋" w:cs="仿宋"/>
          <w:bCs/>
          <w:kern w:val="1"/>
          <w:sz w:val="32"/>
          <w:szCs w:val="32"/>
        </w:rPr>
        <w:t>主体资格证照</w:t>
      </w:r>
      <w:r>
        <w:rPr>
          <w:rFonts w:hint="eastAsia" w:ascii="仿宋" w:hAnsi="仿宋" w:eastAsia="仿宋" w:cs="仿宋"/>
          <w:kern w:val="1"/>
          <w:sz w:val="32"/>
          <w:szCs w:val="32"/>
        </w:rPr>
        <w:t xml:space="preserve">名称：营业执照                                   </w:t>
      </w:r>
    </w:p>
    <w:p w14:paraId="515110B3">
      <w:pPr>
        <w:spacing w:line="600" w:lineRule="exact"/>
        <w:ind w:left="140" w:right="-19" w:rightChars="-9" w:hanging="140"/>
        <w:textAlignment w:val="baseline"/>
        <w:rPr>
          <w:rFonts w:hint="eastAsia" w:ascii="仿宋" w:hAnsi="仿宋" w:eastAsia="仿宋" w:cs="仿宋"/>
          <w:kern w:val="1"/>
          <w:sz w:val="32"/>
          <w:szCs w:val="32"/>
        </w:rPr>
      </w:pPr>
      <w:r>
        <w:rPr>
          <w:rFonts w:hint="eastAsia" w:ascii="仿宋" w:hAnsi="仿宋" w:eastAsia="仿宋" w:cs="仿宋"/>
          <w:kern w:val="1"/>
          <w:sz w:val="32"/>
          <w:szCs w:val="32"/>
        </w:rPr>
        <w:t>统一社会信用代码：</w:t>
      </w:r>
      <w:r>
        <w:rPr>
          <w:rFonts w:hint="eastAsia" w:ascii="仿宋" w:hAnsi="仿宋" w:eastAsia="仿宋" w:cs="仿宋"/>
          <w:color w:val="221E1F"/>
          <w:sz w:val="32"/>
          <w:szCs w:val="32"/>
        </w:rPr>
        <w:t>92410381MA44P5YX4A</w:t>
      </w:r>
      <w:r>
        <w:rPr>
          <w:rFonts w:hint="eastAsia" w:ascii="仿宋" w:hAnsi="仿宋" w:eastAsia="仿宋" w:cs="仿宋"/>
          <w:kern w:val="1"/>
          <w:sz w:val="32"/>
          <w:szCs w:val="32"/>
        </w:rPr>
        <w:t xml:space="preserve">                                  </w:t>
      </w:r>
    </w:p>
    <w:p w14:paraId="2DFA73CD">
      <w:pPr>
        <w:spacing w:line="600" w:lineRule="exact"/>
        <w:ind w:right="-19" w:rightChars="-9"/>
        <w:textAlignment w:val="baseline"/>
        <w:rPr>
          <w:rFonts w:hint="eastAsia" w:ascii="仿宋" w:hAnsi="仿宋" w:eastAsia="仿宋" w:cs="仿宋"/>
          <w:color w:val="221E1F"/>
          <w:sz w:val="32"/>
          <w:szCs w:val="32"/>
        </w:rPr>
      </w:pPr>
      <w:r>
        <w:rPr>
          <w:rFonts w:hint="eastAsia" w:ascii="仿宋" w:hAnsi="仿宋" w:eastAsia="仿宋" w:cs="仿宋"/>
          <w:kern w:val="1"/>
          <w:sz w:val="32"/>
          <w:szCs w:val="32"/>
        </w:rPr>
        <w:t>经营场所：</w:t>
      </w:r>
      <w:r>
        <w:rPr>
          <w:rFonts w:hint="eastAsia" w:ascii="仿宋" w:hAnsi="仿宋" w:eastAsia="仿宋" w:cs="仿宋"/>
          <w:color w:val="221E1F"/>
          <w:sz w:val="32"/>
          <w:szCs w:val="32"/>
        </w:rPr>
        <w:t>洛阳市偃师区岳滩镇后马郡村8组</w:t>
      </w:r>
    </w:p>
    <w:p w14:paraId="7C3951F7">
      <w:pPr>
        <w:spacing w:line="600" w:lineRule="exact"/>
        <w:ind w:right="-19" w:rightChars="-9"/>
        <w:textAlignment w:val="baseline"/>
        <w:rPr>
          <w:rFonts w:hint="eastAsia" w:ascii="仿宋" w:hAnsi="仿宋" w:eastAsia="仿宋" w:cs="仿宋"/>
          <w:kern w:val="1"/>
          <w:sz w:val="32"/>
          <w:szCs w:val="32"/>
        </w:rPr>
      </w:pPr>
      <w:r>
        <w:rPr>
          <w:rFonts w:hint="eastAsia" w:ascii="仿宋" w:hAnsi="仿宋" w:eastAsia="仿宋" w:cs="仿宋"/>
          <w:kern w:val="1"/>
          <w:sz w:val="32"/>
          <w:szCs w:val="32"/>
        </w:rPr>
        <w:t>经营者：</w:t>
      </w:r>
      <w:r>
        <w:rPr>
          <w:rFonts w:hint="eastAsia" w:ascii="仿宋" w:hAnsi="仿宋" w:eastAsia="仿宋" w:cs="仿宋"/>
          <w:color w:val="221E1F"/>
          <w:sz w:val="32"/>
          <w:szCs w:val="32"/>
        </w:rPr>
        <w:t>高保学</w:t>
      </w:r>
      <w:r>
        <w:rPr>
          <w:rFonts w:hint="eastAsia" w:ascii="仿宋" w:hAnsi="仿宋" w:eastAsia="仿宋" w:cs="仿宋"/>
          <w:kern w:val="1"/>
          <w:sz w:val="32"/>
          <w:szCs w:val="32"/>
        </w:rPr>
        <w:t xml:space="preserve">                             </w:t>
      </w:r>
    </w:p>
    <w:p w14:paraId="31873367">
      <w:pPr>
        <w:pStyle w:val="3"/>
        <w:tabs>
          <w:tab w:val="left" w:pos="8964"/>
        </w:tabs>
        <w:autoSpaceDE/>
        <w:autoSpaceDN/>
        <w:adjustRightInd/>
        <w:spacing w:line="600" w:lineRule="exact"/>
        <w:ind w:firstLine="612" w:firstLineChars="200"/>
        <w:jc w:val="both"/>
        <w:rPr>
          <w:rFonts w:hint="eastAsia" w:ascii="仿宋" w:hAnsi="仿宋" w:eastAsia="仿宋" w:cs="仿宋"/>
          <w:color w:val="000000" w:themeColor="text1"/>
        </w:rPr>
      </w:pPr>
      <w:r>
        <w:rPr>
          <w:rFonts w:hint="eastAsia" w:ascii="仿宋" w:hAnsi="仿宋" w:eastAsia="仿宋" w:cs="仿宋"/>
          <w:color w:val="221E1F"/>
          <w:spacing w:val="-7"/>
        </w:rPr>
        <w:t xml:space="preserve"> 2023年10月11日，我局执法人员对</w:t>
      </w:r>
      <w:r>
        <w:rPr>
          <w:rFonts w:hint="eastAsia" w:ascii="仿宋" w:hAnsi="仿宋" w:eastAsia="仿宋" w:cs="仿宋"/>
          <w:color w:val="221E1F"/>
        </w:rPr>
        <w:t>当事人经营的标称</w:t>
      </w:r>
      <w:r>
        <w:rPr>
          <w:rFonts w:hint="eastAsia" w:ascii="仿宋" w:hAnsi="仿宋" w:eastAsia="仿宋" w:cs="仿宋"/>
        </w:rPr>
        <w:t>“</w:t>
      </w:r>
      <w:r>
        <w:rPr>
          <w:rFonts w:hint="eastAsia" w:ascii="仿宋" w:hAnsi="仿宋" w:eastAsia="仿宋" w:cs="仿宋_GB2312"/>
        </w:rPr>
        <w:t>酱牛肉</w:t>
      </w:r>
      <w:r>
        <w:rPr>
          <w:rFonts w:hint="eastAsia" w:ascii="仿宋" w:hAnsi="仿宋" w:eastAsia="仿宋" w:cs="仿宋"/>
        </w:rPr>
        <w:t>”进行抽样，并委托河南省产品质量检验技术研究院对样品进行检验</w:t>
      </w:r>
      <w:r>
        <w:rPr>
          <w:rFonts w:hint="eastAsia" w:ascii="仿宋" w:hAnsi="仿宋" w:eastAsia="仿宋" w:cs="仿宋"/>
          <w:color w:val="221E1F"/>
        </w:rPr>
        <w:t>。2023年11月16日，我局收到</w:t>
      </w:r>
      <w:bookmarkStart w:id="3" w:name="_Hlk172557810"/>
      <w:r>
        <w:rPr>
          <w:rFonts w:hint="eastAsia" w:ascii="仿宋" w:hAnsi="仿宋" w:eastAsia="仿宋" w:cs="仿宋"/>
          <w:color w:val="221E1F"/>
        </w:rPr>
        <w:t>河南省产品质量检验技术研究院</w:t>
      </w:r>
      <w:r>
        <w:rPr>
          <w:rFonts w:hint="eastAsia" w:ascii="仿宋" w:hAnsi="仿宋" w:eastAsia="仿宋" w:cs="仿宋"/>
          <w:color w:val="221E1F"/>
          <w:spacing w:val="-7"/>
        </w:rPr>
        <w:t>检验检测报告№</w:t>
      </w:r>
      <w:r>
        <w:rPr>
          <w:rFonts w:hint="eastAsia" w:ascii="仿宋" w:hAnsi="仿宋" w:eastAsia="仿宋" w:cs="仿宋"/>
          <w:color w:val="221E1F"/>
        </w:rPr>
        <w:t xml:space="preserve"> </w:t>
      </w:r>
      <w:r>
        <w:rPr>
          <w:rFonts w:hint="eastAsia" w:ascii="仿宋" w:hAnsi="仿宋" w:eastAsia="仿宋" w:cs="仿宋"/>
          <w:color w:val="221E1F"/>
          <w:spacing w:val="-7"/>
        </w:rPr>
        <w:t>SY20230220499，报告检验结果：检出猪源性成分，检出牛源性成分。</w:t>
      </w:r>
      <w:bookmarkEnd w:id="3"/>
      <w:r>
        <w:rPr>
          <w:rFonts w:hint="eastAsia" w:ascii="仿宋" w:hAnsi="仿宋" w:eastAsia="仿宋" w:cs="仿宋"/>
          <w:color w:val="221E1F"/>
          <w:spacing w:val="-7"/>
        </w:rPr>
        <w:t>执法人员同日将上述报告送达当事人</w:t>
      </w:r>
      <w:r>
        <w:rPr>
          <w:rFonts w:hint="eastAsia" w:ascii="仿宋" w:hAnsi="仿宋" w:eastAsia="仿宋" w:cs="仿宋"/>
          <w:color w:val="221E1F"/>
        </w:rPr>
        <w:t>。</w:t>
      </w:r>
      <w:r>
        <w:rPr>
          <w:rFonts w:hint="eastAsia" w:ascii="仿宋" w:hAnsi="仿宋" w:eastAsia="仿宋" w:cs="仿宋"/>
        </w:rPr>
        <w:t>在规定的时间内，</w:t>
      </w:r>
      <w:r>
        <w:rPr>
          <w:rFonts w:hint="eastAsia" w:ascii="仿宋" w:hAnsi="仿宋" w:eastAsia="仿宋" w:cs="仿宋"/>
          <w:color w:val="221E1F"/>
        </w:rPr>
        <w:t>当事人</w:t>
      </w:r>
      <w:r>
        <w:rPr>
          <w:rFonts w:hint="eastAsia" w:ascii="仿宋" w:hAnsi="仿宋" w:eastAsia="仿宋" w:cs="仿宋"/>
        </w:rPr>
        <w:t>未提出异议</w:t>
      </w:r>
      <w:r>
        <w:rPr>
          <w:rFonts w:hint="eastAsia" w:ascii="仿宋" w:hAnsi="仿宋" w:eastAsia="仿宋" w:cs="仿宋"/>
          <w:color w:val="221E1F"/>
        </w:rPr>
        <w:t>。</w:t>
      </w:r>
      <w:r>
        <w:rPr>
          <w:rFonts w:hint="eastAsia" w:ascii="仿宋" w:hAnsi="仿宋" w:eastAsia="仿宋" w:cs="仿宋"/>
          <w:color w:val="000000" w:themeColor="text1"/>
        </w:rPr>
        <w:t>为进一步调查事实，2023年12月6日我局对当事人立案，并指定</w:t>
      </w:r>
      <w:r>
        <w:rPr>
          <w:rFonts w:hint="eastAsia" w:ascii="仿宋" w:hAnsi="仿宋" w:eastAsia="仿宋" w:cs="仿宋_GB2312"/>
          <w:color w:val="000000" w:themeColor="text1"/>
        </w:rPr>
        <w:t>宋凌武、王艳红</w:t>
      </w:r>
      <w:r>
        <w:rPr>
          <w:rFonts w:hint="eastAsia" w:ascii="仿宋" w:hAnsi="仿宋" w:eastAsia="仿宋" w:cs="仿宋"/>
          <w:color w:val="000000" w:themeColor="text1"/>
        </w:rPr>
        <w:t>为办案人员。立案后，执法人员通过现场检查、询问相关人员、调取相关证据等方式对案件进行了调查。</w:t>
      </w:r>
    </w:p>
    <w:p w14:paraId="6682F6D9">
      <w:pPr>
        <w:pStyle w:val="3"/>
        <w:tabs>
          <w:tab w:val="left" w:pos="8964"/>
        </w:tabs>
        <w:autoSpaceDE/>
        <w:autoSpaceDN/>
        <w:adjustRightInd/>
        <w:spacing w:line="600" w:lineRule="exact"/>
        <w:ind w:left="105" w:leftChars="50" w:firstLine="612" w:firstLineChars="200"/>
        <w:jc w:val="both"/>
        <w:rPr>
          <w:rFonts w:hint="eastAsia" w:ascii="仿宋" w:hAnsi="仿宋" w:eastAsia="仿宋" w:cs="仿宋_GB2312"/>
          <w:color w:val="000000" w:themeColor="text1"/>
        </w:rPr>
      </w:pPr>
      <w:r>
        <w:rPr>
          <w:rFonts w:hint="eastAsia" w:ascii="仿宋" w:hAnsi="仿宋" w:eastAsia="仿宋" w:cs="仿宋"/>
          <w:spacing w:val="-7"/>
        </w:rPr>
        <w:t>经查，</w:t>
      </w:r>
      <w:r>
        <w:rPr>
          <w:rFonts w:hint="eastAsia" w:ascii="仿宋" w:hAnsi="仿宋" w:eastAsia="仿宋" w:cs="仿宋_GB2312"/>
        </w:rPr>
        <w:t>当事人称</w:t>
      </w:r>
      <w:r>
        <w:rPr>
          <w:rFonts w:hint="eastAsia" w:ascii="仿宋" w:hAnsi="仿宋" w:eastAsia="仿宋" w:cs="仿宋"/>
        </w:rPr>
        <w:t>其经营的</w:t>
      </w:r>
      <w:r>
        <w:rPr>
          <w:rFonts w:hint="eastAsia" w:ascii="仿宋" w:hAnsi="仿宋" w:eastAsia="仿宋" w:cs="仿宋"/>
          <w:spacing w:val="-7"/>
        </w:rPr>
        <w:t>“</w:t>
      </w:r>
      <w:r>
        <w:rPr>
          <w:rFonts w:hint="eastAsia" w:ascii="仿宋" w:hAnsi="仿宋" w:eastAsia="仿宋" w:cs="仿宋_GB2312"/>
        </w:rPr>
        <w:t>酱牛肉</w:t>
      </w:r>
      <w:r>
        <w:rPr>
          <w:rFonts w:hint="eastAsia" w:ascii="仿宋" w:hAnsi="仿宋" w:eastAsia="仿宋" w:cs="仿宋"/>
          <w:spacing w:val="-7"/>
        </w:rPr>
        <w:t>”</w:t>
      </w:r>
      <w:r>
        <w:rPr>
          <w:rFonts w:hint="eastAsia" w:ascii="仿宋" w:hAnsi="仿宋" w:eastAsia="仿宋" w:cs="仿宋_GB2312"/>
        </w:rPr>
        <w:t>从</w:t>
      </w:r>
      <w:r>
        <w:rPr>
          <w:rFonts w:hint="eastAsia" w:ascii="仿宋" w:hAnsi="仿宋" w:eastAsia="仿宋" w:cs="仿宋"/>
        </w:rPr>
        <w:t>2023年3月2日开始一直从</w:t>
      </w:r>
      <w:r>
        <w:rPr>
          <w:rFonts w:hint="eastAsia" w:ascii="仿宋" w:hAnsi="仿宋" w:eastAsia="仿宋" w:cs="仿宋_GB2312"/>
        </w:rPr>
        <w:t>偃师市城关镇农贸市场张航牛肉摊(2023年12月18日办理变更登记，名称变更为洛阳市偃师区掌航食品店)</w:t>
      </w:r>
      <w:r>
        <w:rPr>
          <w:rFonts w:hint="eastAsia" w:ascii="仿宋" w:hAnsi="仿宋" w:eastAsia="仿宋" w:cs="仿宋"/>
        </w:rPr>
        <w:t>购进</w:t>
      </w:r>
      <w:r>
        <w:rPr>
          <w:rFonts w:hint="eastAsia" w:ascii="仿宋" w:hAnsi="仿宋" w:eastAsia="仿宋" w:cs="仿宋_GB2312"/>
        </w:rPr>
        <w:t>。</w:t>
      </w:r>
      <w:r>
        <w:rPr>
          <w:rFonts w:hint="eastAsia" w:ascii="仿宋" w:hAnsi="仿宋" w:eastAsia="仿宋" w:cs="仿宋"/>
          <w:color w:val="000000" w:themeColor="text1"/>
        </w:rPr>
        <w:t>2023年10月4日，当事人购进</w:t>
      </w:r>
      <w:bookmarkStart w:id="4" w:name="_Hlk172557790"/>
      <w:r>
        <w:rPr>
          <w:rFonts w:hint="eastAsia" w:ascii="仿宋" w:hAnsi="仿宋" w:eastAsia="仿宋" w:cs="仿宋"/>
          <w:color w:val="000000" w:themeColor="text1"/>
        </w:rPr>
        <w:t>“酱牛肉”</w:t>
      </w:r>
      <w:bookmarkEnd w:id="4"/>
      <w:r>
        <w:rPr>
          <w:rFonts w:hint="eastAsia" w:ascii="仿宋" w:hAnsi="仿宋" w:eastAsia="仿宋" w:cs="仿宋"/>
          <w:color w:val="000000" w:themeColor="text1"/>
        </w:rPr>
        <w:t>5.4</w:t>
      </w:r>
      <w:bookmarkStart w:id="5" w:name="_Hlk172557708"/>
      <w:r>
        <w:rPr>
          <w:rFonts w:hint="eastAsia" w:ascii="仿宋" w:hAnsi="仿宋" w:eastAsia="仿宋" w:cs="仿宋"/>
          <w:color w:val="000000" w:themeColor="text1"/>
        </w:rPr>
        <w:t>公斤</w:t>
      </w:r>
      <w:bookmarkEnd w:id="5"/>
      <w:r>
        <w:rPr>
          <w:rFonts w:hint="eastAsia" w:ascii="仿宋" w:hAnsi="仿宋" w:eastAsia="仿宋" w:cs="仿宋"/>
          <w:color w:val="000000" w:themeColor="text1"/>
        </w:rPr>
        <w:t>，</w:t>
      </w:r>
      <w:r>
        <w:rPr>
          <w:rFonts w:hint="eastAsia" w:ascii="仿宋" w:hAnsi="仿宋" w:eastAsia="仿宋" w:cs="仿宋_GB2312"/>
          <w:color w:val="000000" w:themeColor="text1"/>
        </w:rPr>
        <w:t>进价90元/公斤，售价116元/公斤。当事人提供有进货票据、供货方营业执照和食品经营许可证。</w:t>
      </w:r>
      <w:r>
        <w:rPr>
          <w:rFonts w:hint="eastAsia" w:ascii="仿宋" w:hAnsi="仿宋" w:eastAsia="仿宋" w:cs="仿宋"/>
          <w:color w:val="000000" w:themeColor="text1"/>
        </w:rPr>
        <w:t>2023年10月11日执法人员抽样时，</w:t>
      </w:r>
      <w:r>
        <w:rPr>
          <w:rFonts w:hint="eastAsia" w:ascii="仿宋" w:hAnsi="仿宋" w:eastAsia="仿宋" w:cs="仿宋"/>
        </w:rPr>
        <w:t>样品付款</w:t>
      </w:r>
      <w:r>
        <w:rPr>
          <w:rFonts w:hint="eastAsia" w:ascii="仿宋" w:hAnsi="仿宋" w:eastAsia="仿宋" w:cs="仿宋"/>
          <w:color w:val="000000" w:themeColor="text1"/>
        </w:rPr>
        <w:t>124.6</w:t>
      </w:r>
      <w:r>
        <w:rPr>
          <w:rFonts w:hint="eastAsia" w:ascii="仿宋" w:hAnsi="仿宋" w:eastAsia="仿宋" w:cs="仿宋"/>
        </w:rPr>
        <w:t>元，基数牛肉货值626.4‬元。上述“酱牛肉”经河南省产品质量检验技术研究院检验，报告检验结果：检出猪源性成分，检出牛源性成分。</w:t>
      </w:r>
    </w:p>
    <w:p w14:paraId="4944C73C">
      <w:pPr>
        <w:pStyle w:val="3"/>
        <w:tabs>
          <w:tab w:val="left" w:pos="8964"/>
        </w:tabs>
        <w:autoSpaceDE/>
        <w:autoSpaceDN/>
        <w:adjustRightInd/>
        <w:spacing w:line="600" w:lineRule="exact"/>
        <w:ind w:firstLine="640" w:firstLineChars="200"/>
        <w:jc w:val="both"/>
        <w:rPr>
          <w:rFonts w:hint="eastAsia" w:ascii="仿宋" w:hAnsi="仿宋" w:eastAsia="仿宋" w:cs="仿宋_GB2312"/>
          <w:color w:val="000000" w:themeColor="text1"/>
        </w:rPr>
      </w:pPr>
      <w:r>
        <w:rPr>
          <w:rFonts w:hint="eastAsia" w:ascii="仿宋" w:hAnsi="仿宋" w:eastAsia="仿宋" w:cs="仿宋_GB2312"/>
          <w:color w:val="000000" w:themeColor="text1"/>
        </w:rPr>
        <w:t>另：2024年1月8日，偃师市岳滩镇好生活超市</w:t>
      </w:r>
      <w:r>
        <w:rPr>
          <w:rFonts w:hint="eastAsia" w:ascii="仿宋" w:hAnsi="仿宋" w:eastAsia="仿宋" w:cs="仿宋_GB2312"/>
        </w:rPr>
        <w:t>办理变更登记，其名称变更为洛阳市偃师区岳滩镇好生活百货超市；经营场所变更为洛阳市偃师区岳滩镇后马郡村8组。</w:t>
      </w:r>
    </w:p>
    <w:p w14:paraId="6E9C31EB">
      <w:pPr>
        <w:pStyle w:val="3"/>
        <w:tabs>
          <w:tab w:val="left" w:pos="8964"/>
        </w:tabs>
        <w:autoSpaceDE/>
        <w:autoSpaceDN/>
        <w:adjustRightInd/>
        <w:spacing w:line="600" w:lineRule="exact"/>
        <w:ind w:firstLine="640" w:firstLineChars="200"/>
        <w:jc w:val="both"/>
        <w:rPr>
          <w:rFonts w:hint="eastAsia" w:ascii="仿宋" w:hAnsi="仿宋" w:eastAsia="仿宋" w:cs="仿宋_GB2312"/>
          <w:color w:val="000000" w:themeColor="text1"/>
        </w:rPr>
      </w:pPr>
      <w:r>
        <w:rPr>
          <w:rFonts w:hint="eastAsia" w:ascii="仿宋" w:hAnsi="仿宋" w:eastAsia="仿宋" w:cs="仿宋_GB2312"/>
          <w:color w:val="000000" w:themeColor="text1"/>
        </w:rPr>
        <w:t>上述事实，主要有以下证据证明：</w:t>
      </w:r>
    </w:p>
    <w:p w14:paraId="7933FE80">
      <w:pPr>
        <w:pStyle w:val="3"/>
        <w:tabs>
          <w:tab w:val="left" w:pos="8964"/>
        </w:tabs>
        <w:autoSpaceDE/>
        <w:autoSpaceDN/>
        <w:adjustRightInd/>
        <w:spacing w:line="600" w:lineRule="exact"/>
        <w:ind w:left="740"/>
        <w:jc w:val="both"/>
        <w:rPr>
          <w:rFonts w:hint="eastAsia" w:ascii="仿宋" w:hAnsi="仿宋" w:eastAsia="仿宋" w:cs="仿宋"/>
          <w:bCs/>
        </w:rPr>
      </w:pPr>
      <w:r>
        <w:rPr>
          <w:rFonts w:hint="eastAsia" w:ascii="仿宋" w:hAnsi="仿宋" w:eastAsia="仿宋" w:cs="仿宋_GB2312"/>
          <w:color w:val="000000" w:themeColor="text1"/>
        </w:rPr>
        <w:t>1.营业执照、食品经营许可证及身份证</w:t>
      </w:r>
      <w:r>
        <w:rPr>
          <w:rFonts w:hint="eastAsia" w:ascii="仿宋" w:hAnsi="仿宋" w:eastAsia="仿宋" w:cs="仿宋"/>
          <w:bCs/>
        </w:rPr>
        <w:t>复印件，证明</w:t>
      </w:r>
    </w:p>
    <w:p w14:paraId="5AB777B3">
      <w:pPr>
        <w:pStyle w:val="3"/>
        <w:tabs>
          <w:tab w:val="left" w:pos="8964"/>
        </w:tabs>
        <w:autoSpaceDE/>
        <w:autoSpaceDN/>
        <w:adjustRightInd/>
        <w:spacing w:line="600" w:lineRule="exact"/>
        <w:jc w:val="both"/>
        <w:rPr>
          <w:rFonts w:hint="eastAsia" w:ascii="仿宋" w:hAnsi="仿宋" w:eastAsia="仿宋" w:cs="仿宋"/>
          <w:bCs/>
        </w:rPr>
      </w:pPr>
      <w:r>
        <w:rPr>
          <w:rFonts w:hint="eastAsia" w:ascii="仿宋" w:hAnsi="仿宋" w:eastAsia="仿宋" w:cs="仿宋"/>
          <w:bCs/>
        </w:rPr>
        <w:t>当事人的主体资格及身份证明；</w:t>
      </w:r>
    </w:p>
    <w:p w14:paraId="4B77E9F7">
      <w:pPr>
        <w:pStyle w:val="8"/>
        <w:shd w:val="clear" w:color="auto" w:fill="FFFFFF"/>
        <w:spacing w:beforeAutospacing="0" w:afterAutospacing="0" w:line="600" w:lineRule="exact"/>
        <w:ind w:left="740"/>
        <w:jc w:val="both"/>
        <w:rPr>
          <w:rFonts w:hint="eastAsia" w:ascii="仿宋" w:hAnsi="仿宋" w:eastAsia="仿宋" w:cs="仿宋"/>
          <w:bCs/>
          <w:sz w:val="32"/>
          <w:szCs w:val="32"/>
        </w:rPr>
      </w:pPr>
      <w:r>
        <w:rPr>
          <w:rFonts w:hint="eastAsia" w:ascii="仿宋" w:hAnsi="仿宋" w:eastAsia="仿宋" w:cs="仿宋"/>
          <w:bCs/>
          <w:sz w:val="32"/>
          <w:szCs w:val="32"/>
        </w:rPr>
        <w:t>2.询问笔录，证明当事人违法行为的事实；</w:t>
      </w:r>
    </w:p>
    <w:p w14:paraId="52577DB3">
      <w:pPr>
        <w:pStyle w:val="8"/>
        <w:shd w:val="clear" w:color="auto" w:fill="FFFFFF"/>
        <w:spacing w:beforeAutospacing="0" w:afterAutospacing="0" w:line="600" w:lineRule="exact"/>
        <w:ind w:left="740"/>
        <w:jc w:val="both"/>
        <w:rPr>
          <w:rFonts w:hint="eastAsia" w:ascii="仿宋" w:hAnsi="仿宋" w:eastAsia="仿宋" w:cs="仿宋"/>
          <w:bCs/>
          <w:sz w:val="32"/>
          <w:szCs w:val="32"/>
        </w:rPr>
      </w:pPr>
      <w:r>
        <w:rPr>
          <w:rFonts w:hint="eastAsia" w:ascii="仿宋" w:hAnsi="仿宋" w:eastAsia="仿宋" w:cs="仿宋"/>
          <w:bCs/>
          <w:sz w:val="32"/>
          <w:szCs w:val="32"/>
        </w:rPr>
        <w:t>3.抽样记录和检验检测报告，证明当事人经营的</w:t>
      </w:r>
      <w:r>
        <w:rPr>
          <w:rStyle w:val="15"/>
          <w:rFonts w:hint="eastAsia" w:ascii="仿宋" w:hAnsi="仿宋" w:eastAsia="仿宋"/>
          <w:color w:val="333333"/>
          <w:sz w:val="32"/>
          <w:szCs w:val="32"/>
        </w:rPr>
        <w:t>标称</w:t>
      </w:r>
    </w:p>
    <w:p w14:paraId="017E151F">
      <w:pPr>
        <w:pStyle w:val="8"/>
        <w:shd w:val="clear" w:color="auto" w:fill="FFFFFF"/>
        <w:spacing w:beforeAutospacing="0" w:afterAutospacing="0" w:line="600" w:lineRule="exact"/>
        <w:jc w:val="both"/>
        <w:rPr>
          <w:rFonts w:hint="eastAsia" w:ascii="仿宋" w:hAnsi="仿宋" w:eastAsia="仿宋" w:cs="仿宋"/>
          <w:bCs/>
          <w:sz w:val="32"/>
          <w:szCs w:val="32"/>
        </w:rPr>
      </w:pPr>
      <w:r>
        <w:rPr>
          <w:rFonts w:hint="eastAsia" w:ascii="仿宋" w:hAnsi="仿宋" w:eastAsia="仿宋" w:cs="仿宋"/>
          <w:bCs/>
          <w:sz w:val="32"/>
          <w:szCs w:val="32"/>
        </w:rPr>
        <w:t>“酱牛肉”被抽样检验的情况。</w:t>
      </w:r>
    </w:p>
    <w:p w14:paraId="5CFCF89D">
      <w:pPr>
        <w:pStyle w:val="3"/>
        <w:tabs>
          <w:tab w:val="left" w:pos="9060"/>
        </w:tabs>
        <w:adjustRightInd/>
        <w:spacing w:line="600" w:lineRule="exact"/>
        <w:ind w:firstLine="640" w:firstLineChars="200"/>
        <w:jc w:val="both"/>
        <w:textAlignment w:val="baseline"/>
        <w:rPr>
          <w:rFonts w:hint="eastAsia" w:ascii="仿宋" w:hAnsi="仿宋" w:eastAsia="仿宋" w:cs="仿宋"/>
          <w:color w:val="231F20"/>
        </w:rPr>
      </w:pPr>
      <w:r>
        <w:rPr>
          <w:rFonts w:hint="eastAsia" w:ascii="仿宋" w:hAnsi="仿宋" w:eastAsia="仿宋" w:cs="仿宋"/>
          <w:color w:val="231F20"/>
        </w:rPr>
        <w:t>本局认为，当事人的行为违反了《侵害消费者权益行为处罚办法》第五条“经营者提供商品或者服务不得有下列行为：（七）在销售的商品中掺杂、掺假，以假充真，以次充好，以不合格商品冒充合格商品；”之规定，违背了经营者为消费者提供商品，应当遵循的诚实信用原则，侵害了消费者的合法权益。鉴于当事人积极配合调查，并提供相关证据，依据《河南省市场监督管理行政处罚裁量权适用通则》第十条“有下列情形之一的，可以依法从轻或者减轻行政处罚：（二）积极配合市场监管部门调查，并主动提供证据材料的；”之规定，可以依法对其减轻行政处罚。</w:t>
      </w:r>
    </w:p>
    <w:p w14:paraId="6FDA7B45">
      <w:pPr>
        <w:pStyle w:val="3"/>
        <w:tabs>
          <w:tab w:val="left" w:pos="9060"/>
        </w:tabs>
        <w:adjustRightInd/>
        <w:spacing w:line="600" w:lineRule="exact"/>
        <w:ind w:firstLine="640" w:firstLineChars="200"/>
        <w:jc w:val="both"/>
        <w:textAlignment w:val="baseline"/>
        <w:rPr>
          <w:rFonts w:hint="eastAsia" w:ascii="仿宋" w:hAnsi="仿宋" w:eastAsia="仿宋" w:cs="仿宋"/>
        </w:rPr>
      </w:pPr>
      <w:r>
        <w:rPr>
          <w:rFonts w:hint="eastAsia" w:ascii="仿宋" w:hAnsi="仿宋" w:eastAsia="仿宋" w:cs="仿宋"/>
        </w:rPr>
        <w:t>我局于2024年6月25日向当事人送达偃市监罚告〔2024〕2023203号《行政处罚告知书》，告知当事人我局拟做出行政处罚决定的事实、理由、依据、内容以及当事人依法享有的陈述权、申辩权。当事人在法定期限内未向我局提出陈述、申辩意见。</w:t>
      </w:r>
    </w:p>
    <w:p w14:paraId="2BB80260">
      <w:pPr>
        <w:pStyle w:val="3"/>
        <w:tabs>
          <w:tab w:val="left" w:pos="9060"/>
        </w:tabs>
        <w:adjustRightInd/>
        <w:spacing w:line="600" w:lineRule="exact"/>
        <w:ind w:firstLine="640" w:firstLineChars="200"/>
        <w:jc w:val="both"/>
        <w:textAlignment w:val="baseline"/>
        <w:rPr>
          <w:rFonts w:hint="eastAsia" w:ascii="仿宋" w:hAnsi="仿宋" w:eastAsia="仿宋" w:cs="仿宋"/>
          <w:color w:val="221E1F"/>
        </w:rPr>
      </w:pPr>
      <w:r>
        <w:rPr>
          <w:rFonts w:hint="eastAsia" w:ascii="仿宋" w:hAnsi="仿宋" w:eastAsia="仿宋" w:cs="仿宋"/>
          <w:color w:val="221E1F"/>
        </w:rPr>
        <w:t>依据《侵害消费者权益行为处罚办法》第十四条“经营者有本办法第五条至第十一条规定的情形之一，其他法律、法规有规定的，依照法律、法规的规定执行；法律、法规未做规定的，由市场监督管理部门依照《消费者权益保护法》第五十六条予以处罚”之规定，依据《中华人民共和国食品安全法》进行处罚，根据《中华人民共和国食品安全法》第一百二十四条“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四）生产经营腐败变质、油脂酸败、霉变生虫、污秽不洁、混有异物、掺假掺杂或者感官性状异常的食品、食品添加剂；”之规定，及《中华人民共和国行政处罚法》第二十八条第一款“行政机关实施行政处罚时，应当责令当事人改正或者限期改正违法行为”之规定，我局研究决定，责令洛阳市偃师区岳滩镇好生活百货超市改正违法行为，没收违法所得626.4元，处9373.6元罚款。</w:t>
      </w:r>
    </w:p>
    <w:p w14:paraId="4D3FDD8A">
      <w:pPr>
        <w:pStyle w:val="3"/>
        <w:tabs>
          <w:tab w:val="left" w:pos="9060"/>
        </w:tabs>
        <w:adjustRightInd/>
        <w:spacing w:line="600" w:lineRule="exact"/>
        <w:ind w:firstLine="640" w:firstLineChars="200"/>
        <w:jc w:val="both"/>
        <w:textAlignment w:val="baseline"/>
        <w:rPr>
          <w:rFonts w:hint="eastAsia" w:ascii="仿宋" w:hAnsi="仿宋" w:eastAsia="仿宋" w:cs="仿宋"/>
          <w:color w:val="221E1F"/>
          <w:kern w:val="2"/>
        </w:rPr>
      </w:pPr>
      <w:r>
        <w:rPr>
          <w:rFonts w:hint="eastAsia" w:ascii="仿宋" w:hAnsi="仿宋" w:eastAsia="仿宋" w:cs="仿宋"/>
          <w:color w:val="221E1F"/>
          <w:kern w:val="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2622C79C">
      <w:pPr>
        <w:pStyle w:val="3"/>
        <w:tabs>
          <w:tab w:val="left" w:pos="9060"/>
        </w:tabs>
        <w:adjustRightInd/>
        <w:spacing w:line="600" w:lineRule="exact"/>
        <w:ind w:firstLine="640" w:firstLineChars="200"/>
        <w:jc w:val="both"/>
        <w:textAlignment w:val="baseline"/>
        <w:rPr>
          <w:rFonts w:hint="eastAsia" w:ascii="仿宋" w:hAnsi="仿宋" w:eastAsia="仿宋" w:cs="仿宋"/>
          <w:color w:val="221E1F"/>
          <w:kern w:val="2"/>
        </w:rPr>
      </w:pPr>
      <w:r>
        <w:rPr>
          <w:rFonts w:hint="eastAsia" w:ascii="仿宋" w:hAnsi="仿宋" w:eastAsia="仿宋" w:cs="仿宋"/>
          <w:color w:val="221E1F"/>
          <w:kern w:val="2"/>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p>
    <w:p w14:paraId="69D7C10B">
      <w:pPr>
        <w:pStyle w:val="3"/>
        <w:tabs>
          <w:tab w:val="left" w:pos="9060"/>
        </w:tabs>
        <w:adjustRightInd/>
        <w:spacing w:line="600" w:lineRule="exact"/>
        <w:ind w:firstLine="640" w:firstLineChars="200"/>
        <w:jc w:val="both"/>
        <w:textAlignment w:val="baseline"/>
        <w:rPr>
          <w:rFonts w:hint="eastAsia" w:ascii="仿宋" w:hAnsi="仿宋" w:eastAsia="仿宋" w:cs="仿宋"/>
          <w:color w:val="221E1F"/>
          <w:kern w:val="2"/>
        </w:rPr>
      </w:pPr>
      <w:r>
        <w:rPr>
          <w:rFonts w:hint="eastAsia" w:ascii="仿宋" w:hAnsi="仿宋" w:eastAsia="仿宋" w:cs="仿宋"/>
          <w:color w:val="221E1F"/>
          <w:kern w:val="2"/>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14:paraId="75C3D8FC">
      <w:pPr>
        <w:spacing w:line="580" w:lineRule="exact"/>
        <w:rPr>
          <w:rFonts w:hint="eastAsia" w:ascii="仿宋" w:hAnsi="仿宋" w:eastAsia="仿宋"/>
          <w:sz w:val="32"/>
          <w:szCs w:val="32"/>
        </w:rPr>
      </w:pPr>
    </w:p>
    <w:p w14:paraId="75682DF6">
      <w:pPr>
        <w:spacing w:line="580" w:lineRule="exact"/>
        <w:rPr>
          <w:rFonts w:hint="eastAsia" w:ascii="仿宋" w:hAnsi="仿宋" w:eastAsia="仿宋"/>
          <w:sz w:val="32"/>
          <w:szCs w:val="32"/>
        </w:rPr>
      </w:pPr>
    </w:p>
    <w:p w14:paraId="38B81E4B">
      <w:pPr>
        <w:spacing w:line="580" w:lineRule="exact"/>
        <w:rPr>
          <w:rFonts w:hint="eastAsia" w:ascii="仿宋" w:hAnsi="仿宋" w:eastAsia="仿宋"/>
          <w:sz w:val="32"/>
          <w:szCs w:val="32"/>
        </w:rPr>
      </w:pPr>
    </w:p>
    <w:p w14:paraId="0A6EFAB1">
      <w:pPr>
        <w:spacing w:line="580" w:lineRule="exact"/>
        <w:ind w:firstLine="2880" w:firstLineChars="900"/>
        <w:rPr>
          <w:rFonts w:hint="eastAsia" w:ascii="仿宋" w:hAnsi="仿宋" w:eastAsia="仿宋"/>
          <w:sz w:val="32"/>
          <w:szCs w:val="32"/>
        </w:rPr>
      </w:pPr>
      <w:r>
        <w:rPr>
          <w:rFonts w:hint="eastAsia" w:ascii="仿宋" w:hAnsi="仿宋" w:eastAsia="仿宋"/>
          <w:sz w:val="32"/>
          <w:szCs w:val="32"/>
        </w:rPr>
        <w:t xml:space="preserve">洛阳市偃师区市场监督管理局            </w:t>
      </w:r>
    </w:p>
    <w:p w14:paraId="5E940ACD">
      <w:pPr>
        <w:spacing w:line="580" w:lineRule="exact"/>
        <w:rPr>
          <w:rFonts w:hint="eastAsia" w:ascii="仿宋" w:hAnsi="仿宋" w:eastAsia="仿宋"/>
          <w:sz w:val="32"/>
          <w:szCs w:val="32"/>
        </w:rPr>
      </w:pPr>
      <w:r>
        <w:rPr>
          <w:rFonts w:hint="eastAsia" w:ascii="仿宋" w:hAnsi="仿宋" w:eastAsia="仿宋"/>
          <w:sz w:val="32"/>
          <w:szCs w:val="32"/>
        </w:rPr>
        <w:t xml:space="preserve">          </w:t>
      </w:r>
    </w:p>
    <w:p w14:paraId="706F44A5">
      <w:pPr>
        <w:spacing w:line="580" w:lineRule="exact"/>
        <w:rPr>
          <w:rFonts w:hint="eastAsia" w:ascii="仿宋" w:hAnsi="仿宋" w:eastAsia="仿宋"/>
          <w:sz w:val="32"/>
          <w:szCs w:val="32"/>
        </w:rPr>
      </w:pPr>
      <w:r>
        <w:rPr>
          <w:rFonts w:hint="eastAsia" w:ascii="仿宋" w:hAnsi="仿宋" w:eastAsia="仿宋"/>
          <w:sz w:val="32"/>
          <w:szCs w:val="32"/>
        </w:rPr>
        <w:t xml:space="preserve">                         2024年7月15日</w:t>
      </w:r>
    </w:p>
    <w:p w14:paraId="77A9568A">
      <w:pPr>
        <w:spacing w:line="460" w:lineRule="exact"/>
        <w:rPr>
          <w:rFonts w:hint="eastAsia" w:ascii="仿宋" w:hAnsi="仿宋" w:eastAsia="仿宋"/>
          <w:sz w:val="32"/>
          <w:szCs w:val="32"/>
        </w:rPr>
      </w:pPr>
    </w:p>
    <w:p w14:paraId="177B3CFF">
      <w:pPr>
        <w:spacing w:line="460" w:lineRule="exact"/>
        <w:rPr>
          <w:rFonts w:ascii="仿宋" w:hAnsi="仿宋" w:eastAsia="仿宋"/>
          <w:sz w:val="32"/>
          <w:szCs w:val="32"/>
        </w:rPr>
      </w:pPr>
    </w:p>
    <w:p w14:paraId="3A841663">
      <w:pPr>
        <w:spacing w:line="460" w:lineRule="exact"/>
        <w:rPr>
          <w:rFonts w:ascii="仿宋" w:hAnsi="仿宋" w:eastAsia="仿宋"/>
          <w:sz w:val="32"/>
          <w:szCs w:val="32"/>
        </w:rPr>
      </w:pPr>
    </w:p>
    <w:p w14:paraId="6E3EDF7E">
      <w:pPr>
        <w:spacing w:line="460" w:lineRule="exact"/>
        <w:rPr>
          <w:rFonts w:ascii="仿宋" w:hAnsi="仿宋" w:eastAsia="仿宋"/>
          <w:sz w:val="32"/>
          <w:szCs w:val="32"/>
        </w:rPr>
      </w:pPr>
    </w:p>
    <w:p w14:paraId="07DD4E3B">
      <w:pPr>
        <w:spacing w:line="460" w:lineRule="exact"/>
        <w:rPr>
          <w:rFonts w:ascii="仿宋" w:hAnsi="仿宋" w:eastAsia="仿宋"/>
          <w:sz w:val="32"/>
          <w:szCs w:val="32"/>
        </w:rPr>
      </w:pPr>
    </w:p>
    <w:p w14:paraId="68440061">
      <w:pPr>
        <w:spacing w:line="460" w:lineRule="exact"/>
        <w:rPr>
          <w:rFonts w:ascii="仿宋" w:hAnsi="仿宋" w:eastAsia="仿宋"/>
          <w:sz w:val="32"/>
          <w:szCs w:val="32"/>
        </w:rPr>
      </w:pPr>
    </w:p>
    <w:p w14:paraId="1A9C53F3">
      <w:pPr>
        <w:spacing w:line="460" w:lineRule="exact"/>
        <w:rPr>
          <w:rFonts w:ascii="仿宋" w:hAnsi="仿宋" w:eastAsia="仿宋"/>
          <w:sz w:val="32"/>
          <w:szCs w:val="32"/>
        </w:rPr>
      </w:pPr>
    </w:p>
    <w:p w14:paraId="05F3BC82">
      <w:pPr>
        <w:spacing w:line="460" w:lineRule="exact"/>
        <w:rPr>
          <w:rFonts w:ascii="仿宋" w:hAnsi="仿宋" w:eastAsia="仿宋"/>
          <w:sz w:val="32"/>
          <w:szCs w:val="32"/>
        </w:rPr>
      </w:pPr>
    </w:p>
    <w:p w14:paraId="1D502EA7">
      <w:pPr>
        <w:spacing w:line="460" w:lineRule="exact"/>
        <w:rPr>
          <w:rFonts w:ascii="仿宋" w:hAnsi="仿宋" w:eastAsia="仿宋"/>
          <w:sz w:val="32"/>
          <w:szCs w:val="32"/>
        </w:rPr>
      </w:pPr>
    </w:p>
    <w:p w14:paraId="1CC26549">
      <w:pPr>
        <w:spacing w:line="460" w:lineRule="exact"/>
        <w:rPr>
          <w:rFonts w:ascii="仿宋" w:hAnsi="仿宋" w:eastAsia="仿宋"/>
          <w:sz w:val="32"/>
          <w:szCs w:val="32"/>
        </w:rPr>
      </w:pPr>
    </w:p>
    <w:p w14:paraId="689DD2C6">
      <w:pPr>
        <w:spacing w:line="460" w:lineRule="exact"/>
        <w:rPr>
          <w:rFonts w:ascii="仿宋" w:hAnsi="仿宋" w:eastAsia="仿宋"/>
          <w:sz w:val="32"/>
          <w:szCs w:val="32"/>
        </w:rPr>
      </w:pPr>
    </w:p>
    <w:p w14:paraId="215F7272">
      <w:pPr>
        <w:spacing w:line="460" w:lineRule="exact"/>
        <w:rPr>
          <w:rFonts w:hint="eastAsia" w:ascii="仿宋" w:hAnsi="仿宋" w:eastAsia="仿宋"/>
          <w:sz w:val="32"/>
          <w:szCs w:val="32"/>
        </w:rPr>
      </w:pPr>
    </w:p>
    <w:p w14:paraId="3669DBDA">
      <w:pPr>
        <w:spacing w:line="560" w:lineRule="exact"/>
        <w:rPr>
          <w:rFonts w:hint="eastAsia" w:ascii="仿宋" w:hAnsi="仿宋" w:eastAsia="仿宋"/>
          <w:sz w:val="32"/>
          <w:szCs w:val="32"/>
        </w:rPr>
      </w:pPr>
      <w:r>
        <w:rPr>
          <w:rFonts w:hint="eastAsia" w:ascii="仿宋" w:hAnsi="仿宋" w:eastAsia="仿宋"/>
          <w:sz w:val="32"/>
          <w:szCs w:val="32"/>
        </w:rPr>
        <w:t>（市场监督管理部门将依法向社会公开行政处罚决定信息）</w:t>
      </w:r>
    </w:p>
    <w:p w14:paraId="4C94AA7A">
      <w:pPr>
        <w:spacing w:line="560" w:lineRule="exact"/>
        <w:rPr>
          <w:rFonts w:hint="eastAsia" w:ascii="仿宋" w:hAnsi="仿宋" w:eastAsia="仿宋"/>
          <w:spacing w:val="-12"/>
          <w:sz w:val="32"/>
          <w:szCs w:val="32"/>
        </w:rPr>
      </w:pPr>
      <w:r>
        <w:rPr>
          <w:rFonts w:hint="eastAsia"/>
        </w:rPr>
        <mc:AlternateContent>
          <mc:Choice Requires="wps">
            <w:drawing>
              <wp:anchor distT="0" distB="0" distL="114300" distR="114300" simplePos="0" relativeHeight="251661312" behindDoc="0" locked="0" layoutInCell="1" allowOverlap="1">
                <wp:simplePos x="0" y="0"/>
                <wp:positionH relativeFrom="column">
                  <wp:posOffset>53340</wp:posOffset>
                </wp:positionH>
                <wp:positionV relativeFrom="paragraph">
                  <wp:posOffset>20955</wp:posOffset>
                </wp:positionV>
                <wp:extent cx="5303520" cy="0"/>
                <wp:effectExtent l="0" t="0" r="0" b="0"/>
                <wp:wrapNone/>
                <wp:docPr id="1796812876" name="直接连接符 5"/>
                <wp:cNvGraphicFramePr/>
                <a:graphic xmlns:a="http://schemas.openxmlformats.org/drawingml/2006/main">
                  <a:graphicData uri="http://schemas.microsoft.com/office/word/2010/wordprocessingShape">
                    <wps:wsp>
                      <wps:cNvCnPr/>
                      <wps:spPr>
                        <a:xfrm>
                          <a:off x="0" y="0"/>
                          <a:ext cx="5303520"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5" o:spid="_x0000_s1026" o:spt="20" style="position:absolute;left:0pt;margin-left:4.2pt;margin-top:1.65pt;height:0pt;width:417.6pt;z-index:251661312;mso-width-relative:page;mso-height-relative:page;" filled="f" stroked="t" coordsize="21600,21600" o:gfxdata="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h3DJjUAAAABQEAAA8AAAAAAAAAAQAgAAAAIgAAAGRycy9kb3ducmV2LnhtbFBL&#10;AQIUABQAAAAIAIdO4kAHypA1+gEAAPADAAAOAAAAAAAAAAEAIAAAACMBAABkcnMvZTJvRG9jLnht&#10;bFBLBQYAAAAABgAGAFkBAACPBQAAAAA=&#10;">
                <v:fill on="f" focussize="0,0"/>
                <v:stroke weight="1.25pt"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20807045</wp:posOffset>
                </wp:positionV>
                <wp:extent cx="5762625" cy="1270"/>
                <wp:effectExtent l="19050" t="19050" r="9525" b="17780"/>
                <wp:wrapNone/>
                <wp:docPr id="625341035" name="直接连接符 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0pt;margin-top:1638.35pt;height:0.1pt;width:453.75pt;z-index:251662336;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i+/zkdcAAAAKAQAADwAAAAAAAAABACAAAAAiAAAAZHJzL2Rvd25yZXYu&#10;eG1sUEsBAhQAFAAAAAgAh07iQA69Ga/8AQAA7wMAAA4AAAAAAAAAAQAgAAAAJgEAAGRycy9lMm9E&#10;b2MueG1sUEsFBgAAAAAGAAYAWQEAAJQFAAAAAA==&#10;">
                <v:fill on="f" focussize="0,0"/>
                <v:stroke weight="0.737007874015748pt" color="#000000" joinstyle="round" endcap="square"/>
                <v:imagedata o:title=""/>
                <o:lock v:ext="edit" aspectratio="f"/>
              </v:line>
            </w:pict>
          </mc:Fallback>
        </mc:AlternateContent>
      </w:r>
      <w:r>
        <w:rPr>
          <w:rFonts w:hint="eastAsia" w:ascii="仿宋" w:hAnsi="仿宋" w:eastAsia="仿宋"/>
          <w:spacing w:val="-12"/>
          <w:sz w:val="32"/>
          <w:szCs w:val="32"/>
        </w:rPr>
        <w:t>本文书一式</w:t>
      </w:r>
      <w:r>
        <w:rPr>
          <w:rFonts w:hint="eastAsia" w:ascii="仿宋" w:hAnsi="仿宋" w:eastAsia="仿宋"/>
          <w:spacing w:val="-12"/>
          <w:sz w:val="32"/>
          <w:szCs w:val="32"/>
          <w:u w:val="single"/>
        </w:rPr>
        <w:t>三</w:t>
      </w:r>
      <w:r>
        <w:rPr>
          <w:rFonts w:hint="eastAsia" w:ascii="仿宋" w:hAnsi="仿宋" w:eastAsia="仿宋"/>
          <w:spacing w:val="-12"/>
          <w:sz w:val="32"/>
          <w:szCs w:val="32"/>
        </w:rPr>
        <w:t>份，</w:t>
      </w:r>
      <w:r>
        <w:rPr>
          <w:rFonts w:hint="eastAsia" w:ascii="仿宋" w:hAnsi="仿宋" w:eastAsia="仿宋"/>
          <w:spacing w:val="-12"/>
          <w:sz w:val="32"/>
          <w:szCs w:val="32"/>
          <w:u w:val="single"/>
        </w:rPr>
        <w:t>一</w:t>
      </w:r>
      <w:r>
        <w:rPr>
          <w:rFonts w:hint="eastAsia" w:ascii="仿宋" w:hAnsi="仿宋" w:eastAsia="仿宋"/>
          <w:spacing w:val="-12"/>
          <w:sz w:val="32"/>
          <w:szCs w:val="32"/>
        </w:rPr>
        <w:t>份送达，</w:t>
      </w:r>
      <w:r>
        <w:rPr>
          <w:rFonts w:hint="eastAsia" w:ascii="仿宋" w:hAnsi="仿宋" w:eastAsia="仿宋"/>
          <w:spacing w:val="-12"/>
          <w:sz w:val="32"/>
          <w:szCs w:val="32"/>
          <w:u w:val="single"/>
        </w:rPr>
        <w:t>一</w:t>
      </w:r>
      <w:r>
        <w:rPr>
          <w:rFonts w:hint="eastAsia" w:ascii="仿宋" w:hAnsi="仿宋" w:eastAsia="仿宋"/>
          <w:spacing w:val="-12"/>
          <w:sz w:val="32"/>
          <w:szCs w:val="32"/>
        </w:rPr>
        <w:t>份归档，</w:t>
      </w:r>
      <w:r>
        <w:rPr>
          <w:rFonts w:hint="eastAsia" w:ascii="仿宋" w:hAnsi="仿宋" w:eastAsia="仿宋"/>
          <w:spacing w:val="-12"/>
          <w:sz w:val="32"/>
          <w:szCs w:val="32"/>
          <w:u w:val="single"/>
        </w:rPr>
        <w:t>一</w:t>
      </w:r>
      <w:r>
        <w:rPr>
          <w:rFonts w:hint="eastAsia" w:ascii="仿宋" w:hAnsi="仿宋" w:eastAsia="仿宋"/>
          <w:spacing w:val="-12"/>
          <w:sz w:val="32"/>
          <w:szCs w:val="32"/>
        </w:rPr>
        <w:t>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192C5">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341634293"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wps:spPr>
                    <wps:txbx>
                      <w:txbxContent>
                        <w:p w14:paraId="17093AC3">
                          <w:pPr>
                            <w:pStyle w:val="6"/>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tbuXfQAAAAAgEAAA8AAAAAAAAAAQAgAAAAIgAAAGRycy9kb3du&#10;cmV2LnhtbFBLAQIUABQAAAAIAIdO4kCtSaO4zgEAAJIDAAAOAAAAAAAAAAEAIAAAAB8BAABkcnMv&#10;ZTJvRG9jLnhtbFBLBQYAAAAABgAGAFkBAABfBQAAAAA=&#10;">
              <v:fill on="f" focussize="0,0"/>
              <v:stroke on="f"/>
              <v:imagedata o:title=""/>
              <o:lock v:ext="edit" aspectratio="f"/>
              <v:textbox inset="0mm,0mm,0mm,0mm" style="mso-fit-shape-to-text:t;">
                <w:txbxContent>
                  <w:p w14:paraId="17093AC3">
                    <w:pPr>
                      <w:pStyle w:val="6"/>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kNzdiMWY1ZWU2ZWU3NmE4ZTUxNGRmYWVhMzdjNDQifQ=="/>
  </w:docVars>
  <w:rsids>
    <w:rsidRoot w:val="00D94037"/>
    <w:rsid w:val="00000761"/>
    <w:rsid w:val="00055235"/>
    <w:rsid w:val="000755A7"/>
    <w:rsid w:val="000A51DC"/>
    <w:rsid w:val="000B7155"/>
    <w:rsid w:val="000C089C"/>
    <w:rsid w:val="000D2B14"/>
    <w:rsid w:val="000E5B10"/>
    <w:rsid w:val="00134C18"/>
    <w:rsid w:val="002A7D59"/>
    <w:rsid w:val="00303072"/>
    <w:rsid w:val="00363CAE"/>
    <w:rsid w:val="003C5679"/>
    <w:rsid w:val="0042389F"/>
    <w:rsid w:val="004A03F9"/>
    <w:rsid w:val="004D6211"/>
    <w:rsid w:val="004E58DF"/>
    <w:rsid w:val="00594601"/>
    <w:rsid w:val="005E53C0"/>
    <w:rsid w:val="00644D55"/>
    <w:rsid w:val="00676E59"/>
    <w:rsid w:val="006A0253"/>
    <w:rsid w:val="006F2074"/>
    <w:rsid w:val="00771B5B"/>
    <w:rsid w:val="008B4426"/>
    <w:rsid w:val="008D1B0B"/>
    <w:rsid w:val="0096200B"/>
    <w:rsid w:val="00964039"/>
    <w:rsid w:val="00964F10"/>
    <w:rsid w:val="009A3476"/>
    <w:rsid w:val="009F2647"/>
    <w:rsid w:val="009F59BD"/>
    <w:rsid w:val="00A4120D"/>
    <w:rsid w:val="00B42F9C"/>
    <w:rsid w:val="00B77DB4"/>
    <w:rsid w:val="00D94037"/>
    <w:rsid w:val="00DA1229"/>
    <w:rsid w:val="00E736D4"/>
    <w:rsid w:val="00F95E83"/>
    <w:rsid w:val="02A04AF4"/>
    <w:rsid w:val="03600692"/>
    <w:rsid w:val="04206073"/>
    <w:rsid w:val="04223B99"/>
    <w:rsid w:val="042D0D99"/>
    <w:rsid w:val="04F03C97"/>
    <w:rsid w:val="0568788B"/>
    <w:rsid w:val="05FB0B46"/>
    <w:rsid w:val="06466362"/>
    <w:rsid w:val="065B15E4"/>
    <w:rsid w:val="06622973"/>
    <w:rsid w:val="06982838"/>
    <w:rsid w:val="069B44F5"/>
    <w:rsid w:val="07131EBF"/>
    <w:rsid w:val="082F0F7A"/>
    <w:rsid w:val="08966A46"/>
    <w:rsid w:val="08BB45BC"/>
    <w:rsid w:val="08CA706C"/>
    <w:rsid w:val="0991261E"/>
    <w:rsid w:val="0A8D1F22"/>
    <w:rsid w:val="0AA26DAD"/>
    <w:rsid w:val="0AA95014"/>
    <w:rsid w:val="0B4A14A2"/>
    <w:rsid w:val="0B535383"/>
    <w:rsid w:val="0C4133EA"/>
    <w:rsid w:val="0F5A68DD"/>
    <w:rsid w:val="10B36ECA"/>
    <w:rsid w:val="10D65A20"/>
    <w:rsid w:val="11496C09"/>
    <w:rsid w:val="117D181B"/>
    <w:rsid w:val="11963E18"/>
    <w:rsid w:val="14C667C2"/>
    <w:rsid w:val="155C2C83"/>
    <w:rsid w:val="16013F56"/>
    <w:rsid w:val="16BE7A80"/>
    <w:rsid w:val="16D810B6"/>
    <w:rsid w:val="17564089"/>
    <w:rsid w:val="17896FF4"/>
    <w:rsid w:val="17B812E8"/>
    <w:rsid w:val="183D7A70"/>
    <w:rsid w:val="188F4989"/>
    <w:rsid w:val="1BA57132"/>
    <w:rsid w:val="1C3B1844"/>
    <w:rsid w:val="1C6E39C8"/>
    <w:rsid w:val="1D121971"/>
    <w:rsid w:val="1E230C7C"/>
    <w:rsid w:val="1E4569AA"/>
    <w:rsid w:val="1F6410B2"/>
    <w:rsid w:val="1FF03068"/>
    <w:rsid w:val="200E1FD0"/>
    <w:rsid w:val="20C81A42"/>
    <w:rsid w:val="21AA36F4"/>
    <w:rsid w:val="21B3354F"/>
    <w:rsid w:val="21BC51D5"/>
    <w:rsid w:val="226B4AB2"/>
    <w:rsid w:val="23533917"/>
    <w:rsid w:val="24614EF3"/>
    <w:rsid w:val="255D4DA7"/>
    <w:rsid w:val="2664616D"/>
    <w:rsid w:val="28C554D6"/>
    <w:rsid w:val="29160B07"/>
    <w:rsid w:val="29231FDE"/>
    <w:rsid w:val="292D56CC"/>
    <w:rsid w:val="296D2773"/>
    <w:rsid w:val="2A697323"/>
    <w:rsid w:val="2C46067B"/>
    <w:rsid w:val="2CB5119F"/>
    <w:rsid w:val="2DD37B2E"/>
    <w:rsid w:val="2ED33B5E"/>
    <w:rsid w:val="2F1235C3"/>
    <w:rsid w:val="2F1523C9"/>
    <w:rsid w:val="2F39519C"/>
    <w:rsid w:val="3045283A"/>
    <w:rsid w:val="31EA4FAC"/>
    <w:rsid w:val="330F3803"/>
    <w:rsid w:val="34263352"/>
    <w:rsid w:val="349A75F8"/>
    <w:rsid w:val="34F67450"/>
    <w:rsid w:val="35551638"/>
    <w:rsid w:val="3643781B"/>
    <w:rsid w:val="389A2737"/>
    <w:rsid w:val="391B4A7F"/>
    <w:rsid w:val="39213BE8"/>
    <w:rsid w:val="39A16D33"/>
    <w:rsid w:val="39BD78E5"/>
    <w:rsid w:val="39FF49B5"/>
    <w:rsid w:val="3ABE1B66"/>
    <w:rsid w:val="3ACF78CF"/>
    <w:rsid w:val="3AD15F50"/>
    <w:rsid w:val="3AD44EE6"/>
    <w:rsid w:val="3B2C6AD0"/>
    <w:rsid w:val="3C7A295E"/>
    <w:rsid w:val="3CF47AC1"/>
    <w:rsid w:val="3F80563C"/>
    <w:rsid w:val="40093884"/>
    <w:rsid w:val="40880C4C"/>
    <w:rsid w:val="41230975"/>
    <w:rsid w:val="41434B73"/>
    <w:rsid w:val="41544A4A"/>
    <w:rsid w:val="41603F72"/>
    <w:rsid w:val="425D3A13"/>
    <w:rsid w:val="42674891"/>
    <w:rsid w:val="42BA2D41"/>
    <w:rsid w:val="43FF7A58"/>
    <w:rsid w:val="445C2F64"/>
    <w:rsid w:val="449D1094"/>
    <w:rsid w:val="45080C01"/>
    <w:rsid w:val="46C16AB7"/>
    <w:rsid w:val="473E2065"/>
    <w:rsid w:val="478D768B"/>
    <w:rsid w:val="47EF3751"/>
    <w:rsid w:val="4851401A"/>
    <w:rsid w:val="486F44A0"/>
    <w:rsid w:val="48A3448F"/>
    <w:rsid w:val="48D01436"/>
    <w:rsid w:val="49777A06"/>
    <w:rsid w:val="49DF0E43"/>
    <w:rsid w:val="4A1E7F2C"/>
    <w:rsid w:val="4A774AC0"/>
    <w:rsid w:val="4C7B78B7"/>
    <w:rsid w:val="4EF74214"/>
    <w:rsid w:val="50561E85"/>
    <w:rsid w:val="508879E5"/>
    <w:rsid w:val="50AD025B"/>
    <w:rsid w:val="521B075D"/>
    <w:rsid w:val="52677E3B"/>
    <w:rsid w:val="52966529"/>
    <w:rsid w:val="53F341D7"/>
    <w:rsid w:val="54217ABE"/>
    <w:rsid w:val="548E3F00"/>
    <w:rsid w:val="54A61249"/>
    <w:rsid w:val="550F71EE"/>
    <w:rsid w:val="55DC77A0"/>
    <w:rsid w:val="576D42A0"/>
    <w:rsid w:val="58C63A98"/>
    <w:rsid w:val="59BD32BD"/>
    <w:rsid w:val="5A3B6387"/>
    <w:rsid w:val="5B2421E5"/>
    <w:rsid w:val="5C7E76CB"/>
    <w:rsid w:val="5C7F0991"/>
    <w:rsid w:val="5D261470"/>
    <w:rsid w:val="5E6D4B86"/>
    <w:rsid w:val="5E8B1B25"/>
    <w:rsid w:val="5F1A2F60"/>
    <w:rsid w:val="614B7400"/>
    <w:rsid w:val="61C733F2"/>
    <w:rsid w:val="61E53D40"/>
    <w:rsid w:val="622A34BA"/>
    <w:rsid w:val="63FA6EBC"/>
    <w:rsid w:val="64405216"/>
    <w:rsid w:val="648A0240"/>
    <w:rsid w:val="65D06126"/>
    <w:rsid w:val="66074765"/>
    <w:rsid w:val="67851192"/>
    <w:rsid w:val="68662D72"/>
    <w:rsid w:val="690A5FF1"/>
    <w:rsid w:val="69807E63"/>
    <w:rsid w:val="69845BA5"/>
    <w:rsid w:val="69C97A5C"/>
    <w:rsid w:val="6A333127"/>
    <w:rsid w:val="6A6C6771"/>
    <w:rsid w:val="6A77550F"/>
    <w:rsid w:val="6AB9362D"/>
    <w:rsid w:val="6BBD539F"/>
    <w:rsid w:val="6DC76061"/>
    <w:rsid w:val="6E166FE8"/>
    <w:rsid w:val="6E361438"/>
    <w:rsid w:val="6F760D09"/>
    <w:rsid w:val="6F81107F"/>
    <w:rsid w:val="702935B0"/>
    <w:rsid w:val="70C0717B"/>
    <w:rsid w:val="715258E9"/>
    <w:rsid w:val="71ED0060"/>
    <w:rsid w:val="71EF3DD8"/>
    <w:rsid w:val="72AC7C6E"/>
    <w:rsid w:val="740F0FA0"/>
    <w:rsid w:val="74D61A37"/>
    <w:rsid w:val="755F74C6"/>
    <w:rsid w:val="7B610710"/>
    <w:rsid w:val="7BC167E5"/>
    <w:rsid w:val="7BEC57D9"/>
    <w:rsid w:val="7D480840"/>
    <w:rsid w:val="7D823018"/>
    <w:rsid w:val="7DD50326"/>
    <w:rsid w:val="7E631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Date"/>
    <w:basedOn w:val="1"/>
    <w:next w:val="1"/>
    <w:link w:val="14"/>
    <w:qFormat/>
    <w:uiPriority w:val="0"/>
    <w:pPr>
      <w:ind w:left="100" w:leftChars="2500"/>
    </w:pPr>
  </w:style>
  <w:style w:type="paragraph" w:styleId="5">
    <w:name w:val="Balloon Text"/>
    <w:basedOn w:val="1"/>
    <w:link w:val="13"/>
    <w:qFormat/>
    <w:uiPriority w:val="0"/>
    <w:rPr>
      <w:sz w:val="18"/>
      <w:szCs w:val="18"/>
    </w:rPr>
  </w:style>
  <w:style w:type="paragraph" w:styleId="6">
    <w:name w:val="footer"/>
    <w:basedOn w:val="1"/>
    <w:link w:val="12"/>
    <w:qFormat/>
    <w:uiPriority w:val="0"/>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Autospacing="1" w:afterAutospacing="1"/>
      <w:jc w:val="left"/>
    </w:pPr>
    <w:rPr>
      <w:rFonts w:asciiTheme="minorHAnsi" w:hAnsiTheme="minorHAnsi" w:eastAsiaTheme="minorEastAsia"/>
      <w:kern w:val="0"/>
      <w:sz w:val="24"/>
    </w:rPr>
  </w:style>
  <w:style w:type="character" w:customStyle="1" w:styleId="11">
    <w:name w:val="页眉 字符"/>
    <w:basedOn w:val="10"/>
    <w:link w:val="7"/>
    <w:autoRedefine/>
    <w:qFormat/>
    <w:uiPriority w:val="0"/>
    <w:rPr>
      <w:kern w:val="2"/>
      <w:sz w:val="18"/>
      <w:szCs w:val="18"/>
    </w:rPr>
  </w:style>
  <w:style w:type="character" w:customStyle="1" w:styleId="12">
    <w:name w:val="页脚 字符"/>
    <w:basedOn w:val="10"/>
    <w:link w:val="6"/>
    <w:autoRedefine/>
    <w:qFormat/>
    <w:uiPriority w:val="0"/>
    <w:rPr>
      <w:kern w:val="2"/>
      <w:sz w:val="18"/>
      <w:szCs w:val="18"/>
    </w:rPr>
  </w:style>
  <w:style w:type="character" w:customStyle="1" w:styleId="13">
    <w:name w:val="批注框文本 字符"/>
    <w:basedOn w:val="10"/>
    <w:link w:val="5"/>
    <w:autoRedefine/>
    <w:qFormat/>
    <w:uiPriority w:val="0"/>
    <w:rPr>
      <w:kern w:val="2"/>
      <w:sz w:val="18"/>
      <w:szCs w:val="18"/>
    </w:rPr>
  </w:style>
  <w:style w:type="character" w:customStyle="1" w:styleId="14">
    <w:name w:val="日期 字符"/>
    <w:basedOn w:val="10"/>
    <w:link w:val="4"/>
    <w:autoRedefine/>
    <w:qFormat/>
    <w:uiPriority w:val="0"/>
    <w:rPr>
      <w:kern w:val="2"/>
      <w:sz w:val="21"/>
      <w:szCs w:val="24"/>
    </w:rPr>
  </w:style>
  <w:style w:type="character" w:customStyle="1" w:styleId="15">
    <w:name w:val="text-tag"/>
    <w:basedOn w:val="10"/>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2168</Words>
  <Characters>2446</Characters>
  <Lines>32</Lines>
  <Paragraphs>9</Paragraphs>
  <TotalTime>2</TotalTime>
  <ScaleCrop>false</ScaleCrop>
  <LinksUpToDate>false</LinksUpToDate>
  <CharactersWithSpaces>4506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2024-07-22T08:32:00Z</dcterms:created>
  <dc:creator>lenovo</dc:creator>
  <cp:lastModifiedBy>王建清</cp:lastModifiedBy>
  <cp:lastPrinted>2023-03-24T03:01:00Z</cp:lastPrinted>
  <dcterms:modified xsi:type="dcterms:W3CDTF">2024-08-28T06:59:01Z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F9EB30382F4C47F6A61953BFE1B67943_13</vt:lpwstr>
  </property>
</Properties>
</file>