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7AF30">
      <w:pPr>
        <w:spacing w:line="560" w:lineRule="exact"/>
        <w:jc w:val="center"/>
        <w:outlineLvl w:val="0"/>
        <w:rPr>
          <w:rFonts w:hint="eastAsia" w:ascii="黑体" w:hAnsi="黑体" w:eastAsia="黑体" w:cs="宋体"/>
          <w:sz w:val="48"/>
          <w:szCs w:val="48"/>
        </w:rPr>
      </w:pPr>
      <w:bookmarkStart w:id="0" w:name="_Toc76683363"/>
      <w:bookmarkStart w:id="1" w:name="_Toc27865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color w:val="000000"/>
          <w:sz w:val="48"/>
          <w:szCs w:val="48"/>
        </w:rPr>
        <w:t>洛阳市偃师区</w:t>
      </w:r>
      <w:r>
        <w:rPr>
          <w:rFonts w:hint="eastAsia" w:ascii="黑体" w:hAnsi="黑体" w:eastAsia="黑体" w:cs="宋体"/>
          <w:sz w:val="48"/>
          <w:szCs w:val="48"/>
        </w:rPr>
        <w:t>市场监督管理局</w:t>
      </w:r>
      <w:bookmarkEnd w:id="0"/>
      <w:bookmarkEnd w:id="1"/>
    </w:p>
    <w:p w14:paraId="4288719F">
      <w:pPr>
        <w:spacing w:line="560" w:lineRule="exact"/>
        <w:jc w:val="center"/>
        <w:outlineLvl w:val="0"/>
        <w:rPr>
          <w:rFonts w:hint="eastAsia" w:ascii="黑体" w:hAnsi="黑体" w:eastAsia="黑体" w:cs="宋体"/>
          <w:color w:val="000000"/>
          <w:sz w:val="48"/>
          <w:szCs w:val="48"/>
        </w:rPr>
      </w:pPr>
      <w:bookmarkStart w:id="2" w:name="_Toc76683364"/>
      <w:r>
        <w:rPr>
          <w:rFonts w:hint="eastAsia" w:ascii="黑体" w:hAnsi="黑体" w:eastAsia="黑体" w:cs="宋体"/>
          <w:color w:val="000000"/>
          <w:sz w:val="48"/>
          <w:szCs w:val="48"/>
        </w:rPr>
        <w:t>行政处罚决定书</w:t>
      </w:r>
      <w:bookmarkEnd w:id="2"/>
    </w:p>
    <w:p w14:paraId="077BA88C">
      <w:pPr>
        <w:widowControl/>
        <w:snapToGrid w:val="0"/>
        <w:spacing w:line="600" w:lineRule="exact"/>
        <w:ind w:right="55"/>
        <w:jc w:val="center"/>
        <w:outlineLvl w:val="1"/>
        <w:rPr>
          <w:rFonts w:hint="eastAsia" w:ascii="宋体" w:hAnsi="宋体" w:cs="仿宋"/>
          <w:bCs/>
          <w:color w:val="000000"/>
          <w:sz w:val="30"/>
          <w:szCs w:val="30"/>
        </w:rPr>
      </w:pPr>
      <w:r>
        <w:rPr>
          <w:rFonts w:hint="eastAsia" w:ascii="宋体" w:hAnsi="宋体" w:cs="仿宋"/>
          <w:bCs/>
          <w:color w:val="000000"/>
          <w:sz w:val="30"/>
          <w:szCs w:val="30"/>
        </w:rPr>
        <w:t>偃市监处罚〔2024〕38号</w:t>
      </w:r>
      <w:r>
        <w:rPr>
          <w:rFonts w:hint="eastAsia" w:ascii="宋体" w:hAnsi="宋体" w:cs="仿宋"/>
          <w:bCs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3810" b="158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DFDB6C9">
      <w:pPr>
        <w:spacing w:line="600" w:lineRule="exact"/>
        <w:ind w:left="140" w:hanging="140"/>
        <w:rPr>
          <w:rFonts w:hint="eastAsia" w:ascii="仿宋" w:hAnsi="仿宋" w:eastAsia="仿宋" w:cs="仿宋_GB2312"/>
          <w:bCs/>
          <w:kern w:val="1"/>
          <w:sz w:val="32"/>
          <w:szCs w:val="32"/>
        </w:rPr>
      </w:pPr>
    </w:p>
    <w:p w14:paraId="795A1223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bCs/>
          <w:kern w:val="1"/>
          <w:sz w:val="32"/>
          <w:szCs w:val="32"/>
        </w:rPr>
        <w:t>当事人：</w:t>
      </w: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>洛阳市偃师区源通电动车商行（个体工商户）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         </w:t>
      </w:r>
    </w:p>
    <w:p w14:paraId="0F76AFBF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主体资格证照名称：营业执照                           </w:t>
      </w:r>
      <w:bookmarkStart w:id="4" w:name="_GoBack"/>
      <w:bookmarkEnd w:id="4"/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</w:t>
      </w:r>
    </w:p>
    <w:p w14:paraId="5740DC92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 xml:space="preserve">92410307MAD7FBMK2E  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</w:t>
      </w:r>
    </w:p>
    <w:p w14:paraId="3521F75E">
      <w:pPr>
        <w:spacing w:line="600" w:lineRule="exact"/>
        <w:ind w:left="140" w:hanging="140"/>
        <w:rPr>
          <w:rFonts w:ascii="仿宋" w:hAnsi="仿宋" w:eastAsia="仿宋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经营场所：</w:t>
      </w: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>河南省洛阳市偃师区槐新街道民主路44号摩托</w:t>
      </w:r>
    </w:p>
    <w:p w14:paraId="6E5AB0FE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 xml:space="preserve">车厂家属院东8号门市  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</w:t>
      </w:r>
    </w:p>
    <w:p w14:paraId="2844E5F4">
      <w:pPr>
        <w:pStyle w:val="2"/>
        <w:tabs>
          <w:tab w:val="left" w:pos="3785"/>
          <w:tab w:val="left" w:pos="8920"/>
        </w:tabs>
        <w:autoSpaceDN/>
        <w:adjustRightInd/>
        <w:spacing w:line="600" w:lineRule="exact"/>
        <w:ind w:right="118"/>
        <w:jc w:val="both"/>
        <w:rPr>
          <w:rFonts w:hint="eastAsia" w:ascii="仿宋" w:hAnsi="仿宋" w:eastAsia="仿宋" w:cs="仿宋_GB2312"/>
          <w:kern w:val="1"/>
        </w:rPr>
      </w:pPr>
      <w:r>
        <w:rPr>
          <w:rFonts w:hint="eastAsia" w:ascii="仿宋" w:hAnsi="仿宋" w:eastAsia="仿宋" w:cs="仿宋_GB2312"/>
          <w:kern w:val="1"/>
        </w:rPr>
        <w:t>经营者：</w:t>
      </w:r>
      <w:r>
        <w:rPr>
          <w:rFonts w:hint="eastAsia" w:ascii="仿宋" w:hAnsi="仿宋" w:eastAsia="仿宋" w:cs="仿宋"/>
          <w:color w:val="000000"/>
        </w:rPr>
        <w:t>丁林峰</w:t>
      </w:r>
      <w:r>
        <w:rPr>
          <w:rFonts w:hint="eastAsia" w:ascii="仿宋" w:hAnsi="仿宋" w:eastAsia="仿宋" w:cs="仿宋_GB2312"/>
          <w:kern w:val="1"/>
        </w:rPr>
        <w:t xml:space="preserve">                                    </w:t>
      </w:r>
    </w:p>
    <w:p w14:paraId="763687D8">
      <w:pPr>
        <w:spacing w:line="600" w:lineRule="exact"/>
        <w:ind w:left="140" w:hanging="140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                       </w:t>
      </w:r>
    </w:p>
    <w:p w14:paraId="2506713E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2024年5月27日上午，我局执法人员对当事人商行进行检查，现场发现该店经营的2辆“雅迪”牌电动正三轮摩托车产品型号：YD1000DZK-10C上安装的QSB高功率控制器（型号：ZWK060030D  YY12HYT12403A）与该车随行的《强制性产品认证车辆一致性证书》标示的控制器(型号：YCK060065A)不一致，为进一步查清事实，执法人员于2024年5月31日报请局主管领导批准立案，并通过询问当事人，调取有关证据对案件进行调查。</w:t>
      </w:r>
    </w:p>
    <w:p w14:paraId="03331019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>经查，</w:t>
      </w:r>
      <w:r>
        <w:rPr>
          <w:rFonts w:hint="eastAsia" w:ascii="仿宋" w:hAnsi="仿宋" w:eastAsia="仿宋" w:cs="仿宋_GB2312"/>
          <w:bCs/>
        </w:rPr>
        <w:t>当事人在2024年4月15日购进“雅迪”牌电动正三轮摩托车（产品型号：YD1000DZK-10C）3辆，2024年4月18日收到的本型号电动正三轮摩托车，由于购进的“雅迪”牌电动正三轮摩托车都是纸箱包装的半成品散件，收到货后需要当事人在门市上二次组装，在收到货组装期间，当事人发现电动正三轮摩托车安装的控制器在发货的运输途中，遭到挤压，控制器变形，无法正常使用，然后当事人在雅迪售后临时购买控制器（型号：ZWK060030D  YY12HYT12403A），安装在“雅迪”牌电动正三轮摩托车（产品型号：YD1000DZK-10C）使用。当事人购进“雅迪”牌电动正三轮摩托车（产品型号：YD1000DZK-10C）共计3辆，整车购进价格3710元/辆，当事人以3999元/辆的价格销售了1辆，店里剩余还有2辆。2024年6月20日，我局执法人员第二次对洛阳市偃师区源通电动车商行进行检查，现场发现该商行经营有5辆产品型号为：YD1000DZK-10C的“雅迪”牌电动正三轮摩托车，打开座椅检查控制器型号均为：YCK060065A，据当事人口述，2024年6月10日，购进产品型号为：YD1000DZK-10C的“雅迪”牌电动正三轮摩托车3辆和原厂控制器（型号：YCK060065A） 2个，收到货后就调换安装，现在售的电动正三轮摩托车和《强制性产品认证车辆一致性证书》标示配件相符。</w:t>
      </w:r>
    </w:p>
    <w:p w14:paraId="58FD47E0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>上述事实，主要有以下证据证明：</w:t>
      </w:r>
    </w:p>
    <w:p w14:paraId="07BB5072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1.当事人营业执照复印件1份及经营者身份证复印件1份，证明当事人的主体身份；</w:t>
      </w:r>
    </w:p>
    <w:p w14:paraId="3809D764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2.2024年5月27日的现场笔录1份，证明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</w:rPr>
        <w:t>经营的“雅迪”牌</w:t>
      </w:r>
      <w:r>
        <w:rPr>
          <w:rFonts w:hint="eastAsia" w:ascii="仿宋" w:hAnsi="仿宋" w:eastAsia="仿宋" w:cs="仿宋"/>
          <w:color w:val="000000"/>
        </w:rPr>
        <w:t>电动正三轮摩托车产品型号：YD1000DZK-10C上安装的</w:t>
      </w:r>
      <w:r>
        <w:rPr>
          <w:rFonts w:hint="eastAsia" w:ascii="仿宋" w:hAnsi="仿宋" w:eastAsia="仿宋"/>
          <w:color w:val="000000"/>
        </w:rPr>
        <w:t>QSB高功率</w:t>
      </w:r>
      <w:r>
        <w:rPr>
          <w:rFonts w:hint="eastAsia" w:ascii="仿宋" w:hAnsi="仿宋" w:eastAsia="仿宋" w:cs="仿宋"/>
          <w:color w:val="000000"/>
        </w:rPr>
        <w:t>控制器（型号：ZWK060030D  YY12HYT12403A）与该车随行的</w:t>
      </w:r>
      <w:r>
        <w:rPr>
          <w:rFonts w:hint="eastAsia" w:ascii="仿宋" w:hAnsi="仿宋" w:eastAsia="仿宋" w:cs="仿宋"/>
          <w:spacing w:val="4"/>
        </w:rPr>
        <w:t>《强制性产品认证车辆一致性证书》标示的控制器(型号：YCK060065A)不一致</w:t>
      </w:r>
      <w:r>
        <w:rPr>
          <w:rFonts w:hint="eastAsia" w:ascii="仿宋" w:hAnsi="仿宋" w:eastAsia="仿宋" w:cs="仿宋_GB2312"/>
          <w:bCs/>
        </w:rPr>
        <w:t xml:space="preserve">的情况；                                      </w:t>
      </w:r>
    </w:p>
    <w:p w14:paraId="6C98F716">
      <w:pPr>
        <w:pStyle w:val="7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3.现场照片3组计9张，证明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事人经营的“雅迪”牌电动正三轮摩托车产品外貌特征、车架号、车辆型号、</w:t>
      </w:r>
      <w:r>
        <w:rPr>
          <w:rFonts w:hint="eastAsia" w:ascii="仿宋" w:hAnsi="仿宋" w:eastAsia="仿宋"/>
          <w:sz w:val="32"/>
          <w:szCs w:val="32"/>
        </w:rPr>
        <w:t xml:space="preserve">控制器型号、外形特征等的相关情况；                                   </w:t>
      </w:r>
    </w:p>
    <w:p w14:paraId="434BE614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  <w:w w:val="98"/>
        </w:rPr>
      </w:pPr>
      <w:r>
        <w:rPr>
          <w:rFonts w:hint="eastAsia" w:ascii="仿宋" w:hAnsi="仿宋" w:eastAsia="仿宋" w:cs="仿宋_GB2312"/>
          <w:bCs/>
        </w:rPr>
        <w:t>4.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  <w:w w:val="98"/>
        </w:rPr>
        <w:t>询问笔录1份，证明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当事人擅自购买</w:t>
      </w:r>
      <w:r>
        <w:rPr>
          <w:rFonts w:hint="eastAsia" w:ascii="仿宋" w:hAnsi="仿宋" w:eastAsia="仿宋" w:cs="仿宋"/>
          <w:spacing w:val="4"/>
        </w:rPr>
        <w:t>控制器(型号：</w:t>
      </w:r>
      <w:r>
        <w:rPr>
          <w:rFonts w:hint="eastAsia" w:ascii="仿宋" w:hAnsi="仿宋" w:eastAsia="仿宋" w:cs="仿宋"/>
          <w:color w:val="000000"/>
        </w:rPr>
        <w:t>ZWK060030D  YY12HYT12403A</w:t>
      </w:r>
      <w:r>
        <w:rPr>
          <w:rFonts w:hint="eastAsia" w:ascii="仿宋" w:hAnsi="仿宋" w:eastAsia="仿宋" w:cs="仿宋"/>
          <w:spacing w:val="4"/>
        </w:rPr>
        <w:t>)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安装在</w:t>
      </w:r>
      <w:r>
        <w:rPr>
          <w:rFonts w:hint="eastAsia" w:ascii="仿宋" w:hAnsi="仿宋" w:eastAsia="仿宋" w:cs="仿宋_GB2312"/>
          <w:bCs/>
        </w:rPr>
        <w:t>“雅迪”牌</w:t>
      </w:r>
      <w:r>
        <w:rPr>
          <w:rFonts w:hint="eastAsia" w:ascii="仿宋" w:hAnsi="仿宋" w:eastAsia="仿宋" w:cs="仿宋"/>
          <w:color w:val="000000"/>
        </w:rPr>
        <w:t xml:space="preserve">电动正三轮摩托车产品型号：YD1000DZK-10C的相关情况；                        </w:t>
      </w:r>
      <w:r>
        <w:rPr>
          <w:rFonts w:hint="eastAsia" w:ascii="仿宋" w:hAnsi="仿宋" w:eastAsia="仿宋" w:cs="仿宋_GB2312"/>
          <w:bCs/>
          <w:w w:val="98"/>
        </w:rPr>
        <w:t xml:space="preserve">    </w:t>
      </w:r>
    </w:p>
    <w:p w14:paraId="51C65412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5.当事人购买控制器收据1张，证明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当事人向雅迪售后购买的</w:t>
      </w:r>
      <w:r>
        <w:rPr>
          <w:rFonts w:hint="eastAsia" w:ascii="仿宋" w:hAnsi="仿宋" w:eastAsia="仿宋" w:cs="仿宋"/>
          <w:spacing w:val="4"/>
        </w:rPr>
        <w:t>控制器(型号：</w:t>
      </w:r>
      <w:r>
        <w:rPr>
          <w:rFonts w:hint="eastAsia" w:ascii="仿宋" w:hAnsi="仿宋" w:eastAsia="仿宋" w:cs="仿宋"/>
          <w:color w:val="000000"/>
        </w:rPr>
        <w:t>ZWK060030D YY12HYT12403A</w:t>
      </w:r>
      <w:r>
        <w:rPr>
          <w:rFonts w:hint="eastAsia" w:ascii="仿宋" w:hAnsi="仿宋" w:eastAsia="仿宋" w:cs="仿宋"/>
          <w:spacing w:val="4"/>
        </w:rPr>
        <w:t>)的情况；</w:t>
      </w:r>
      <w:r>
        <w:rPr>
          <w:rFonts w:hint="eastAsia" w:ascii="仿宋" w:hAnsi="仿宋" w:eastAsia="仿宋" w:cs="仿宋_GB2312"/>
          <w:bCs/>
        </w:rPr>
        <w:t xml:space="preserve">                                 </w:t>
      </w:r>
    </w:p>
    <w:p w14:paraId="40942954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6.</w:t>
      </w:r>
      <w:r>
        <w:rPr>
          <w:rFonts w:hint="eastAsia" w:ascii="仿宋" w:hAnsi="仿宋" w:eastAsia="仿宋" w:cs="仿宋"/>
          <w:spacing w:val="4"/>
        </w:rPr>
        <w:t>“雅迪”牌电动正三轮摩托车合格证</w:t>
      </w:r>
      <w:r>
        <w:rPr>
          <w:rFonts w:hint="eastAsia" w:ascii="仿宋" w:hAnsi="仿宋" w:eastAsia="仿宋" w:cs="仿宋_GB2312"/>
          <w:bCs/>
        </w:rPr>
        <w:t>2份、强制性产品认证车辆一致性证书2份证明雅迪科技集团有限公司天津分公司生产的</w:t>
      </w:r>
      <w:r>
        <w:rPr>
          <w:rFonts w:hint="eastAsia" w:ascii="仿宋" w:hAnsi="仿宋" w:eastAsia="仿宋" w:cs="仿宋"/>
          <w:spacing w:val="4"/>
        </w:rPr>
        <w:t>“雅迪”牌电动正三轮摩托车</w:t>
      </w:r>
      <w:r>
        <w:rPr>
          <w:rFonts w:hint="eastAsia" w:ascii="仿宋" w:hAnsi="仿宋" w:eastAsia="仿宋" w:cs="仿宋"/>
          <w:color w:val="000000"/>
        </w:rPr>
        <w:t>产品型号：YD1000DZK-10C的型号、配置</w:t>
      </w:r>
      <w:r>
        <w:rPr>
          <w:rFonts w:hint="eastAsia" w:ascii="仿宋" w:hAnsi="仿宋" w:eastAsia="仿宋" w:cs="仿宋_GB2312"/>
          <w:bCs/>
        </w:rPr>
        <w:t xml:space="preserve">等车辆的相关情况；              </w:t>
      </w:r>
    </w:p>
    <w:p w14:paraId="0F025FD9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7.2024年6月20日现场笔录1份，证明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_GB2312"/>
          <w:bCs/>
        </w:rPr>
        <w:t>经营的“雅迪”牌</w:t>
      </w:r>
      <w:r>
        <w:rPr>
          <w:rFonts w:hint="eastAsia" w:ascii="仿宋" w:hAnsi="仿宋" w:eastAsia="仿宋" w:cs="仿宋"/>
          <w:color w:val="000000"/>
        </w:rPr>
        <w:t>电动正三轮摩托车产品型号：YD1000DZK-10C上安装的控制器与该车随行的</w:t>
      </w:r>
      <w:r>
        <w:rPr>
          <w:rFonts w:hint="eastAsia" w:ascii="仿宋" w:hAnsi="仿宋" w:eastAsia="仿宋" w:cs="仿宋"/>
          <w:spacing w:val="4"/>
        </w:rPr>
        <w:t>《强制性产品认证车辆一致性证书》标示的控制器(型号：YCK060065A)一致</w:t>
      </w:r>
      <w:r>
        <w:rPr>
          <w:rFonts w:hint="eastAsia" w:ascii="仿宋" w:hAnsi="仿宋" w:eastAsia="仿宋" w:cs="仿宋_GB2312"/>
          <w:bCs/>
        </w:rPr>
        <w:t xml:space="preserve">的情况；                    </w:t>
      </w:r>
    </w:p>
    <w:p w14:paraId="6923C39F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8.现场检查光盘记录1份，</w:t>
      </w:r>
      <w:r>
        <w:rPr>
          <w:rFonts w:hint="eastAsia" w:ascii="仿宋" w:hAnsi="仿宋" w:eastAsia="仿宋" w:cs="仿宋_GB2312"/>
          <w:bCs/>
        </w:rPr>
        <w:t>证明对</w:t>
      </w:r>
      <w:r>
        <w:rPr>
          <w:rFonts w:hint="eastAsia" w:ascii="仿宋" w:hAnsi="仿宋" w:eastAsia="仿宋" w:cs="仿宋"/>
          <w:color w:val="000000"/>
        </w:rPr>
        <w:t xml:space="preserve">洛阳市偃师区源通电动车商行现场检查情况；                                     </w:t>
      </w:r>
    </w:p>
    <w:p w14:paraId="1C14A905">
      <w:pPr>
        <w:pStyle w:val="2"/>
        <w:autoSpaceDN/>
        <w:adjustRightInd/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</w:rPr>
      </w:pPr>
      <w:r>
        <w:rPr>
          <w:rFonts w:hint="eastAsia" w:ascii="仿宋" w:hAnsi="仿宋" w:eastAsia="仿宋" w:cs="仿宋"/>
          <w:color w:val="000000"/>
        </w:rPr>
        <w:t>9.当事人改正后更换控制器现场照片4张，</w:t>
      </w:r>
      <w:r>
        <w:rPr>
          <w:rFonts w:hint="eastAsia" w:ascii="仿宋" w:hAnsi="仿宋" w:eastAsia="仿宋" w:cs="仿宋_GB2312"/>
          <w:bCs/>
        </w:rPr>
        <w:t>证明当事人在售车型控制器与</w:t>
      </w:r>
      <w:r>
        <w:rPr>
          <w:rFonts w:hint="eastAsia" w:ascii="仿宋" w:hAnsi="仿宋" w:eastAsia="仿宋" w:cs="仿宋"/>
          <w:spacing w:val="4"/>
        </w:rPr>
        <w:t>《强制性产品认证车辆一致性证书》</w:t>
      </w:r>
      <w:r>
        <w:rPr>
          <w:rFonts w:hint="eastAsia" w:ascii="仿宋" w:hAnsi="仿宋" w:eastAsia="仿宋" w:cs="仿宋_GB2312"/>
          <w:bCs/>
        </w:rPr>
        <w:t xml:space="preserve">的情况。         </w:t>
      </w:r>
    </w:p>
    <w:p w14:paraId="5FA4DAC3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231F20"/>
        </w:rPr>
        <w:t>当事人的行为属于违反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《强制性产品认证管理规定》第二十四条第三项“获证产品的关键元器件、规格和型号，以及涉及整机安全或者电磁兼容的设计、结构、工艺和材料或者原材料生产企业等发生变更的，经认</w:t>
      </w:r>
      <w:r>
        <w:rPr>
          <w:rFonts w:hint="eastAsia" w:ascii="仿宋" w:hAnsi="仿宋" w:eastAsia="仿宋" w:cs="仿宋"/>
          <w:spacing w:val="4"/>
        </w:rPr>
        <w:t>证机构重新检测合格后，变更认证证书；”</w:t>
      </w:r>
      <w:r>
        <w:rPr>
          <w:rFonts w:hint="eastAsia" w:ascii="仿宋" w:hAnsi="仿宋" w:eastAsia="仿宋" w:cs="仿宋_GB2312"/>
          <w:bCs/>
          <w:color w:val="231F20"/>
        </w:rPr>
        <w:t>规定的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获证产品的关键元器件、规格和型号发生变更，未经认</w:t>
      </w:r>
      <w:r>
        <w:rPr>
          <w:rFonts w:hint="eastAsia" w:ascii="仿宋" w:hAnsi="仿宋" w:eastAsia="仿宋" w:cs="仿宋"/>
          <w:spacing w:val="4"/>
        </w:rPr>
        <w:t>证机构重新检测合格，变更认证证书的违法</w:t>
      </w:r>
      <w:r>
        <w:rPr>
          <w:rFonts w:hint="eastAsia" w:ascii="仿宋" w:hAnsi="仿宋" w:eastAsia="仿宋" w:cs="仿宋_GB2312"/>
          <w:bCs/>
          <w:color w:val="231F20"/>
        </w:rPr>
        <w:t>行为。本案当事人</w:t>
      </w:r>
      <w:r>
        <w:rPr>
          <w:rFonts w:hint="eastAsia" w:ascii="仿宋" w:hAnsi="仿宋" w:eastAsia="仿宋" w:cs="仿宋"/>
          <w:spacing w:val="4"/>
        </w:rPr>
        <w:t>系初次违法，违法行为轻微并能及时改正(在调查期间及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时购买、安装与</w:t>
      </w:r>
      <w:r>
        <w:rPr>
          <w:rFonts w:hint="eastAsia" w:ascii="仿宋" w:hAnsi="仿宋" w:eastAsia="仿宋" w:cs="仿宋"/>
          <w:spacing w:val="4"/>
        </w:rPr>
        <w:t>《强制性产品认证车辆一致性证书》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一致的原厂控制器），没有造成危害后果，且在案发期间能够积极配合我局调查，如实陈述违法事实并主动提供证据材料，参照《河南省市场监督管理行政处罚裁量权适用通则》(2023版)第十条“有下列情形之一的，可以依法从轻或者减轻行政处罚：（二）积极配合市场监管部门调查，并主动提供证据材料的；（三）违法行为轻微，社会危害性较小的；”的规定，可以依法对其减轻行政处罚。</w:t>
      </w:r>
    </w:p>
    <w:p w14:paraId="526962A6">
      <w:pPr>
        <w:pStyle w:val="2"/>
        <w:tabs>
          <w:tab w:val="left" w:pos="9060"/>
        </w:tabs>
        <w:spacing w:line="600" w:lineRule="exact"/>
        <w:ind w:firstLine="640" w:firstLineChars="200"/>
        <w:jc w:val="both"/>
        <w:rPr>
          <w:rFonts w:hint="eastAsia" w:ascii="仿宋" w:hAnsi="仿宋" w:eastAsia="仿宋" w:cs="仿宋_GB2312"/>
          <w:bCs/>
          <w:color w:val="000000"/>
        </w:rPr>
      </w:pPr>
      <w:r>
        <w:rPr>
          <w:rFonts w:hint="eastAsia" w:ascii="仿宋" w:hAnsi="仿宋" w:eastAsia="仿宋" w:cs="仿宋_GB2312"/>
          <w:bCs/>
          <w:color w:val="231F20"/>
        </w:rPr>
        <w:t>2024年7月16日，我局执法人员向当事人送达了</w:t>
      </w:r>
      <w:r>
        <w:rPr>
          <w:rFonts w:hint="eastAsia" w:ascii="仿宋" w:hAnsi="仿宋" w:eastAsia="仿宋" w:cs="仿宋"/>
        </w:rPr>
        <w:t>偃市监罚告〔2024〕38号《</w:t>
      </w:r>
      <w:r>
        <w:rPr>
          <w:rFonts w:hint="eastAsia" w:ascii="仿宋" w:hAnsi="仿宋" w:eastAsia="仿宋" w:cs="仿宋_GB2312"/>
          <w:bCs/>
          <w:color w:val="231F20"/>
        </w:rPr>
        <w:t>行政处罚告知书》，</w:t>
      </w:r>
      <w:r>
        <w:rPr>
          <w:rFonts w:hint="eastAsia" w:ascii="仿宋" w:hAnsi="仿宋" w:eastAsia="仿宋" w:cs="仿宋"/>
        </w:rPr>
        <w:t>告知当事人我局拟作出行政处罚决定的事实、理由、依据、内容及当事人依法享有的陈述权、申辩权，当事人在规定时间内未向我局提出陈述和申辩意见。</w:t>
      </w:r>
      <w:r>
        <w:rPr>
          <w:rFonts w:hint="eastAsia" w:ascii="仿宋" w:hAnsi="仿宋" w:eastAsia="仿宋" w:cs="仿宋_GB2312"/>
          <w:bCs/>
          <w:color w:val="000000"/>
        </w:rPr>
        <w:t xml:space="preserve">                 </w:t>
      </w:r>
    </w:p>
    <w:p w14:paraId="2FFA6527">
      <w:pPr>
        <w:spacing w:line="60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依据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《强制性产品认证管理规定》第五十四条“有下列情形之一的，由</w:t>
      </w:r>
      <w:r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县级以上地方市场监督管理部门</w:t>
      </w:r>
      <w:bookmarkStart w:id="3" w:name="_Hlk173144539"/>
      <w:r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责令其改正，</w:t>
      </w:r>
      <w:bookmarkEnd w:id="3"/>
      <w:r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处3万元以下的罚款：（二）违反本规定第二十四条规定，未按照规定向认证机构申请认证证书变更，擅自出厂、销售、进口或者在其他经营活动中使用列入目录产品的。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kern w:val="0"/>
          <w:sz w:val="32"/>
          <w:szCs w:val="32"/>
        </w:rPr>
        <w:t>的规定，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对洛阳市偃师区源通电动车商行（个体工商户）责令改正，处4000元罚款。</w:t>
      </w:r>
    </w:p>
    <w:p w14:paraId="340763C2">
      <w:pPr>
        <w:spacing w:line="60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当事人收到本处罚决定之日起15日内，缴清上述罚款。（当事人可选择以下银行缴纳罚款：1.农业银行偃师市支行，户名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16129101040000020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2.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1705027009064004971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3.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249407156581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4.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00000005583396678012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5.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建设银行偃师支行，户名：洛阳市偃师区财政局财政专户，账号：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41001591110058000003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6.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671610090000000753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ascii="仿宋" w:hAnsi="仿宋" w:eastAsia="仿宋" w:cs="仿宋_GB2312"/>
          <w:color w:val="000000"/>
          <w:sz w:val="32"/>
          <w:szCs w:val="32"/>
        </w:rPr>
        <w:t>7.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color w:val="000000"/>
          <w:sz w:val="32"/>
          <w:szCs w:val="32"/>
        </w:rPr>
        <w:t>100216664840019999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</w:p>
    <w:p w14:paraId="1A8AD41C">
      <w:pPr>
        <w:spacing w:line="60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5AF7E659">
      <w:pPr>
        <w:pStyle w:val="2"/>
        <w:tabs>
          <w:tab w:val="left" w:pos="6680"/>
          <w:tab w:val="left" w:pos="8920"/>
        </w:tabs>
        <w:spacing w:line="600" w:lineRule="exact"/>
        <w:ind w:right="162" w:firstLine="640" w:firstLineChars="200"/>
        <w:jc w:val="both"/>
        <w:textAlignment w:val="baseline"/>
        <w:rPr>
          <w:rFonts w:hint="eastAsia" w:ascii="仿宋" w:hAnsi="仿宋" w:eastAsia="仿宋" w:cs="仿宋_GB2312"/>
          <w:color w:val="231F20"/>
        </w:rPr>
      </w:pPr>
      <w:r>
        <w:rPr>
          <w:rFonts w:hint="eastAsia" w:ascii="仿宋" w:hAnsi="仿宋" w:eastAsia="仿宋" w:cs="仿宋_GB2312"/>
          <w:color w:val="231F20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    </w:t>
      </w:r>
    </w:p>
    <w:p w14:paraId="734CDCAA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66BA5B05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1642B300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</w:p>
    <w:p w14:paraId="17D9B4DC">
      <w:pPr>
        <w:tabs>
          <w:tab w:val="left" w:pos="2440"/>
          <w:tab w:val="left" w:pos="8964"/>
        </w:tabs>
        <w:spacing w:line="600" w:lineRule="exact"/>
        <w:ind w:firstLine="3520" w:firstLineChars="11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洛阳市偃师区市场监督管理局      </w:t>
      </w:r>
    </w:p>
    <w:p w14:paraId="15FC15B2">
      <w:pPr>
        <w:tabs>
          <w:tab w:val="left" w:pos="2440"/>
          <w:tab w:val="left" w:pos="8964"/>
        </w:tabs>
        <w:spacing w:line="600" w:lineRule="exact"/>
        <w:ind w:firstLine="4057" w:firstLineChars="1268"/>
        <w:rPr>
          <w:rFonts w:hint="eastAsia"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 </w:t>
      </w:r>
    </w:p>
    <w:p w14:paraId="02D902DE">
      <w:pPr>
        <w:tabs>
          <w:tab w:val="left" w:pos="2440"/>
          <w:tab w:val="left" w:pos="8964"/>
        </w:tabs>
        <w:spacing w:line="600" w:lineRule="exact"/>
        <w:ind w:firstLine="4697" w:firstLineChars="1468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2024年7月29日</w:t>
      </w:r>
    </w:p>
    <w:p w14:paraId="5A4FB0C6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71BF7D79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067DB0BB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387E4CFF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5F34ABC6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03D6AA01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2E4BF68E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7C417195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622AA329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71BBCF1E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6A33135E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ascii="仿宋" w:hAnsi="仿宋" w:eastAsia="仿宋" w:cs="仿宋_GB2312"/>
          <w:sz w:val="32"/>
          <w:szCs w:val="32"/>
        </w:rPr>
      </w:pPr>
    </w:p>
    <w:p w14:paraId="3C78E153">
      <w:pPr>
        <w:tabs>
          <w:tab w:val="left" w:pos="2440"/>
          <w:tab w:val="left" w:pos="8964"/>
        </w:tabs>
        <w:spacing w:line="600" w:lineRule="exact"/>
        <w:ind w:firstLine="3737" w:firstLineChars="1168"/>
        <w:rPr>
          <w:rFonts w:hint="eastAsia" w:ascii="仿宋" w:hAnsi="仿宋" w:eastAsia="仿宋" w:cs="仿宋_GB2312"/>
          <w:sz w:val="32"/>
          <w:szCs w:val="32"/>
        </w:rPr>
      </w:pPr>
    </w:p>
    <w:p w14:paraId="15F9BDB2">
      <w:pPr>
        <w:pStyle w:val="2"/>
        <w:spacing w:before="1" w:line="460" w:lineRule="exact"/>
        <w:ind w:left="163"/>
        <w:rPr>
          <w:rFonts w:hint="eastAsia" w:ascii="黑体" w:hAnsi="黑体" w:eastAsia="黑体"/>
          <w:spacing w:val="-18"/>
        </w:rPr>
      </w:pPr>
      <w:r>
        <w:rPr>
          <w:rFonts w:ascii="Times New Roman" w:eastAsia="仿宋_GB2312"/>
          <w:spacing w:val="-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289560</wp:posOffset>
                </wp:positionV>
                <wp:extent cx="505968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968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pt;margin-top:22.8pt;height:0pt;width:398.4pt;z-index:251662336;mso-width-relative:page;mso-height-relative:page;" filled="f" stroked="t" coordsize="21600,21600" o:gfxdata="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E&#10;pNOB1gAAAAcBAAAPAAAAAAAAAAEAIAAAACIAAABkcnMvZG93bnJldi54bWxQSwECFAAUAAAACACH&#10;TuJAoy4twO0BAADZAwAADgAAAAAAAAABACAAAAAlAQAAZHJzL2Uyb0RvYy54bWxQSwUGAAAAAAYA&#10;BgBZAQAAhA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color w:val="231F20"/>
          <w:spacing w:val="-18"/>
        </w:rPr>
        <w:t>（市场监督管理部门将依法向社会公开行政处罚决定信息）</w:t>
      </w:r>
    </w:p>
    <w:p w14:paraId="28EF119C">
      <w:pPr>
        <w:spacing w:line="460" w:lineRule="exact"/>
      </w:pPr>
      <w:r>
        <w:rPr>
          <w:rFonts w:ascii="Times New Roman" w:hAnsi="Times New Roman" w:eastAsia="仿宋_GB2312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1312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Ns3mjX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16CF7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41C8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C41C8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72A27"/>
    <w:rsid w:val="00061277"/>
    <w:rsid w:val="000C1B68"/>
    <w:rsid w:val="0012170C"/>
    <w:rsid w:val="00172A27"/>
    <w:rsid w:val="00191976"/>
    <w:rsid w:val="002226DB"/>
    <w:rsid w:val="002B432B"/>
    <w:rsid w:val="002F740B"/>
    <w:rsid w:val="00451A1D"/>
    <w:rsid w:val="004E6C19"/>
    <w:rsid w:val="00537D0A"/>
    <w:rsid w:val="00637948"/>
    <w:rsid w:val="00654F67"/>
    <w:rsid w:val="007A1B78"/>
    <w:rsid w:val="007C4B55"/>
    <w:rsid w:val="009F7333"/>
    <w:rsid w:val="00AB7026"/>
    <w:rsid w:val="00AC581B"/>
    <w:rsid w:val="00AE1797"/>
    <w:rsid w:val="00B7235C"/>
    <w:rsid w:val="00CD10FF"/>
    <w:rsid w:val="00D91EDE"/>
    <w:rsid w:val="00E91D9D"/>
    <w:rsid w:val="087C62EA"/>
    <w:rsid w:val="09AB4631"/>
    <w:rsid w:val="0DEE0C89"/>
    <w:rsid w:val="0EDC703A"/>
    <w:rsid w:val="104355C3"/>
    <w:rsid w:val="10B36ECA"/>
    <w:rsid w:val="12035468"/>
    <w:rsid w:val="1478185D"/>
    <w:rsid w:val="16B75C86"/>
    <w:rsid w:val="18BF7CD6"/>
    <w:rsid w:val="2A5A2AA1"/>
    <w:rsid w:val="2A937AFB"/>
    <w:rsid w:val="2AE31A25"/>
    <w:rsid w:val="2C384EA7"/>
    <w:rsid w:val="30A65B9E"/>
    <w:rsid w:val="31FD255E"/>
    <w:rsid w:val="32D3237F"/>
    <w:rsid w:val="33955886"/>
    <w:rsid w:val="343E2513"/>
    <w:rsid w:val="37237D5B"/>
    <w:rsid w:val="39A8517B"/>
    <w:rsid w:val="3F12422F"/>
    <w:rsid w:val="472364CF"/>
    <w:rsid w:val="48F36E7F"/>
    <w:rsid w:val="49814659"/>
    <w:rsid w:val="4D3B1E0B"/>
    <w:rsid w:val="4DB9352B"/>
    <w:rsid w:val="4F031BFE"/>
    <w:rsid w:val="52A44C87"/>
    <w:rsid w:val="54063F0A"/>
    <w:rsid w:val="57A06424"/>
    <w:rsid w:val="598E1282"/>
    <w:rsid w:val="5A2A6781"/>
    <w:rsid w:val="5B264E92"/>
    <w:rsid w:val="5E6624ED"/>
    <w:rsid w:val="658253BB"/>
    <w:rsid w:val="66391F1D"/>
    <w:rsid w:val="66E83943"/>
    <w:rsid w:val="6EC425A0"/>
    <w:rsid w:val="73DD5CC9"/>
    <w:rsid w:val="745B5755"/>
    <w:rsid w:val="75D860BC"/>
    <w:rsid w:val="76134B57"/>
    <w:rsid w:val="782C03A7"/>
    <w:rsid w:val="79D264B9"/>
    <w:rsid w:val="79D43674"/>
    <w:rsid w:val="7C442F72"/>
    <w:rsid w:val="7CC85951"/>
    <w:rsid w:val="7D5316BF"/>
    <w:rsid w:val="7FE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2556</Words>
  <Characters>3090</Characters>
  <Lines>25</Lines>
  <Paragraphs>7</Paragraphs>
  <TotalTime>1</TotalTime>
  <ScaleCrop>false</ScaleCrop>
  <LinksUpToDate>false</LinksUpToDate>
  <CharactersWithSpaces>3526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2024-07-29T03:27:00Z</dcterms:created>
  <dc:creator>lenovo</dc:creator>
  <cp:lastModifiedBy>王建清</cp:lastModifiedBy>
  <cp:lastPrinted>2022-06-20T08:17:00Z</cp:lastPrinted>
  <dcterms:modified xsi:type="dcterms:W3CDTF">2024-10-21T08:39:19Z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FA2D157023C3458C88FDA66EED11901A_13</vt:lpwstr>
  </property>
</Properties>
</file>