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1FBEB">
      <w:pPr>
        <w:spacing w:line="600" w:lineRule="exact"/>
        <w:jc w:val="center"/>
        <w:rPr>
          <w:rFonts w:hint="eastAsia" w:ascii="黑体" w:hAnsi="黑体" w:eastAsia="黑体" w:cs="宋体"/>
          <w:sz w:val="48"/>
          <w:szCs w:val="48"/>
        </w:rPr>
      </w:pPr>
      <w:r>
        <w:rPr>
          <w:rFonts w:hint="eastAsia" w:ascii="黑体" w:hAnsi="黑体" w:eastAsia="黑体" w:cs="宋体"/>
          <w:sz w:val="48"/>
          <w:szCs w:val="48"/>
        </w:rPr>
        <w:t>洛阳市偃师区市场监督管理局</w:t>
      </w:r>
    </w:p>
    <w:p w14:paraId="69F983CC">
      <w:pPr>
        <w:spacing w:line="600" w:lineRule="exact"/>
        <w:jc w:val="center"/>
        <w:rPr>
          <w:rFonts w:hint="eastAsia" w:ascii="黑体" w:hAnsi="黑体" w:eastAsia="黑体" w:cs="宋体"/>
          <w:sz w:val="48"/>
          <w:szCs w:val="48"/>
        </w:rPr>
      </w:pPr>
      <w:r>
        <w:rPr>
          <w:rFonts w:hint="eastAsia" w:ascii="黑体" w:hAnsi="黑体" w:eastAsia="黑体" w:cs="宋体"/>
          <w:sz w:val="48"/>
          <w:szCs w:val="48"/>
        </w:rPr>
        <w:t>行政处罚决定书</w:t>
      </w:r>
    </w:p>
    <w:p w14:paraId="0F042157">
      <w:pPr>
        <w:spacing w:line="600" w:lineRule="exact"/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偃市监处罚</w:t>
      </w:r>
      <w:bookmarkStart w:id="0" w:name="_Hlk172708246"/>
      <w:r>
        <w:rPr>
          <w:rFonts w:hint="eastAsia" w:ascii="宋体" w:hAnsi="宋体" w:eastAsia="宋体" w:cs="宋体"/>
          <w:sz w:val="30"/>
          <w:szCs w:val="30"/>
        </w:rPr>
        <w:t>〔2024〕</w:t>
      </w:r>
      <w:bookmarkEnd w:id="0"/>
      <w:r>
        <w:rPr>
          <w:rFonts w:hint="eastAsia" w:ascii="宋体" w:hAnsi="宋体" w:eastAsia="宋体" w:cs="宋体"/>
          <w:sz w:val="30"/>
          <w:szCs w:val="30"/>
        </w:rPr>
        <w:t>21号</w:t>
      </w:r>
    </w:p>
    <w:p w14:paraId="16A1B8CA">
      <w:pPr>
        <w:tabs>
          <w:tab w:val="left" w:pos="6395"/>
        </w:tabs>
        <w:spacing w:line="60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ab/>
      </w:r>
      <w:bookmarkStart w:id="3" w:name="_GoBack"/>
      <w:bookmarkEnd w:id="3"/>
    </w:p>
    <w:p w14:paraId="026A083D">
      <w:pPr>
        <w:spacing w:line="600" w:lineRule="exact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当事人：</w:t>
      </w:r>
      <w:bookmarkStart w:id="1" w:name="_Hlk172708365"/>
      <w:r>
        <w:rPr>
          <w:rFonts w:hint="eastAsia" w:ascii="仿宋" w:hAnsi="仿宋" w:eastAsia="仿宋" w:cs="仿宋"/>
          <w:color w:val="000000"/>
          <w:sz w:val="32"/>
        </w:rPr>
        <w:t>偃师市山化镇龙盛祥鞋厂</w:t>
      </w:r>
      <w:bookmarkEnd w:id="1"/>
    </w:p>
    <w:p w14:paraId="2836A4E1"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主体资格证照名称：营业执照</w:t>
      </w:r>
    </w:p>
    <w:p w14:paraId="71CE1ACA">
      <w:pPr>
        <w:spacing w:line="600" w:lineRule="exact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color w:val="000000"/>
          <w:sz w:val="32"/>
        </w:rPr>
        <w:t>92410381MA41HFL7XA</w:t>
      </w:r>
    </w:p>
    <w:p w14:paraId="300620ED"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住所：</w:t>
      </w:r>
      <w:r>
        <w:rPr>
          <w:rFonts w:hint="eastAsia" w:ascii="仿宋" w:hAnsi="仿宋" w:eastAsia="仿宋" w:cs="仿宋"/>
          <w:color w:val="000000"/>
          <w:sz w:val="32"/>
        </w:rPr>
        <w:t>偃师市山化镇东屯15组</w:t>
      </w:r>
    </w:p>
    <w:p w14:paraId="1C04E388"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法定代表人：</w:t>
      </w:r>
      <w:r>
        <w:rPr>
          <w:rFonts w:hint="eastAsia" w:ascii="仿宋" w:hAnsi="仿宋" w:eastAsia="仿宋" w:cs="仿宋"/>
          <w:color w:val="000000"/>
          <w:sz w:val="32"/>
        </w:rPr>
        <w:t>任国强</w:t>
      </w:r>
    </w:p>
    <w:p w14:paraId="3BBFFD14">
      <w:pPr>
        <w:pStyle w:val="2"/>
        <w:tabs>
          <w:tab w:val="left" w:pos="8964"/>
        </w:tabs>
        <w:spacing w:line="600" w:lineRule="exact"/>
        <w:ind w:left="0" w:firstLine="612" w:firstLineChars="20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-7"/>
          <w14:textFill>
            <w14:solidFill>
              <w14:schemeClr w14:val="tx1"/>
            </w14:solidFill>
          </w14:textFill>
        </w:rPr>
        <w:t>2024年1月26日，我局收到洛阳市市场监督管理局转来的《产品质量监督抽查样品问题移送函》，内容为：在洛阳市市场监督管理局组织的市监督抽查中，偃师市山化镇龙盛祥鞋厂生产的布鞋产品经检验不符合QB/T4329-2012标准要求,按《2023年洛阳市产品质量监督抽查计划》实施细则判定为不合格产品。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为进一步查清事实，于2024年4月5日</w:t>
      </w:r>
      <w:r>
        <w:rPr>
          <w:rFonts w:hint="eastAsia" w:ascii="仿宋" w:hAnsi="仿宋" w:eastAsia="仿宋" w:cs="仿宋_GB2312"/>
          <w:color w:val="000000" w:themeColor="text1"/>
          <w14:textFill>
            <w14:solidFill>
              <w14:schemeClr w14:val="tx1"/>
            </w14:solidFill>
          </w14:textFill>
        </w:rPr>
        <w:t>报请局主管领导批准，对该案进行调查。</w:t>
      </w:r>
    </w:p>
    <w:p w14:paraId="429DAA7C">
      <w:pPr>
        <w:spacing w:line="60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</w:rPr>
        <w:t>经查，当事人生产布鞋750双，成本价19.6元/双，抽样单上显示的销售价为22元/双，实际上当事人以12元/双的价格卖给了商丘一个叫闫红军的人，双方是现金支付。当事人对生产时间等情况不能说明。涉案布鞋一共卖了9000元，当事人没有获利，有买方的询问笔录为证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21F8D253">
      <w:pPr>
        <w:pStyle w:val="6"/>
        <w:shd w:val="clear" w:color="auto" w:fill="FFFFFF"/>
        <w:spacing w:beforeAutospacing="0" w:afterAutospacing="0" w:line="600" w:lineRule="exact"/>
        <w:ind w:right="105" w:rightChars="50"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上述事实，主要有以下证据证明：</w:t>
      </w:r>
    </w:p>
    <w:p w14:paraId="20F36FFD">
      <w:pPr>
        <w:pStyle w:val="6"/>
        <w:shd w:val="clear" w:color="auto" w:fill="FFFFFF"/>
        <w:spacing w:beforeAutospacing="0" w:afterAutospacing="0" w:line="600" w:lineRule="exact"/>
        <w:ind w:left="640" w:right="105" w:rightChars="5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1.营业执照及经营者身份证复印件各1份，证明当事人的主</w:t>
      </w:r>
    </w:p>
    <w:p w14:paraId="2AFCC714">
      <w:pPr>
        <w:pStyle w:val="6"/>
        <w:shd w:val="clear" w:color="auto" w:fill="FFFFFF"/>
        <w:spacing w:beforeAutospacing="0" w:afterAutospacing="0" w:line="600" w:lineRule="exact"/>
        <w:ind w:right="105" w:rightChars="5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体资格及经营者的身份；</w:t>
      </w:r>
    </w:p>
    <w:p w14:paraId="01C6CB61">
      <w:pPr>
        <w:pStyle w:val="6"/>
        <w:shd w:val="clear" w:color="auto" w:fill="FFFFFF"/>
        <w:spacing w:beforeAutospacing="0" w:afterAutospacing="0" w:line="600" w:lineRule="exact"/>
        <w:ind w:left="640" w:right="105" w:rightChars="5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2.现场检查笔录1份，证明执法人员对当事人进行现场检查</w:t>
      </w:r>
    </w:p>
    <w:p w14:paraId="631FFCC9">
      <w:pPr>
        <w:pStyle w:val="6"/>
        <w:shd w:val="clear" w:color="auto" w:fill="FFFFFF"/>
        <w:spacing w:beforeAutospacing="0" w:afterAutospacing="0" w:line="600" w:lineRule="exact"/>
        <w:ind w:right="105" w:rightChars="5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的情况；</w:t>
      </w:r>
    </w:p>
    <w:p w14:paraId="4599AD93">
      <w:pPr>
        <w:pStyle w:val="6"/>
        <w:shd w:val="clear" w:color="auto" w:fill="FFFFFF"/>
        <w:spacing w:beforeAutospacing="0" w:afterAutospacing="0" w:line="600" w:lineRule="exact"/>
        <w:ind w:right="105" w:rightChars="50"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3.询问笔录2份，证明当事人生产销售涉案布鞋的情况；</w:t>
      </w:r>
    </w:p>
    <w:p w14:paraId="2A124E6E">
      <w:pPr>
        <w:pStyle w:val="6"/>
        <w:shd w:val="clear" w:color="auto" w:fill="FFFFFF"/>
        <w:spacing w:beforeAutospacing="0" w:afterAutospacing="0" w:line="600" w:lineRule="exact"/>
        <w:ind w:right="105" w:rightChars="50"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4.检验报告及产品质量监督抽样单各1份，证明当事人生产销售的布鞋经检验不合格的事实。</w:t>
      </w:r>
    </w:p>
    <w:p w14:paraId="25D4E387">
      <w:pPr>
        <w:pStyle w:val="2"/>
        <w:spacing w:line="600" w:lineRule="exact"/>
        <w:ind w:left="10" w:leftChars="5" w:firstLine="64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当事人生产销售不合格布鞋的行为，违反了《中华人民共和国产品质量法》第三十二条“生产者生产产品，不得掺杂、掺假，不得以假充真、以次充好，不得以不合格产品冒充合格产品。”之规定，参照《河南省市场监督管理行政处罚裁量权适用通则》第十八条“当事人不具备不予行政处罚、减轻、从轻或者从重行政处罚情形的，</w:t>
      </w:r>
      <w:bookmarkStart w:id="2" w:name="_Hlk172708746"/>
      <w:r>
        <w:rPr>
          <w:rFonts w:hint="eastAsia" w:ascii="仿宋" w:hAnsi="仿宋" w:eastAsia="仿宋" w:cs="仿宋"/>
        </w:rPr>
        <w:t>应当给予一般行政处罚。</w:t>
      </w:r>
      <w:bookmarkEnd w:id="2"/>
      <w:r>
        <w:rPr>
          <w:rFonts w:hint="eastAsia" w:ascii="仿宋" w:hAnsi="仿宋" w:eastAsia="仿宋" w:cs="仿宋"/>
        </w:rPr>
        <w:t>”的规定，应当给予其一般行政处罚。</w:t>
      </w:r>
    </w:p>
    <w:p w14:paraId="2E598CA2">
      <w:pPr>
        <w:pStyle w:val="2"/>
        <w:spacing w:line="600" w:lineRule="exact"/>
        <w:ind w:left="10" w:leftChars="5" w:firstLine="64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局于2024年7月15日向当事人送达了偃市监罚告〔2024〕21号《行政处罚告知书》，告知当事人本局拟作出行政处罚的内容及事实、理由、依据，并告知当事人依法享有的陈述、申辩和听证的权利。当事人在法定期限内未作出陈述、申辩，也未提出听证。</w:t>
      </w:r>
    </w:p>
    <w:p w14:paraId="42F51848">
      <w:pPr>
        <w:pStyle w:val="2"/>
        <w:spacing w:line="600" w:lineRule="exact"/>
        <w:ind w:left="10" w:leftChars="5" w:firstLine="640" w:firstLineChars="200"/>
        <w:rPr>
          <w:rFonts w:hint="eastAsia" w:ascii="仿宋" w:hAnsi="仿宋" w:eastAsia="仿宋" w:cs="仿宋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14:textFill>
            <w14:solidFill>
              <w14:schemeClr w14:val="tx1"/>
            </w14:solidFill>
          </w14:textFill>
        </w:rPr>
        <w:t>依据《中华人民共和国产品质量法》</w:t>
      </w:r>
      <w:r>
        <w:rPr>
          <w:rFonts w:hint="eastAsia" w:ascii="仿宋" w:hAnsi="仿宋" w:eastAsia="仿宋" w:cs="仿宋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第五十条“在产品中掺杂、掺假，以假充真，以次充好，或者以不合格产品冒充合格产品的，责令停止生产、销售，没收违法生产、销售的产品，并处违法生产、销售产品货值金额百分之五十以上三倍以下的罚款；有违法所得的，并处没收违法所得；情节严重的，吊销营业执照；构成犯罪的，依法追究刑事责任。”</w:t>
      </w:r>
      <w:r>
        <w:rPr>
          <w:rFonts w:hint="eastAsia" w:ascii="仿宋" w:hAnsi="仿宋" w:eastAsia="仿宋" w:cs="仿宋"/>
          <w:color w:val="000000" w:themeColor="text1"/>
          <w:kern w:val="0"/>
          <w14:textFill>
            <w14:solidFill>
              <w14:schemeClr w14:val="tx1"/>
            </w14:solidFill>
          </w14:textFill>
        </w:rPr>
        <w:t>之规定，参照《河南省市场监督管理行政处罚自由裁量权基准》（2023版）</w:t>
      </w:r>
      <w:r>
        <w:rPr>
          <w:rFonts w:ascii="仿宋" w:hAnsi="仿宋" w:eastAsia="仿宋" w:cs="仿宋"/>
          <w:color w:val="000000" w:themeColor="text1"/>
          <w:kern w:val="0"/>
          <w14:textFill>
            <w14:solidFill>
              <w14:schemeClr w14:val="tx1"/>
            </w14:solidFill>
          </w14:textFill>
        </w:rPr>
        <w:t>4.1.2</w:t>
      </w:r>
      <w:r>
        <w:rPr>
          <w:rFonts w:hint="eastAsia" w:ascii="仿宋" w:hAnsi="仿宋" w:eastAsia="仿宋" w:cs="仿宋"/>
          <w:color w:val="000000" w:themeColor="text1"/>
          <w:kern w:val="0"/>
          <w14:textFill>
            <w14:solidFill>
              <w14:schemeClr w14:val="tx1"/>
            </w14:solidFill>
          </w14:textFill>
        </w:rPr>
        <w:t xml:space="preserve"> “依据《中华人民共和国产品质量法》第五十条实施的行政处罚</w:t>
      </w:r>
      <w:r>
        <w:rPr>
          <w:rFonts w:hint="eastAsia" w:ascii="仿宋" w:hAnsi="仿宋" w:eastAsia="仿宋" w:cs="仿宋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14:textFill>
            <w14:solidFill>
              <w14:schemeClr w14:val="tx1"/>
            </w14:solidFill>
          </w14:textFill>
        </w:rPr>
        <w:t>裁量基准 责令停止生产、销售，没收违法生产、销售的产品，并处违法生产、销售产品货值金额1.3倍以上2.2倍以下的罚款；有违法所得的，并处没收违法所得。”之规定，决定对偃师市山化镇龙盛祥鞋厂责令停止生产、销售，处罚如下：罚款11710元。</w:t>
      </w:r>
    </w:p>
    <w:p w14:paraId="612D8C6D">
      <w:pPr>
        <w:pStyle w:val="2"/>
        <w:tabs>
          <w:tab w:val="left" w:pos="8920"/>
        </w:tabs>
        <w:spacing w:line="600" w:lineRule="exact"/>
        <w:ind w:left="0" w:firstLine="640" w:firstLineChars="200"/>
        <w:rPr>
          <w:rFonts w:hint="eastAsia" w:ascii="仿宋" w:hAnsi="仿宋" w:eastAsia="仿宋" w:cs="仿宋_GB2312"/>
          <w:bCs/>
        </w:rPr>
      </w:pPr>
      <w:r>
        <w:rPr>
          <w:rFonts w:hint="eastAsia" w:ascii="仿宋" w:hAnsi="仿宋" w:eastAsia="仿宋" w:cs="仿宋_GB2312"/>
          <w:bCs/>
        </w:rPr>
        <w:t>当事人收到本处罚决定之日起</w:t>
      </w:r>
      <w:r>
        <w:rPr>
          <w:rFonts w:ascii="仿宋" w:hAnsi="仿宋" w:eastAsia="仿宋" w:cs="仿宋_GB2312"/>
          <w:bCs/>
        </w:rPr>
        <w:t>15</w:t>
      </w:r>
      <w:r>
        <w:rPr>
          <w:rFonts w:hint="eastAsia" w:ascii="仿宋" w:hAnsi="仿宋" w:eastAsia="仿宋" w:cs="仿宋_GB2312"/>
          <w:bCs/>
        </w:rPr>
        <w:t>日内，缴清上述罚款。（当事人可选择以下银行缴纳罚款：</w:t>
      </w:r>
      <w:r>
        <w:rPr>
          <w:rFonts w:ascii="仿宋" w:hAnsi="仿宋" w:eastAsia="仿宋" w:cs="仿宋_GB2312"/>
          <w:bCs/>
        </w:rPr>
        <w:t>1.</w:t>
      </w:r>
      <w:r>
        <w:rPr>
          <w:rFonts w:hint="eastAsia" w:ascii="仿宋" w:hAnsi="仿宋" w:eastAsia="仿宋" w:cs="仿宋_GB2312"/>
          <w:bCs/>
        </w:rPr>
        <w:t>农业银行偃师市支行，户名：洛阳市偃师区财政局财政专户，账号：</w:t>
      </w:r>
      <w:r>
        <w:rPr>
          <w:rFonts w:ascii="仿宋" w:hAnsi="仿宋" w:eastAsia="仿宋" w:cs="仿宋_GB2312"/>
          <w:bCs/>
        </w:rPr>
        <w:t>16129101040000020</w:t>
      </w:r>
      <w:r>
        <w:rPr>
          <w:rFonts w:hint="eastAsia" w:ascii="仿宋" w:hAnsi="仿宋" w:eastAsia="仿宋" w:cs="仿宋_GB2312"/>
          <w:bCs/>
        </w:rPr>
        <w:t>。</w:t>
      </w:r>
      <w:r>
        <w:rPr>
          <w:rFonts w:ascii="仿宋" w:hAnsi="仿宋" w:eastAsia="仿宋" w:cs="仿宋_GB2312"/>
          <w:bCs/>
        </w:rPr>
        <w:t>2.</w:t>
      </w:r>
      <w:r>
        <w:rPr>
          <w:rFonts w:hint="eastAsia" w:ascii="仿宋" w:hAnsi="仿宋" w:eastAsia="仿宋" w:cs="仿宋_GB2312"/>
          <w:bCs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bCs/>
        </w:rPr>
        <w:t>1705027009064004971</w:t>
      </w:r>
      <w:r>
        <w:rPr>
          <w:rFonts w:hint="eastAsia" w:ascii="仿宋" w:hAnsi="仿宋" w:eastAsia="仿宋" w:cs="仿宋_GB2312"/>
          <w:bCs/>
        </w:rPr>
        <w:t>。</w:t>
      </w:r>
      <w:r>
        <w:rPr>
          <w:rFonts w:ascii="仿宋" w:hAnsi="仿宋" w:eastAsia="仿宋" w:cs="仿宋_GB2312"/>
          <w:bCs/>
        </w:rPr>
        <w:t>3.</w:t>
      </w:r>
      <w:r>
        <w:rPr>
          <w:rFonts w:hint="eastAsia" w:ascii="仿宋" w:hAnsi="仿宋" w:eastAsia="仿宋" w:cs="仿宋_GB2312"/>
          <w:bCs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bCs/>
        </w:rPr>
        <w:t>249407156581</w:t>
      </w:r>
      <w:r>
        <w:rPr>
          <w:rFonts w:hint="eastAsia" w:ascii="仿宋" w:hAnsi="仿宋" w:eastAsia="仿宋" w:cs="仿宋_GB2312"/>
          <w:bCs/>
        </w:rPr>
        <w:t>。</w:t>
      </w:r>
      <w:r>
        <w:rPr>
          <w:rFonts w:ascii="仿宋" w:hAnsi="仿宋" w:eastAsia="仿宋" w:cs="仿宋_GB2312"/>
          <w:bCs/>
        </w:rPr>
        <w:t>4.</w:t>
      </w:r>
      <w:r>
        <w:rPr>
          <w:rFonts w:hint="eastAsia" w:ascii="仿宋" w:hAnsi="仿宋" w:eastAsia="仿宋" w:cs="仿宋_GB2312"/>
          <w:bCs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bCs/>
        </w:rPr>
        <w:t>00000005583396678012</w:t>
      </w:r>
      <w:r>
        <w:rPr>
          <w:rFonts w:hint="eastAsia" w:ascii="仿宋" w:hAnsi="仿宋" w:eastAsia="仿宋" w:cs="仿宋_GB2312"/>
          <w:bCs/>
        </w:rPr>
        <w:t>。</w:t>
      </w:r>
      <w:r>
        <w:rPr>
          <w:rFonts w:ascii="仿宋" w:hAnsi="仿宋" w:eastAsia="仿宋" w:cs="仿宋_GB2312"/>
          <w:bCs/>
        </w:rPr>
        <w:t>5.</w:t>
      </w:r>
      <w:r>
        <w:rPr>
          <w:rFonts w:hint="eastAsia" w:ascii="仿宋" w:hAnsi="仿宋" w:eastAsia="仿宋" w:cs="仿宋_GB2312"/>
          <w:bCs/>
        </w:rPr>
        <w:t>建设银行偃师支行，户名：洛阳市偃师区财政局财政专户，账号：</w:t>
      </w:r>
      <w:r>
        <w:rPr>
          <w:rFonts w:ascii="仿宋" w:hAnsi="仿宋" w:eastAsia="仿宋" w:cs="仿宋_GB2312"/>
          <w:bCs/>
        </w:rPr>
        <w:t>41001591110058000003</w:t>
      </w:r>
      <w:r>
        <w:rPr>
          <w:rFonts w:hint="eastAsia" w:ascii="仿宋" w:hAnsi="仿宋" w:eastAsia="仿宋" w:cs="仿宋_GB2312"/>
          <w:bCs/>
        </w:rPr>
        <w:t>。</w:t>
      </w:r>
      <w:r>
        <w:rPr>
          <w:rFonts w:ascii="仿宋" w:hAnsi="仿宋" w:eastAsia="仿宋" w:cs="仿宋_GB2312"/>
          <w:bCs/>
        </w:rPr>
        <w:t>6.</w:t>
      </w:r>
      <w:r>
        <w:rPr>
          <w:rFonts w:hint="eastAsia" w:ascii="仿宋" w:hAnsi="仿宋" w:eastAsia="仿宋" w:cs="仿宋_GB2312"/>
          <w:bCs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bCs/>
        </w:rPr>
        <w:t>671610090000000753</w:t>
      </w:r>
      <w:r>
        <w:rPr>
          <w:rFonts w:hint="eastAsia" w:ascii="仿宋" w:hAnsi="仿宋" w:eastAsia="仿宋" w:cs="仿宋_GB2312"/>
          <w:bCs/>
        </w:rPr>
        <w:t>。</w:t>
      </w:r>
      <w:r>
        <w:rPr>
          <w:rFonts w:ascii="仿宋" w:hAnsi="仿宋" w:eastAsia="仿宋" w:cs="仿宋_GB2312"/>
          <w:bCs/>
        </w:rPr>
        <w:t>7.</w:t>
      </w:r>
      <w:r>
        <w:rPr>
          <w:rFonts w:hint="eastAsia" w:ascii="仿宋" w:hAnsi="仿宋" w:eastAsia="仿宋" w:cs="仿宋_GB2312"/>
          <w:bCs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bCs/>
        </w:rPr>
        <w:t>100216664840019999</w:t>
      </w:r>
      <w:r>
        <w:rPr>
          <w:rFonts w:hint="eastAsia" w:ascii="仿宋" w:hAnsi="仿宋" w:eastAsia="仿宋" w:cs="仿宋_GB2312"/>
          <w:bCs/>
        </w:rPr>
        <w:t>。</w:t>
      </w:r>
    </w:p>
    <w:p w14:paraId="3128995D">
      <w:pPr>
        <w:spacing w:line="600" w:lineRule="exact"/>
        <w:ind w:firstLine="640" w:firstLineChars="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 w14:paraId="46027F08"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：//xzfy.moj.gov.cn/）网站提交申请。行政复议或者行政诉讼期间，本行政处罚决定不停止执行。</w:t>
      </w:r>
      <w:r>
        <w:rPr>
          <w:rFonts w:ascii="仿宋" w:hAnsi="仿宋" w:eastAsia="仿宋" w:cs="仿宋_GB2312"/>
          <w:bCs/>
          <w:sz w:val="32"/>
          <w:szCs w:val="32"/>
        </w:rPr>
        <w:t xml:space="preserve">   </w:t>
      </w:r>
    </w:p>
    <w:p w14:paraId="3DA4FB00">
      <w:pPr>
        <w:tabs>
          <w:tab w:val="left" w:pos="2440"/>
          <w:tab w:val="left" w:pos="8964"/>
        </w:tabs>
        <w:spacing w:line="600" w:lineRule="exact"/>
        <w:ind w:firstLine="4480" w:firstLineChars="1400"/>
        <w:rPr>
          <w:rFonts w:hint="eastAsia" w:ascii="仿宋" w:hAnsi="仿宋" w:eastAsia="仿宋" w:cs="仿宋_GB2312"/>
          <w:bCs/>
          <w:sz w:val="32"/>
          <w:szCs w:val="32"/>
        </w:rPr>
      </w:pPr>
    </w:p>
    <w:p w14:paraId="5E239540">
      <w:pPr>
        <w:spacing w:line="600" w:lineRule="exact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     </w:t>
      </w:r>
    </w:p>
    <w:p w14:paraId="3870C20E">
      <w:pPr>
        <w:spacing w:line="600" w:lineRule="exact"/>
        <w:ind w:firstLine="3840" w:firstLineChars="1200"/>
        <w:rPr>
          <w:rFonts w:hint="eastAsia" w:ascii="仿宋" w:hAnsi="仿宋" w:eastAsia="仿宋" w:cs="仿宋_GB2312"/>
          <w:bCs/>
          <w:sz w:val="32"/>
          <w:szCs w:val="32"/>
        </w:rPr>
      </w:pPr>
    </w:p>
    <w:p w14:paraId="67D44B6B">
      <w:pPr>
        <w:spacing w:line="600" w:lineRule="exact"/>
        <w:ind w:firstLine="3840" w:firstLineChars="120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洛阳市偃师区市场监督管理局</w:t>
      </w:r>
    </w:p>
    <w:p w14:paraId="00918534">
      <w:pPr>
        <w:spacing w:line="600" w:lineRule="exact"/>
        <w:ind w:firstLine="4960" w:firstLineChars="1550"/>
        <w:rPr>
          <w:rFonts w:ascii="仿宋" w:hAnsi="仿宋" w:eastAsia="仿宋" w:cs="仿宋_GB2312"/>
          <w:bCs/>
          <w:sz w:val="32"/>
          <w:szCs w:val="32"/>
        </w:rPr>
      </w:pPr>
    </w:p>
    <w:p w14:paraId="32493E87">
      <w:pPr>
        <w:spacing w:line="600" w:lineRule="exact"/>
        <w:ind w:firstLine="4960" w:firstLineChars="1550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2024年7月24日</w:t>
      </w:r>
    </w:p>
    <w:p w14:paraId="6E376D63">
      <w:pPr>
        <w:tabs>
          <w:tab w:val="left" w:pos="2440"/>
          <w:tab w:val="left" w:pos="8964"/>
        </w:tabs>
        <w:spacing w:line="600" w:lineRule="exact"/>
        <w:rPr>
          <w:rFonts w:hint="eastAsia" w:ascii="仿宋" w:hAnsi="仿宋" w:eastAsia="仿宋" w:cs="仿宋_GB2312"/>
          <w:bCs/>
          <w:sz w:val="32"/>
          <w:szCs w:val="32"/>
        </w:rPr>
      </w:pPr>
    </w:p>
    <w:p w14:paraId="29FD2363"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 w14:paraId="448DA29C"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 w14:paraId="1B5A4441"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 w14:paraId="223307F8"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 w14:paraId="23187167"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 w14:paraId="0B86E50E"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 w14:paraId="0962C64E"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</w:p>
    <w:p w14:paraId="6FA05990">
      <w:pPr>
        <w:tabs>
          <w:tab w:val="left" w:pos="2440"/>
          <w:tab w:val="left" w:pos="8964"/>
        </w:tabs>
        <w:spacing w:line="600" w:lineRule="exact"/>
        <w:rPr>
          <w:rFonts w:hint="eastAsia" w:ascii="仿宋" w:hAnsi="仿宋" w:eastAsia="仿宋" w:cs="仿宋_GB2312"/>
          <w:bCs/>
          <w:sz w:val="32"/>
          <w:szCs w:val="32"/>
        </w:rPr>
      </w:pPr>
    </w:p>
    <w:p w14:paraId="35B579F1">
      <w:pPr>
        <w:tabs>
          <w:tab w:val="left" w:pos="2440"/>
          <w:tab w:val="left" w:pos="8964"/>
        </w:tabs>
        <w:spacing w:line="600" w:lineRule="exact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（市场监督管理部门将依法向社会公示本行政处罚决定信息）</w:t>
      </w:r>
    </w:p>
    <w:p w14:paraId="0EB8CC9B">
      <w:pPr>
        <w:tabs>
          <w:tab w:val="left" w:pos="2440"/>
          <w:tab w:val="left" w:pos="8964"/>
        </w:tabs>
        <w:spacing w:line="600" w:lineRule="exact"/>
        <w:rPr>
          <w:rFonts w:hint="eastAsia"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40640</wp:posOffset>
                </wp:positionV>
                <wp:extent cx="5448300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3.4pt;margin-top:3.2pt;height:0pt;width:429pt;z-index:251659264;mso-width-relative:page;mso-height-relative:page;" filled="f" stroked="t" coordsize="21600,21600" o:gfxdata="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z&#10;T2SR0wAAAAUBAAAPAAAAAAAAAAEAIAAAACIAAABkcnMvZG93bnJldi54bWxQSwECFAAUAAAACACH&#10;TuJAMutvUvABAADnAwAADgAAAAAAAAABACAAAAAiAQAAZHJzL2Uyb0RvYy54bWxQSwUGAAAAAAYA&#10;BgBZAQAAh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327" w:right="1349" w:bottom="132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5078132"/>
    </w:sdtPr>
    <w:sdtContent>
      <w:p w14:paraId="2B727A15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FF1001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4D4162"/>
    <w:rsid w:val="000015F7"/>
    <w:rsid w:val="00001DF5"/>
    <w:rsid w:val="00026AC9"/>
    <w:rsid w:val="00030A07"/>
    <w:rsid w:val="00056531"/>
    <w:rsid w:val="000B6CB5"/>
    <w:rsid w:val="000D0CEB"/>
    <w:rsid w:val="000E5D45"/>
    <w:rsid w:val="000F4B6D"/>
    <w:rsid w:val="0011224B"/>
    <w:rsid w:val="001334C0"/>
    <w:rsid w:val="001449B0"/>
    <w:rsid w:val="00150A99"/>
    <w:rsid w:val="00173407"/>
    <w:rsid w:val="00175829"/>
    <w:rsid w:val="00176B24"/>
    <w:rsid w:val="001E2DDB"/>
    <w:rsid w:val="00202DE2"/>
    <w:rsid w:val="00270C14"/>
    <w:rsid w:val="00327594"/>
    <w:rsid w:val="00331052"/>
    <w:rsid w:val="00342D09"/>
    <w:rsid w:val="003617B0"/>
    <w:rsid w:val="00395BC6"/>
    <w:rsid w:val="003A2E7F"/>
    <w:rsid w:val="00404FA3"/>
    <w:rsid w:val="00412319"/>
    <w:rsid w:val="00472F4D"/>
    <w:rsid w:val="0048191E"/>
    <w:rsid w:val="004845A4"/>
    <w:rsid w:val="004C25CE"/>
    <w:rsid w:val="004D4162"/>
    <w:rsid w:val="00587D06"/>
    <w:rsid w:val="006334DE"/>
    <w:rsid w:val="00661696"/>
    <w:rsid w:val="006B6F25"/>
    <w:rsid w:val="006C437A"/>
    <w:rsid w:val="00750269"/>
    <w:rsid w:val="00784A06"/>
    <w:rsid w:val="007A76C1"/>
    <w:rsid w:val="007B29AD"/>
    <w:rsid w:val="0081679B"/>
    <w:rsid w:val="00856277"/>
    <w:rsid w:val="00871175"/>
    <w:rsid w:val="008A2EB2"/>
    <w:rsid w:val="008B5B32"/>
    <w:rsid w:val="008C68C2"/>
    <w:rsid w:val="00933583"/>
    <w:rsid w:val="00937EA8"/>
    <w:rsid w:val="00A17A15"/>
    <w:rsid w:val="00A25FA6"/>
    <w:rsid w:val="00A6680C"/>
    <w:rsid w:val="00A71FFB"/>
    <w:rsid w:val="00A95935"/>
    <w:rsid w:val="00AA2DE1"/>
    <w:rsid w:val="00AD5661"/>
    <w:rsid w:val="00AF429F"/>
    <w:rsid w:val="00B1292E"/>
    <w:rsid w:val="00B333FF"/>
    <w:rsid w:val="00B41443"/>
    <w:rsid w:val="00B52F3E"/>
    <w:rsid w:val="00B74223"/>
    <w:rsid w:val="00BC2A16"/>
    <w:rsid w:val="00BF60EB"/>
    <w:rsid w:val="00C42003"/>
    <w:rsid w:val="00C65219"/>
    <w:rsid w:val="00C66531"/>
    <w:rsid w:val="00D66FCA"/>
    <w:rsid w:val="00D671A6"/>
    <w:rsid w:val="00D93766"/>
    <w:rsid w:val="00DD177C"/>
    <w:rsid w:val="00DE207E"/>
    <w:rsid w:val="00E05C0F"/>
    <w:rsid w:val="00E918DB"/>
    <w:rsid w:val="00EB41BB"/>
    <w:rsid w:val="00EC79FD"/>
    <w:rsid w:val="00EE0800"/>
    <w:rsid w:val="00F54E18"/>
    <w:rsid w:val="00F92B6C"/>
    <w:rsid w:val="00F95394"/>
    <w:rsid w:val="00FA5F07"/>
    <w:rsid w:val="00FB48EF"/>
    <w:rsid w:val="00FC75CC"/>
    <w:rsid w:val="036B3C4E"/>
    <w:rsid w:val="03756BA9"/>
    <w:rsid w:val="04685FE8"/>
    <w:rsid w:val="0781507A"/>
    <w:rsid w:val="0AED27F7"/>
    <w:rsid w:val="0B451D41"/>
    <w:rsid w:val="0C396332"/>
    <w:rsid w:val="0C446677"/>
    <w:rsid w:val="0E7C659C"/>
    <w:rsid w:val="0EEF7A19"/>
    <w:rsid w:val="12971925"/>
    <w:rsid w:val="15AC16DA"/>
    <w:rsid w:val="15E46C47"/>
    <w:rsid w:val="1614447E"/>
    <w:rsid w:val="1A9D5316"/>
    <w:rsid w:val="1AEE23D7"/>
    <w:rsid w:val="1B4B0801"/>
    <w:rsid w:val="1D243185"/>
    <w:rsid w:val="1FCF79EC"/>
    <w:rsid w:val="315E6335"/>
    <w:rsid w:val="380F4BA6"/>
    <w:rsid w:val="415224D5"/>
    <w:rsid w:val="42274495"/>
    <w:rsid w:val="46932DA9"/>
    <w:rsid w:val="4766336A"/>
    <w:rsid w:val="49641236"/>
    <w:rsid w:val="4FA07D6E"/>
    <w:rsid w:val="52423ED5"/>
    <w:rsid w:val="5BB72604"/>
    <w:rsid w:val="676E1256"/>
    <w:rsid w:val="68863414"/>
    <w:rsid w:val="6C8F650C"/>
    <w:rsid w:val="704E0C9C"/>
    <w:rsid w:val="72536115"/>
    <w:rsid w:val="7A796935"/>
    <w:rsid w:val="7C9A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3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</w:pPr>
    <w:rPr>
      <w:rFonts w:cs="Times New Roman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2">
    <w:name w:val="批注框文本 字符"/>
    <w:basedOn w:val="8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1708</Words>
  <Characters>1956</Characters>
  <Lines>14</Lines>
  <Paragraphs>4</Paragraphs>
  <TotalTime>5</TotalTime>
  <ScaleCrop>false</ScaleCrop>
  <LinksUpToDate>false</LinksUpToDate>
  <CharactersWithSpaces>1984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2024-07-24T02:27:00Z</dcterms:created>
  <dc:creator>86150</dc:creator>
  <cp:lastModifiedBy>王建清</cp:lastModifiedBy>
  <cp:lastPrinted>2023-03-23T10:33:00Z</cp:lastPrinted>
  <dcterms:modified xsi:type="dcterms:W3CDTF">2024-10-21T08:34:44Z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C684684D3E094A90964F96FB190E9D2C_13</vt:lpwstr>
  </property>
</Properties>
</file>