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949B1">
      <w:pPr>
        <w:spacing w:line="600" w:lineRule="exact"/>
        <w:ind w:firstLine="960" w:firstLineChars="200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洛阳市偃师区市场监督管理局</w:t>
      </w:r>
    </w:p>
    <w:p w14:paraId="3C1D0596">
      <w:pPr>
        <w:spacing w:line="600" w:lineRule="exact"/>
        <w:ind w:firstLine="2400" w:firstLineChars="500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行政处罚决定书</w:t>
      </w:r>
    </w:p>
    <w:p w14:paraId="406C0FC1">
      <w:pPr>
        <w:spacing w:line="600" w:lineRule="exact"/>
        <w:ind w:firstLine="2400" w:firstLineChars="800"/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偃市监处罚〔2024〕40号</w:t>
      </w:r>
    </w:p>
    <w:p w14:paraId="0CA524CD">
      <w:pPr>
        <w:spacing w:line="560" w:lineRule="exact"/>
        <w:rPr>
          <w:rFonts w:hint="eastAsia" w:ascii="仿宋" w:hAnsi="仿宋" w:eastAsia="仿宋"/>
          <w:sz w:val="32"/>
          <w:szCs w:val="32"/>
        </w:rPr>
      </w:pPr>
    </w:p>
    <w:p w14:paraId="36817D1A"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当事人：侯太丰              </w:t>
      </w:r>
    </w:p>
    <w:p w14:paraId="20A923DE"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经营场所：偃师市岳滩镇堤头村工业区8组 </w:t>
      </w:r>
      <w:bookmarkStart w:id="1" w:name="_GoBack"/>
      <w:bookmarkEnd w:id="1"/>
    </w:p>
    <w:p w14:paraId="161B2F4A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bookmarkStart w:id="0" w:name="_Hlk175313870"/>
      <w:r>
        <w:rPr>
          <w:rFonts w:hint="eastAsia" w:ascii="仿宋" w:hAnsi="仿宋" w:eastAsia="仿宋"/>
          <w:sz w:val="32"/>
          <w:szCs w:val="32"/>
        </w:rPr>
        <w:t>经查，2024年3月份，当事人在未取得营业执照情况下在</w:t>
      </w:r>
      <w:bookmarkEnd w:id="0"/>
      <w:r>
        <w:rPr>
          <w:rFonts w:hint="eastAsia" w:ascii="仿宋" w:hAnsi="仿宋" w:eastAsia="仿宋"/>
          <w:sz w:val="32"/>
          <w:szCs w:val="32"/>
        </w:rPr>
        <w:t>偃师市岳滩镇堤头村工业区8组一厂房内从事三轮摩托车车架的生产、销售。2024年5月16日，被我局执法人员查获，并责令其于2024年5月30日前予以改正。当事人尚无违法所得。2024年6月5日，我局执法人员再次检查时，当事人仍未改正上述违法行为。其已加工摩托车车架100台,每台成本500元,销售价每台600元。销售出100台，每台获利100元，共计获利10000元。当事人未建立帐薄，违法所得以当事人口述为准。</w:t>
      </w:r>
    </w:p>
    <w:p w14:paraId="7E88910F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上述事实有以下材料为证：</w:t>
      </w:r>
    </w:p>
    <w:p w14:paraId="5831EE99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1.当事人身份证复印件，证明当事人身份；</w:t>
      </w:r>
    </w:p>
    <w:p w14:paraId="0E9B510E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2.现场检查记录，证明当事人无照从事摩托车车架生产的事实；</w:t>
      </w:r>
    </w:p>
    <w:p w14:paraId="77814805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3.询问笔录1份，证明当事人无照经营情况及获利情况。</w:t>
      </w:r>
    </w:p>
    <w:p w14:paraId="7BC67070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当事人的行为违反了《市场主体登记管理条例》第三条“市场主体应当依照本条例办理登记。未经登记，不得以市场主体名义从事经营活动。法律、行政法规规定无需办理登记的除外。”的规定，属于无照生产摩托车车架。参照《河南省市场监督管理行政处罚裁量权适用通则》第十条“有下列情形之一的，可以依法从轻或者减轻行政处罚：（二）积极配合市场监管部门调查，并主动提供证据材料的；”的规定，可以依法对其从轻行政处罚。</w:t>
      </w:r>
    </w:p>
    <w:p w14:paraId="774FE3E8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局于2024年6月25日向当事人送达了《偃师区市场监督管理局行政听证告知书》，告知当事人依法享有的陈述权、申辩权，并可要求举行听证。当事人自收到告知书之日起五个工作日内，未行使陈述、申辩权，未要求举行听证，视为放弃此权利。</w:t>
      </w:r>
    </w:p>
    <w:p w14:paraId="4EE7326B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依据《市场主体登记管理条例》第四十三条“未经设立登记从事经营活动的，由登记机关责令改正，没收违法所得；拒不改正的，处1万元以上10万元以下的罚款；情节严重的，依法责令关闭停业，并处10万元以上50万元以下的罚款。”之规定，参照《河南省市场监督管理行政处罚裁量基准》1.5.1“依据《市场主体登记管理条例》第四十三条实施的行政处罚 裁量基准 没收违法所得，处1万元以上3.7万元以下的罚款。”之规定。经研究决定，对当事人责令改正，没收违法所得10000元，处20000元罚款。</w:t>
      </w:r>
    </w:p>
    <w:p w14:paraId="16860585">
      <w:pPr>
        <w:spacing w:line="51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中原银行偃师市支行，户名：洛阳市偃师区财政局财政专户，账号：671610090000000753。7.邮储银行偃师市支行，户名：洛阳市偃师区财政局财政专户，账号：100216664840019999。）</w:t>
      </w:r>
    </w:p>
    <w:p w14:paraId="2E8E8035">
      <w:pPr>
        <w:spacing w:line="51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根据《中华人民共和国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</w:p>
    <w:p w14:paraId="2BD93045">
      <w:pPr>
        <w:spacing w:line="51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如不服本处罚决定，可自接文之日起六十日内向洛阳市偃师区人民政府申请复议，也可于接文之日起六个月内向洛阳市偃师区人民法院提起诉讼。如果需要通过互联网渠道申请行政复议，可以通过行政复议服务平台（https：//xzfy.moj.gov.cn/）网站提交申请。行政复议或者行政诉讼期间，本行政处罚决定不停止执行。</w:t>
      </w:r>
    </w:p>
    <w:p w14:paraId="461D97B0">
      <w:pPr>
        <w:spacing w:line="510" w:lineRule="exact"/>
        <w:rPr>
          <w:rFonts w:hint="eastAsia" w:ascii="仿宋" w:hAnsi="仿宋" w:eastAsia="仿宋"/>
          <w:sz w:val="32"/>
          <w:szCs w:val="32"/>
        </w:rPr>
      </w:pPr>
    </w:p>
    <w:p w14:paraId="785125DB">
      <w:pPr>
        <w:spacing w:line="510" w:lineRule="exact"/>
        <w:rPr>
          <w:rFonts w:hint="eastAsia" w:ascii="仿宋" w:hAnsi="仿宋" w:eastAsia="仿宋"/>
          <w:sz w:val="32"/>
          <w:szCs w:val="32"/>
        </w:rPr>
      </w:pPr>
    </w:p>
    <w:p w14:paraId="5C264A7A">
      <w:pPr>
        <w:spacing w:line="510" w:lineRule="exact"/>
        <w:rPr>
          <w:rFonts w:hint="eastAsia" w:ascii="仿宋" w:hAnsi="仿宋" w:eastAsia="仿宋"/>
          <w:sz w:val="32"/>
          <w:szCs w:val="32"/>
        </w:rPr>
      </w:pPr>
    </w:p>
    <w:p w14:paraId="44041757">
      <w:pPr>
        <w:spacing w:line="510" w:lineRule="exact"/>
        <w:ind w:firstLine="3200" w:firstLineChars="10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洛阳市偃师区市场监督管理局    </w:t>
      </w:r>
    </w:p>
    <w:p w14:paraId="6C004975">
      <w:pPr>
        <w:spacing w:line="51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</w:t>
      </w:r>
    </w:p>
    <w:p w14:paraId="2174D04B">
      <w:pPr>
        <w:spacing w:line="510" w:lineRule="exact"/>
        <w:ind w:firstLine="4480" w:firstLineChars="14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2024年8月23日   </w:t>
      </w:r>
    </w:p>
    <w:p w14:paraId="3089A589">
      <w:pPr>
        <w:spacing w:line="510" w:lineRule="exact"/>
        <w:ind w:left="-19" w:leftChars="-9" w:right="-92" w:rightChars="-44" w:firstLine="19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2BA04A71">
      <w:pPr>
        <w:spacing w:line="600" w:lineRule="exact"/>
        <w:ind w:left="-19" w:leftChars="-9" w:right="-92" w:rightChars="-44" w:firstLine="19"/>
        <w:textAlignment w:val="baseline"/>
        <w:rPr>
          <w:rFonts w:hint="eastAsia"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（市场监督管理部门将依法向社会公示本行政处罚决定信息）</w:t>
      </w:r>
    </w:p>
    <w:p w14:paraId="57C27181">
      <w:pPr>
        <w:spacing w:line="600" w:lineRule="exact"/>
        <w:ind w:left="-19" w:leftChars="-9" w:right="-92" w:rightChars="-44" w:firstLine="210" w:firstLineChars="100"/>
        <w:textAlignment w:val="baseline"/>
        <w:rPr>
          <w:rFonts w:hint="eastAsia" w:ascii="仿宋_GB2312" w:hAnsi="仿宋" w:eastAsia="仿宋_GB2312" w:cs="仿宋"/>
          <w:sz w:val="30"/>
          <w:szCs w:val="30"/>
        </w:rPr>
      </w:pPr>
      <w:r>
        <w:rPr>
          <w:rFonts w:hint="eastAsia" w:ascii="Calibri" w:hAnsi="Calibri" w:eastAsia="宋体" w:cs="Times New Roman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36195</wp:posOffset>
                </wp:positionH>
                <wp:positionV relativeFrom="paragraph">
                  <wp:posOffset>17145</wp:posOffset>
                </wp:positionV>
                <wp:extent cx="5153025" cy="0"/>
                <wp:effectExtent l="0" t="0" r="0" b="0"/>
                <wp:wrapNone/>
                <wp:docPr id="2042048110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53025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bevel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margin-left:2.85pt;margin-top:1.35pt;height:0pt;width:405.75pt;z-index:251659264;mso-width-relative:page;mso-height-relative:page;" filled="f" stroked="t" coordsize="21600,21600" o:gfxdata="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DwMW+LUAAAABQEAAA8AAAAAAAAAAQAgAAAAIgAAAGRycy9kb3ducmV2Lnht&#10;bFBLAQIUABQAAAAIAIdO4kDvy1Rw/QEAAPoDAAAOAAAAAAAAAAEAIAAAACMBAABkcnMvZTJvRG9j&#10;LnhtbFBLBQYAAAAABgAGAFkBAACSBQAAAAA=&#10;">
                <v:fill on="f" focussize="0,0"/>
                <v:stroke weight="1pt" color="#000000" joinstyle="bevel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" w:eastAsia="仿宋_GB2312" w:cs="仿宋"/>
          <w:bCs/>
          <w:sz w:val="30"/>
          <w:szCs w:val="30"/>
        </w:rPr>
        <w:t>本文书一式</w:t>
      </w:r>
      <w:r>
        <w:rPr>
          <w:rFonts w:hint="eastAsia" w:ascii="仿宋_GB2312" w:hAnsi="仿宋" w:eastAsia="仿宋_GB2312" w:cs="仿宋"/>
          <w:bCs/>
          <w:sz w:val="30"/>
          <w:szCs w:val="30"/>
          <w:u w:val="single"/>
        </w:rPr>
        <w:t>三</w:t>
      </w:r>
      <w:r>
        <w:rPr>
          <w:rFonts w:hint="eastAsia" w:ascii="仿宋_GB2312" w:hAnsi="仿宋" w:eastAsia="仿宋_GB2312" w:cs="仿宋"/>
          <w:bCs/>
          <w:sz w:val="30"/>
          <w:szCs w:val="30"/>
        </w:rPr>
        <w:t>份，</w:t>
      </w:r>
      <w:r>
        <w:rPr>
          <w:rFonts w:hint="eastAsia" w:ascii="仿宋_GB2312" w:hAnsi="仿宋" w:eastAsia="仿宋_GB2312" w:cs="仿宋"/>
          <w:bCs/>
          <w:sz w:val="30"/>
          <w:szCs w:val="30"/>
          <w:u w:val="single"/>
        </w:rPr>
        <w:t>一</w:t>
      </w:r>
      <w:r>
        <w:rPr>
          <w:rFonts w:hint="eastAsia" w:ascii="仿宋_GB2312" w:hAnsi="仿宋" w:eastAsia="仿宋_GB2312" w:cs="仿宋"/>
          <w:bCs/>
          <w:sz w:val="30"/>
          <w:szCs w:val="30"/>
        </w:rPr>
        <w:t>份送达，</w:t>
      </w:r>
      <w:r>
        <w:rPr>
          <w:rFonts w:hint="eastAsia" w:ascii="仿宋_GB2312" w:hAnsi="仿宋" w:eastAsia="仿宋_GB2312" w:cs="仿宋"/>
          <w:bCs/>
          <w:sz w:val="30"/>
          <w:szCs w:val="30"/>
          <w:u w:val="single"/>
        </w:rPr>
        <w:t>一</w:t>
      </w:r>
      <w:r>
        <w:rPr>
          <w:rFonts w:hint="eastAsia" w:ascii="仿宋_GB2312" w:hAnsi="仿宋" w:eastAsia="仿宋_GB2312" w:cs="仿宋"/>
          <w:bCs/>
          <w:sz w:val="30"/>
          <w:szCs w:val="30"/>
        </w:rPr>
        <w:t>份归档，</w:t>
      </w:r>
      <w:r>
        <w:rPr>
          <w:rFonts w:hint="eastAsia" w:ascii="仿宋_GB2312" w:hAnsi="仿宋" w:eastAsia="仿宋_GB2312" w:cs="仿宋"/>
          <w:bCs/>
          <w:sz w:val="30"/>
          <w:szCs w:val="30"/>
          <w:u w:val="single"/>
        </w:rPr>
        <w:t>一</w:t>
      </w:r>
      <w:r>
        <w:rPr>
          <w:rFonts w:hint="eastAsia" w:ascii="仿宋_GB2312" w:hAnsi="仿宋" w:eastAsia="仿宋_GB2312" w:cs="仿宋"/>
          <w:bCs/>
          <w:sz w:val="30"/>
          <w:szCs w:val="30"/>
        </w:rPr>
        <w:t>份办案机构留存。</w:t>
      </w:r>
    </w:p>
    <w:sectPr>
      <w:pgSz w:w="11906" w:h="16838"/>
      <w:pgMar w:top="1440" w:right="1800" w:bottom="1440" w:left="1800" w:header="720" w:footer="720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0753F3D"/>
    <w:rsid w:val="00115518"/>
    <w:rsid w:val="00223040"/>
    <w:rsid w:val="0039157E"/>
    <w:rsid w:val="004662D1"/>
    <w:rsid w:val="00566DEE"/>
    <w:rsid w:val="006941FC"/>
    <w:rsid w:val="00753F3D"/>
    <w:rsid w:val="007749DF"/>
    <w:rsid w:val="007A26C0"/>
    <w:rsid w:val="008B2C25"/>
    <w:rsid w:val="00AA5B78"/>
    <w:rsid w:val="00BC4241"/>
    <w:rsid w:val="01C72311"/>
    <w:rsid w:val="7983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字符"/>
    <w:basedOn w:val="6"/>
    <w:link w:val="2"/>
    <w:semiHidden/>
    <w:uiPriority w:val="99"/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1444</Words>
  <Characters>1667</Characters>
  <Lines>12</Lines>
  <Paragraphs>3</Paragraphs>
  <TotalTime>11</TotalTime>
  <ScaleCrop>false</ScaleCrop>
  <LinksUpToDate>false</LinksUpToDate>
  <CharactersWithSpaces>1740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2024-08-23T05:48:00Z</dcterms:created>
  <dc:creator>zhe wang</dc:creator>
  <cp:lastModifiedBy>王建清</cp:lastModifiedBy>
  <cp:lastPrinted>2024-08-23T06:02:00Z</cp:lastPrinted>
  <dcterms:modified xsi:type="dcterms:W3CDTF">2024-10-21T08:35:17Z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5D3C19F44DB847608DD7C1C16430733D_13</vt:lpwstr>
  </property>
</Properties>
</file>