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E70F">
      <w:pPr>
        <w:pStyle w:val="2"/>
        <w:tabs>
          <w:tab w:val="left" w:pos="1259"/>
        </w:tabs>
        <w:spacing w:line="600" w:lineRule="exact"/>
        <w:ind w:firstLine="1440" w:firstLineChars="300"/>
        <w:jc w:val="both"/>
        <w:rPr>
          <w:rFonts w:hint="eastAsia" w:ascii="黑体" w:hAnsi="黑体" w:eastAsia="黑体" w:cs="宋体"/>
          <w:color w:val="231F20"/>
          <w:sz w:val="48"/>
          <w:szCs w:val="48"/>
          <w:lang w:eastAsia="zh-CN"/>
        </w:rPr>
      </w:pPr>
      <w:r>
        <w:rPr>
          <w:rFonts w:ascii="黑体" w:hAnsi="黑体" w:eastAsia="黑体" w:cs="宋体"/>
          <w:color w:val="231F20"/>
          <w:sz w:val="48"/>
          <w:szCs w:val="48"/>
          <w:lang w:eastAsia="zh-CN"/>
        </w:rPr>
        <w:t>洛阳市偃师区市场监督管理局</w:t>
      </w:r>
    </w:p>
    <w:p w14:paraId="275BE8E2">
      <w:pPr>
        <w:pStyle w:val="2"/>
        <w:tabs>
          <w:tab w:val="left" w:pos="1259"/>
        </w:tabs>
        <w:spacing w:line="600" w:lineRule="exact"/>
        <w:ind w:firstLine="2880" w:firstLineChars="600"/>
        <w:jc w:val="both"/>
        <w:rPr>
          <w:rFonts w:hint="eastAsia" w:ascii="黑体" w:hAnsi="黑体" w:eastAsia="黑体" w:cs="宋体"/>
          <w:color w:val="231F20"/>
          <w:sz w:val="48"/>
          <w:szCs w:val="48"/>
          <w:lang w:eastAsia="zh-CN"/>
        </w:rPr>
      </w:pPr>
      <w:r>
        <w:rPr>
          <w:rFonts w:ascii="黑体" w:hAnsi="黑体" w:eastAsia="黑体" w:cs="宋体"/>
          <w:color w:val="231F20"/>
          <w:sz w:val="48"/>
          <w:szCs w:val="48"/>
          <w:lang w:eastAsia="zh-CN"/>
        </w:rPr>
        <w:t>行政处罚决定书</w:t>
      </w:r>
    </w:p>
    <w:p w14:paraId="78E40434">
      <w:pPr>
        <w:pStyle w:val="3"/>
        <w:tabs>
          <w:tab w:val="left" w:pos="319"/>
          <w:tab w:val="left" w:pos="1486"/>
          <w:tab w:val="left" w:pos="2353"/>
          <w:tab w:val="left" w:pos="3199"/>
        </w:tabs>
        <w:spacing w:line="580" w:lineRule="exact"/>
        <w:ind w:firstLine="2700" w:firstLineChars="900"/>
        <w:jc w:val="both"/>
        <w:rPr>
          <w:rFonts w:hint="eastAsia" w:ascii="宋体" w:hAnsi="宋体" w:eastAsia="宋体" w:cs="仿宋_GB2312"/>
          <w:color w:val="231F20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color w:val="231F20"/>
          <w:sz w:val="30"/>
          <w:szCs w:val="30"/>
          <w:lang w:eastAsia="zh-CN"/>
        </w:rPr>
        <w:t>偃市监处罚〔202</w:t>
      </w:r>
      <w:r>
        <w:rPr>
          <w:rFonts w:ascii="宋体" w:hAnsi="宋体" w:eastAsia="宋体" w:cs="仿宋_GB2312"/>
          <w:color w:val="231F20"/>
          <w:sz w:val="30"/>
          <w:szCs w:val="30"/>
          <w:lang w:eastAsia="zh-CN"/>
        </w:rPr>
        <w:t>4</w:t>
      </w:r>
      <w:r>
        <w:rPr>
          <w:rFonts w:hint="eastAsia" w:ascii="宋体" w:hAnsi="宋体" w:eastAsia="宋体" w:cs="仿宋_GB2312"/>
          <w:color w:val="231F20"/>
          <w:sz w:val="30"/>
          <w:szCs w:val="30"/>
          <w:lang w:eastAsia="zh-CN"/>
        </w:rPr>
        <w:t>〕46号</w:t>
      </w:r>
    </w:p>
    <w:p w14:paraId="5E82331A">
      <w:pPr>
        <w:pStyle w:val="3"/>
        <w:tabs>
          <w:tab w:val="left" w:pos="4440"/>
          <w:tab w:val="left" w:pos="8920"/>
        </w:tabs>
        <w:spacing w:line="580" w:lineRule="exact"/>
        <w:ind w:left="0" w:right="118"/>
        <w:jc w:val="both"/>
        <w:rPr>
          <w:rFonts w:hint="eastAsia" w:ascii="仿宋" w:hAnsi="仿宋" w:eastAsia="仿宋" w:cs="仿宋"/>
          <w:color w:val="231F20"/>
          <w:lang w:eastAsia="zh-CN"/>
        </w:rPr>
      </w:pPr>
      <w:bookmarkStart w:id="1" w:name="_GoBack"/>
      <w:bookmarkEnd w:id="1"/>
    </w:p>
    <w:p w14:paraId="43EF6228">
      <w:pPr>
        <w:pStyle w:val="3"/>
        <w:tabs>
          <w:tab w:val="left" w:pos="4440"/>
          <w:tab w:val="left" w:pos="8920"/>
        </w:tabs>
        <w:spacing w:line="580" w:lineRule="exact"/>
        <w:ind w:left="0" w:right="118"/>
        <w:jc w:val="both"/>
        <w:rPr>
          <w:rFonts w:hint="eastAsia" w:ascii="仿宋" w:hAnsi="仿宋" w:eastAsia="仿宋" w:cs="仿宋"/>
          <w:color w:val="231F20"/>
          <w:lang w:eastAsia="zh-CN"/>
        </w:rPr>
      </w:pPr>
      <w:r>
        <w:rPr>
          <w:rFonts w:hint="eastAsia" w:ascii="仿宋" w:hAnsi="仿宋" w:eastAsia="仿宋" w:cs="仿宋"/>
          <w:color w:val="231F20"/>
          <w:lang w:eastAsia="zh-CN"/>
        </w:rPr>
        <w:t>当事人：洛阳市乐辉大药房店</w:t>
      </w:r>
    </w:p>
    <w:p w14:paraId="51958015">
      <w:pPr>
        <w:pStyle w:val="3"/>
        <w:tabs>
          <w:tab w:val="left" w:pos="3785"/>
          <w:tab w:val="left" w:pos="8920"/>
        </w:tabs>
        <w:spacing w:line="580" w:lineRule="exact"/>
        <w:ind w:left="0" w:right="118"/>
        <w:jc w:val="both"/>
        <w:rPr>
          <w:rFonts w:hint="eastAsia" w:ascii="仿宋" w:hAnsi="仿宋" w:eastAsia="仿宋" w:cs="仿宋_GB2312"/>
          <w:color w:val="000000"/>
          <w:lang w:eastAsia="zh-CN"/>
        </w:rPr>
      </w:pPr>
      <w:r>
        <w:rPr>
          <w:rFonts w:ascii="仿宋" w:hAnsi="仿宋" w:eastAsia="仿宋" w:cs="仿宋_GB2312"/>
          <w:color w:val="000000"/>
          <w:lang w:eastAsia="zh-CN"/>
        </w:rPr>
        <w:t>主体资格证照名称：</w:t>
      </w:r>
      <w:r>
        <w:rPr>
          <w:rFonts w:hint="eastAsia" w:ascii="仿宋" w:hAnsi="仿宋" w:eastAsia="仿宋" w:cs="仿宋_GB2312"/>
          <w:color w:val="000000"/>
          <w:lang w:eastAsia="zh-CN"/>
        </w:rPr>
        <w:t>《营业执照》</w:t>
      </w:r>
    </w:p>
    <w:p w14:paraId="6F5F8084">
      <w:pPr>
        <w:pStyle w:val="3"/>
        <w:tabs>
          <w:tab w:val="left" w:pos="3785"/>
          <w:tab w:val="left" w:pos="8920"/>
        </w:tabs>
        <w:spacing w:line="580" w:lineRule="exact"/>
        <w:ind w:left="0" w:right="118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_GB2312"/>
          <w:color w:val="000000"/>
          <w:lang w:eastAsia="zh-CN"/>
        </w:rPr>
        <w:t>统一社会信用代码：91410307MA9L5WRA0Y</w:t>
      </w:r>
    </w:p>
    <w:p w14:paraId="3DD22E75">
      <w:pPr>
        <w:pStyle w:val="3"/>
        <w:tabs>
          <w:tab w:val="left" w:pos="3785"/>
          <w:tab w:val="left" w:pos="8920"/>
        </w:tabs>
        <w:spacing w:line="580" w:lineRule="exact"/>
        <w:ind w:left="2240" w:right="118" w:hanging="2240" w:hangingChars="70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231F20"/>
          <w:lang w:eastAsia="zh-CN"/>
        </w:rPr>
        <w:t>住所：</w:t>
      </w:r>
      <w:r>
        <w:rPr>
          <w:rFonts w:hint="eastAsia" w:ascii="仿宋" w:hAnsi="仿宋" w:eastAsia="仿宋" w:cs="仿宋"/>
          <w:color w:val="000000"/>
          <w:lang w:eastAsia="zh-CN"/>
        </w:rPr>
        <w:t>洛阳市偃师区商城街道310国道南侧（首电对面）</w:t>
      </w:r>
    </w:p>
    <w:p w14:paraId="434D0490">
      <w:pPr>
        <w:pStyle w:val="3"/>
        <w:tabs>
          <w:tab w:val="left" w:pos="3785"/>
          <w:tab w:val="left" w:pos="8920"/>
        </w:tabs>
        <w:spacing w:line="580" w:lineRule="exact"/>
        <w:ind w:left="0" w:right="118"/>
        <w:jc w:val="both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231F20"/>
          <w:lang w:eastAsia="zh-CN"/>
        </w:rPr>
        <w:t>投资人：董晓艺</w:t>
      </w:r>
    </w:p>
    <w:p w14:paraId="41606ED5">
      <w:pPr>
        <w:tabs>
          <w:tab w:val="left" w:pos="2440"/>
          <w:tab w:val="left" w:pos="8964"/>
        </w:tabs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2024年5月28日，我局执法人员对当事人进行日常检查，抽查其经营的“阿莫西林胶囊、盐酸左氧氟沙星胶囊”等处方药，发现其</w:t>
      </w:r>
      <w:r>
        <w:rPr>
          <w:rFonts w:ascii="仿宋" w:hAnsi="仿宋" w:eastAsia="仿宋" w:cs="仿宋_GB2312"/>
          <w:color w:val="000000"/>
          <w:sz w:val="32"/>
          <w:szCs w:val="32"/>
          <w:lang w:eastAsia="zh-CN"/>
        </w:rPr>
        <w:t>未按规定凭处方销售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，我局执法人员当场责令其于</w:t>
      </w:r>
      <w:r>
        <w:rPr>
          <w:rFonts w:ascii="仿宋" w:hAnsi="仿宋" w:eastAsia="仿宋" w:cs="仿宋_GB2312"/>
          <w:color w:val="000000"/>
          <w:sz w:val="32"/>
          <w:szCs w:val="32"/>
          <w:lang w:eastAsia="zh-CN"/>
        </w:rPr>
        <w:t>2024年6月1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4</w:t>
      </w:r>
      <w:r>
        <w:rPr>
          <w:rFonts w:ascii="仿宋" w:hAnsi="仿宋" w:eastAsia="仿宋" w:cs="仿宋_GB2312"/>
          <w:color w:val="00000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前改正。2024年6月19日，我局执法人员对当事人再次进行检查，其仍未改正上述违法行为。</w:t>
      </w:r>
    </w:p>
    <w:p w14:paraId="2B88BFDD">
      <w:pPr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上述事实，主要有以下证据证明：</w:t>
      </w:r>
    </w:p>
    <w:p w14:paraId="38355D00">
      <w:pPr>
        <w:tabs>
          <w:tab w:val="left" w:pos="2440"/>
          <w:tab w:val="left" w:pos="8964"/>
        </w:tabs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1.《现场检查笔录》，证明我局对当事人的现场检查情况；</w:t>
      </w:r>
    </w:p>
    <w:p w14:paraId="723D8910">
      <w:pPr>
        <w:tabs>
          <w:tab w:val="left" w:pos="2440"/>
          <w:tab w:val="left" w:pos="8964"/>
        </w:tabs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2.《营业执照》复印件1份，证明当事人许可登记情况；</w:t>
      </w:r>
    </w:p>
    <w:p w14:paraId="3DC01044">
      <w:pPr>
        <w:tabs>
          <w:tab w:val="left" w:pos="2440"/>
          <w:tab w:val="left" w:pos="8964"/>
        </w:tabs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3.《药品经营许可证》复印件1份，证明当事人药品经营情况；</w:t>
      </w:r>
    </w:p>
    <w:p w14:paraId="0C3CD873">
      <w:pPr>
        <w:tabs>
          <w:tab w:val="left" w:pos="2440"/>
          <w:tab w:val="left" w:pos="8964"/>
        </w:tabs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4.《调查笔录》，证明该单位处方药没有凭处方销售的有关情况；</w:t>
      </w:r>
    </w:p>
    <w:p w14:paraId="15485BCB">
      <w:pPr>
        <w:tabs>
          <w:tab w:val="left" w:pos="2440"/>
          <w:tab w:val="left" w:pos="8964"/>
        </w:tabs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5.《偃师区市场监督管理局责令改正通知书》复印件，证明对该单位处方药没有凭处方销售的违法行为已于2024年5月28日责令其限期改正。</w:t>
      </w:r>
    </w:p>
    <w:p w14:paraId="13F62E13">
      <w:pPr>
        <w:tabs>
          <w:tab w:val="left" w:pos="2440"/>
          <w:tab w:val="left" w:pos="8964"/>
        </w:tabs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color w:val="231F2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231F20"/>
          <w:sz w:val="32"/>
          <w:szCs w:val="32"/>
          <w:lang w:eastAsia="zh-CN"/>
        </w:rPr>
        <w:t>当事人未按规定凭处方销售处方药的行为违反了《药品经营和使用质量监督管理办法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_GB2312"/>
          <w:color w:val="231F20"/>
          <w:sz w:val="32"/>
          <w:szCs w:val="32"/>
          <w:lang w:eastAsia="zh-CN"/>
        </w:rPr>
        <w:t>第四十二</w:t>
      </w:r>
      <w:r>
        <w:rPr>
          <w:rFonts w:hint="eastAsia" w:ascii="仿宋" w:hAnsi="仿宋" w:eastAsia="仿宋" w:cs="仿宋"/>
          <w:color w:val="231F20"/>
          <w:sz w:val="32"/>
          <w:szCs w:val="32"/>
          <w:lang w:eastAsia="zh-CN"/>
        </w:rPr>
        <w:t>条第一款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药品零售企业应当遵守国家处方药与非处方药分类管理制度，按规定凭处方销售处方药，处方保留不少于五年。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_GB2312"/>
          <w:color w:val="231F20"/>
          <w:sz w:val="32"/>
          <w:szCs w:val="32"/>
          <w:lang w:eastAsia="zh-CN"/>
        </w:rPr>
        <w:t>的规定。</w:t>
      </w:r>
      <w:r>
        <w:rPr>
          <w:rFonts w:ascii="仿宋" w:hAnsi="仿宋" w:eastAsia="仿宋" w:cs="仿宋_GB2312"/>
          <w:sz w:val="32"/>
          <w:szCs w:val="32"/>
          <w:lang w:eastAsia="zh-CN"/>
        </w:rPr>
        <w:t>当事人的行为，</w:t>
      </w:r>
      <w:r>
        <w:rPr>
          <w:rFonts w:hint="eastAsia" w:ascii="仿宋" w:hAnsi="仿宋" w:eastAsia="仿宋" w:cs="仿宋"/>
          <w:color w:val="231F20"/>
          <w:sz w:val="32"/>
          <w:szCs w:val="32"/>
          <w:lang w:eastAsia="zh-CN"/>
        </w:rPr>
        <w:t>鉴于没有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造成危害后果，</w:t>
      </w:r>
      <w:r>
        <w:rPr>
          <w:rFonts w:ascii="仿宋" w:hAnsi="仿宋" w:eastAsia="仿宋" w:cs="仿宋_GB2312"/>
          <w:sz w:val="32"/>
          <w:szCs w:val="32"/>
          <w:lang w:eastAsia="zh-CN"/>
        </w:rPr>
        <w:t>根据其违法的事实、性质、情节，可以依法对其从轻行政处罚。</w:t>
      </w:r>
    </w:p>
    <w:p w14:paraId="665252A3">
      <w:pPr>
        <w:tabs>
          <w:tab w:val="left" w:pos="2440"/>
          <w:tab w:val="left" w:pos="8964"/>
        </w:tabs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>我局于2023年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7</w:t>
      </w:r>
      <w:r>
        <w:rPr>
          <w:rFonts w:ascii="仿宋" w:hAnsi="仿宋" w:eastAsia="仿宋" w:cs="仿宋_GB231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16</w:t>
      </w:r>
      <w:r>
        <w:rPr>
          <w:rFonts w:ascii="仿宋" w:hAnsi="仿宋" w:eastAsia="仿宋" w:cs="仿宋_GB2312"/>
          <w:sz w:val="32"/>
          <w:szCs w:val="32"/>
          <w:lang w:eastAsia="zh-CN"/>
        </w:rPr>
        <w:t>日向当事人送达了《偃师区市场监督管理局行政处罚告知书》，告知当事人我局拟作出行政处罚决定的事实、理由、依据、内容以及当事人依法享有的陈述权、申辩权，当事人在法定期限内未提出陈述、申辩意见。</w:t>
      </w:r>
    </w:p>
    <w:p w14:paraId="7F3918D8">
      <w:pPr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231F20"/>
          <w:sz w:val="32"/>
          <w:szCs w:val="32"/>
          <w:lang w:eastAsia="zh-CN"/>
        </w:rPr>
        <w:t>依据《药品经营和使用质量监督管理办法》第七十二条第一款第一项“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药品零售企业有以下情形之一的，由药品监督管理部门责令限期改正；逾期不改正的，处五千元以上五万元以下罚款；造成危害后果的，处五万元以上二十万元以下罚款：（一）</w:t>
      </w:r>
      <w:bookmarkStart w:id="0" w:name="_Hlk173249025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未按规定凭处方销售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处方药的；</w:t>
      </w:r>
      <w:r>
        <w:rPr>
          <w:rFonts w:hint="eastAsia" w:ascii="仿宋" w:hAnsi="仿宋" w:eastAsia="仿宋" w:cs="仿宋_GB2312"/>
          <w:color w:val="231F20"/>
          <w:sz w:val="32"/>
          <w:szCs w:val="32"/>
          <w:lang w:eastAsia="zh-CN"/>
        </w:rPr>
        <w:t>”的规定，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决定对洛阳市乐辉大药房</w:t>
      </w:r>
      <w:r>
        <w:rPr>
          <w:rFonts w:hint="eastAsia" w:ascii="仿宋" w:hAnsi="仿宋" w:eastAsia="仿宋" w:cs="仿宋"/>
          <w:color w:val="231F20"/>
          <w:sz w:val="32"/>
          <w:szCs w:val="32"/>
          <w:lang w:eastAsia="zh-CN"/>
        </w:rPr>
        <w:t>店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处以8</w:t>
      </w:r>
      <w:r>
        <w:rPr>
          <w:rFonts w:hint="eastAsia" w:ascii="仿宋" w:hAnsi="仿宋" w:eastAsia="仿宋" w:cs="仿宋"/>
          <w:color w:val="231F20"/>
          <w:sz w:val="32"/>
          <w:szCs w:val="32"/>
          <w:lang w:eastAsia="zh-CN"/>
        </w:rPr>
        <w:t>000元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的罚款。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7B0A4F">
      <w:pPr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>当事</w:t>
      </w:r>
      <w:r>
        <w:rPr>
          <w:rFonts w:ascii="仿宋" w:hAnsi="仿宋" w:eastAsia="仿宋" w:cs="仿宋"/>
          <w:sz w:val="32"/>
          <w:szCs w:val="32"/>
          <w:lang w:eastAsia="zh-CN"/>
        </w:rPr>
        <w:t>人收到本处罚决定之日起15日内，缴清上述罚款。（当事人可选择以下银行缴纳罚款：1.农业银行偃师市支行，户名：洛阳市偃师区财政局财政专户，账号：16129101040000020。2.工商银行偃师市支行，户名：洛阳市偃师区财政局财政专户，账号：1705027009064004971。3.中国银行偃师市支行，户名：洛阳市偃师区财政局财政专户，账号：2494071</w:t>
      </w:r>
      <w:r>
        <w:rPr>
          <w:rFonts w:ascii="仿宋" w:hAnsi="仿宋" w:eastAsia="仿宋" w:cs="仿宋_GB2312"/>
          <w:sz w:val="32"/>
          <w:szCs w:val="32"/>
          <w:lang w:eastAsia="zh-CN"/>
        </w:rPr>
        <w:t>56581。4.农商银行偃师营业部，户名：洛阳市偃师区财政局财政专户，账号：00000005583396678012。5.建设银行偃师支行，户名：洛阳市偃师区财政局财政专户，账号：41001591110058000003。6.中原银行偃师市支行，户名：洛阳市偃师区财政局财政专户，账号：671610090000000753。7.邮储银行偃师市支行，户名：洛阳市偃师区财政局财政专户，账号：100216664840019999。）</w:t>
      </w:r>
    </w:p>
    <w:p w14:paraId="27474BA6">
      <w:pPr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 xml:space="preserve">根据《行政处罚法》第七十二条规定，当事人逾期不履行行政处罚决定的，本机关可以采取以下措施：（一）到期不缴纳罚款的，每日按罚款数额的百分之三加处罚款；（二）申请人民法院强制执行。            </w:t>
      </w:r>
    </w:p>
    <w:p w14:paraId="752DD5B3">
      <w:pPr>
        <w:spacing w:line="58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>如不服本处罚决定，可自接文之日起六十日内向洛阳市偃师区人民政府申请复议，也可于接文之日起六个月内向洛阳市偃师区人民法院提起诉讼。如果需要通过互联网渠道申请行政复议，可以通过行政复议服务平台（https://xzfy.moj.gov.cn/）网站提交申请。行政复议或者行政诉讼期间，本行政处罚决定不停止执行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 </w:t>
      </w:r>
    </w:p>
    <w:p w14:paraId="4C7CD4E2">
      <w:pPr>
        <w:spacing w:line="580" w:lineRule="exact"/>
        <w:ind w:firstLine="3840" w:firstLineChars="1200"/>
        <w:jc w:val="both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</w:p>
    <w:p w14:paraId="4AFFA1F3">
      <w:pPr>
        <w:spacing w:line="580" w:lineRule="exact"/>
        <w:ind w:firstLine="3840" w:firstLineChars="1200"/>
        <w:jc w:val="both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</w:p>
    <w:p w14:paraId="0545C8BC">
      <w:pPr>
        <w:spacing w:line="580" w:lineRule="exact"/>
        <w:ind w:firstLine="3840" w:firstLineChars="1200"/>
        <w:jc w:val="both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</w:p>
    <w:p w14:paraId="7A6C2F48">
      <w:pPr>
        <w:spacing w:line="580" w:lineRule="exact"/>
        <w:ind w:firstLine="3840" w:firstLineChars="1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洛阳市偃师区市场监督管理局</w:t>
      </w:r>
    </w:p>
    <w:p w14:paraId="67F4A69A">
      <w:pPr>
        <w:spacing w:line="580" w:lineRule="exact"/>
        <w:ind w:firstLine="4800" w:firstLineChars="15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 w14:paraId="235ED5B8">
      <w:pPr>
        <w:spacing w:line="580" w:lineRule="exact"/>
        <w:ind w:firstLine="4800" w:firstLineChars="15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202</w:t>
      </w:r>
      <w:r>
        <w:rPr>
          <w:rFonts w:ascii="仿宋" w:hAnsi="仿宋" w:eastAsia="仿宋" w:cs="仿宋_GB2312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年7月30日</w:t>
      </w:r>
    </w:p>
    <w:p w14:paraId="6945E36C">
      <w:pPr>
        <w:spacing w:line="580" w:lineRule="exact"/>
        <w:ind w:firstLine="4800" w:firstLineChars="1500"/>
        <w:jc w:val="both"/>
        <w:rPr>
          <w:rFonts w:ascii="仿宋" w:hAnsi="仿宋" w:eastAsia="仿宋"/>
          <w:sz w:val="32"/>
          <w:szCs w:val="32"/>
          <w:lang w:eastAsia="zh-CN"/>
        </w:rPr>
      </w:pPr>
    </w:p>
    <w:p w14:paraId="5F4F9EA5">
      <w:pPr>
        <w:spacing w:line="580" w:lineRule="exact"/>
        <w:ind w:firstLine="4800" w:firstLineChars="15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 w14:paraId="0839B15D">
      <w:pPr>
        <w:tabs>
          <w:tab w:val="left" w:pos="2440"/>
          <w:tab w:val="left" w:pos="8964"/>
        </w:tabs>
        <w:spacing w:line="600" w:lineRule="exact"/>
        <w:jc w:val="both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（市场监督管理部门将依法向社会公示本行政处罚决定信息）</w:t>
      </w:r>
    </w:p>
    <w:p w14:paraId="03DD93F4">
      <w:pPr>
        <w:tabs>
          <w:tab w:val="left" w:pos="2440"/>
          <w:tab w:val="left" w:pos="8964"/>
        </w:tabs>
        <w:spacing w:line="600" w:lineRule="exact"/>
        <w:ind w:firstLine="320" w:firstLineChars="100"/>
        <w:jc w:val="both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37465</wp:posOffset>
                </wp:positionV>
                <wp:extent cx="5305425" cy="0"/>
                <wp:effectExtent l="0" t="6350" r="0" b="6350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9.55pt;margin-top:2.95pt;height:0pt;width:417.75pt;z-index:251659264;mso-width-relative:page;mso-height-relative:page;" filled="f" stroked="t" coordsize="21600,21600" o:gfxdata="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z6/y/VAAAABgEAAA8AAAAAAAAAAQAgAAAAIgAAAGRycy9kb3ducmV2LnhtbFBLAQIUABQA&#10;AAAIAIdO4kAFpIxx8wEAAOc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本文书一式三份，一份送达，一份归档，一份办案机构留存。</w:t>
      </w:r>
    </w:p>
    <w:sectPr>
      <w:footerReference r:id="rId3" w:type="default"/>
      <w:pgSz w:w="11905" w:h="16838"/>
      <w:pgMar w:top="1417" w:right="1417" w:bottom="1417" w:left="1417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0055747"/>
    </w:sdtPr>
    <w:sdtContent>
      <w:p w14:paraId="65088CF6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4149E73"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NzdiMWY1ZWU2ZWU3NmE4ZTUxNGRmYWVhMzdjNDQifQ=="/>
  </w:docVars>
  <w:rsids>
    <w:rsidRoot w:val="0015616F"/>
    <w:rsid w:val="00016689"/>
    <w:rsid w:val="00020520"/>
    <w:rsid w:val="0015616F"/>
    <w:rsid w:val="00161B1A"/>
    <w:rsid w:val="001D6B6F"/>
    <w:rsid w:val="001F2850"/>
    <w:rsid w:val="00206753"/>
    <w:rsid w:val="00210058"/>
    <w:rsid w:val="002422C5"/>
    <w:rsid w:val="002B1774"/>
    <w:rsid w:val="002F2FA6"/>
    <w:rsid w:val="003715F2"/>
    <w:rsid w:val="00374690"/>
    <w:rsid w:val="003D77FB"/>
    <w:rsid w:val="00461248"/>
    <w:rsid w:val="00470C18"/>
    <w:rsid w:val="00490210"/>
    <w:rsid w:val="00533E8F"/>
    <w:rsid w:val="00570237"/>
    <w:rsid w:val="0072094E"/>
    <w:rsid w:val="007F272E"/>
    <w:rsid w:val="007F2A28"/>
    <w:rsid w:val="00956576"/>
    <w:rsid w:val="00967F78"/>
    <w:rsid w:val="009E0FAF"/>
    <w:rsid w:val="00B963A4"/>
    <w:rsid w:val="00C07C65"/>
    <w:rsid w:val="00C62430"/>
    <w:rsid w:val="00CB0A73"/>
    <w:rsid w:val="00D842AC"/>
    <w:rsid w:val="00DD5BC9"/>
    <w:rsid w:val="00E930A7"/>
    <w:rsid w:val="00EF7B10"/>
    <w:rsid w:val="00F17DBD"/>
    <w:rsid w:val="02064FFB"/>
    <w:rsid w:val="02DB675D"/>
    <w:rsid w:val="09905A49"/>
    <w:rsid w:val="0A4C7BC2"/>
    <w:rsid w:val="0B445AA4"/>
    <w:rsid w:val="0F12795B"/>
    <w:rsid w:val="12B72FCD"/>
    <w:rsid w:val="13765CAF"/>
    <w:rsid w:val="14C56374"/>
    <w:rsid w:val="17854713"/>
    <w:rsid w:val="199221E1"/>
    <w:rsid w:val="19D43730"/>
    <w:rsid w:val="1B7B45FC"/>
    <w:rsid w:val="1BCA4141"/>
    <w:rsid w:val="1E7C78D9"/>
    <w:rsid w:val="1FC87A64"/>
    <w:rsid w:val="20A43E5C"/>
    <w:rsid w:val="21CE2F9B"/>
    <w:rsid w:val="227F4BB4"/>
    <w:rsid w:val="23330B07"/>
    <w:rsid w:val="27B150B0"/>
    <w:rsid w:val="2C887F11"/>
    <w:rsid w:val="2D3B78F6"/>
    <w:rsid w:val="2D5409B8"/>
    <w:rsid w:val="2E5779DB"/>
    <w:rsid w:val="2E586C8C"/>
    <w:rsid w:val="2FD51A6C"/>
    <w:rsid w:val="31DA4F33"/>
    <w:rsid w:val="33557238"/>
    <w:rsid w:val="340771B5"/>
    <w:rsid w:val="351548D3"/>
    <w:rsid w:val="3C94469A"/>
    <w:rsid w:val="3CAE656C"/>
    <w:rsid w:val="3D9832FE"/>
    <w:rsid w:val="40324B88"/>
    <w:rsid w:val="4416656F"/>
    <w:rsid w:val="444E386F"/>
    <w:rsid w:val="4615686A"/>
    <w:rsid w:val="47DA696D"/>
    <w:rsid w:val="4BE41998"/>
    <w:rsid w:val="50612CA7"/>
    <w:rsid w:val="546155E5"/>
    <w:rsid w:val="56D42F11"/>
    <w:rsid w:val="56D97F48"/>
    <w:rsid w:val="59A2285D"/>
    <w:rsid w:val="60A8098C"/>
    <w:rsid w:val="632B0469"/>
    <w:rsid w:val="645F5A22"/>
    <w:rsid w:val="66DD4DC9"/>
    <w:rsid w:val="6A054F71"/>
    <w:rsid w:val="6B597DBA"/>
    <w:rsid w:val="6C506213"/>
    <w:rsid w:val="70373EE4"/>
    <w:rsid w:val="70D25448"/>
    <w:rsid w:val="70EB1D57"/>
    <w:rsid w:val="71933375"/>
    <w:rsid w:val="71FD57F9"/>
    <w:rsid w:val="72CE7E91"/>
    <w:rsid w:val="72FF5977"/>
    <w:rsid w:val="746137F6"/>
    <w:rsid w:val="750F0403"/>
    <w:rsid w:val="767E3BD5"/>
    <w:rsid w:val="7A227C11"/>
    <w:rsid w:val="7ADE0E8D"/>
    <w:rsid w:val="7E4A346D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="Calibri" w:hAnsi="Calibri" w:eastAsia="Calibri" w:cs="黑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0"/>
    </w:pPr>
    <w:rPr>
      <w:rFonts w:ascii="Arial Unicode MS" w:hAnsi="Arial Unicode MS" w:eastAsia="Arial Unicode MS"/>
      <w:sz w:val="42"/>
      <w:szCs w:val="4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220"/>
    </w:pPr>
    <w:rPr>
      <w:rFonts w:ascii="Arial Unicode MS" w:hAnsi="Arial Unicode MS" w:eastAsia="Arial Unicode MS"/>
      <w:sz w:val="32"/>
      <w:szCs w:val="32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after="150"/>
    </w:pPr>
    <w:rPr>
      <w:sz w:val="24"/>
      <w:lang w:eastAsia="zh-CN"/>
    </w:rPr>
  </w:style>
  <w:style w:type="paragraph" w:styleId="9">
    <w:name w:val="Body Text First Indent 2"/>
    <w:basedOn w:val="4"/>
    <w:autoRedefine/>
    <w:qFormat/>
    <w:uiPriority w:val="0"/>
    <w:pPr>
      <w:ind w:firstLine="420" w:firstLineChars="200"/>
    </w:pPr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列表段落1"/>
    <w:basedOn w:val="1"/>
    <w:autoRedefine/>
    <w:qFormat/>
    <w:uiPriority w:val="34"/>
    <w:pPr>
      <w:ind w:firstLine="420" w:firstLineChars="200"/>
      <w:jc w:val="both"/>
    </w:pPr>
    <w:rPr>
      <w:rFonts w:eastAsia="宋体"/>
      <w:kern w:val="2"/>
      <w:sz w:val="21"/>
      <w:lang w:eastAsia="zh-CN"/>
    </w:rPr>
  </w:style>
  <w:style w:type="paragraph" w:customStyle="1" w:styleId="14">
    <w:name w:val="列表段落11"/>
    <w:basedOn w:val="1"/>
    <w:autoRedefine/>
    <w:qFormat/>
    <w:uiPriority w:val="34"/>
    <w:pPr>
      <w:ind w:firstLine="420" w:firstLineChars="200"/>
      <w:jc w:val="both"/>
    </w:pPr>
    <w:rPr>
      <w:rFonts w:eastAsia="宋体"/>
      <w:kern w:val="2"/>
      <w:sz w:val="21"/>
      <w:lang w:eastAsia="zh-CN"/>
    </w:rPr>
  </w:style>
  <w:style w:type="character" w:customStyle="1" w:styleId="15">
    <w:name w:val="日期 字符"/>
    <w:basedOn w:val="11"/>
    <w:link w:val="5"/>
    <w:autoRedefine/>
    <w:qFormat/>
    <w:uiPriority w:val="0"/>
    <w:rPr>
      <w:rFonts w:ascii="Calibri" w:hAnsi="Calibri" w:eastAsia="Calibri" w:cs="黑体"/>
      <w:sz w:val="22"/>
      <w:szCs w:val="22"/>
      <w:lang w:eastAsia="en-US"/>
    </w:rPr>
  </w:style>
  <w:style w:type="character" w:customStyle="1" w:styleId="16">
    <w:name w:val="页脚 字符"/>
    <w:basedOn w:val="11"/>
    <w:link w:val="6"/>
    <w:autoRedefine/>
    <w:qFormat/>
    <w:uiPriority w:val="99"/>
    <w:rPr>
      <w:rFonts w:ascii="Calibri" w:hAnsi="Calibri" w:eastAsia="Calibri" w:cs="黑体"/>
      <w:sz w:val="18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64E39-5901-4FF0-B5D0-E203847AF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1374</Words>
  <Characters>1594</Characters>
  <Lines>22</Lines>
  <Paragraphs>6</Paragraphs>
  <TotalTime>7</TotalTime>
  <ScaleCrop>false</ScaleCrop>
  <LinksUpToDate>false</LinksUpToDate>
  <CharactersWithSpaces>3158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2024-08-05T08:14:00Z</dcterms:created>
  <dc:creator>Administrator</dc:creator>
  <cp:lastModifiedBy>王建清</cp:lastModifiedBy>
  <cp:lastPrinted>2024-05-11T00:41:00Z</cp:lastPrinted>
  <dcterms:modified xsi:type="dcterms:W3CDTF">2024-10-21T08:43:32Z</dcterms:modified>
  <dc:title>偃师市市场监督管理局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48DB029E47074E3893B069BCA20BBC4B_13</vt:lpwstr>
  </property>
</Properties>
</file>