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31CDE">
      <w:pPr>
        <w:snapToGrid w:val="0"/>
        <w:spacing w:line="540" w:lineRule="exact"/>
        <w:jc w:val="center"/>
        <w:rPr>
          <w:rFonts w:ascii="黑体" w:hAnsi="黑体" w:eastAsia="黑体" w:cs="宋体"/>
          <w:sz w:val="48"/>
          <w:szCs w:val="48"/>
        </w:rPr>
      </w:pPr>
      <w:r>
        <w:rPr>
          <w:rFonts w:hint="eastAsia" w:ascii="黑体" w:hAnsi="黑体" w:eastAsia="黑体" w:cs="宋体"/>
          <w:sz w:val="48"/>
          <w:szCs w:val="48"/>
        </w:rPr>
        <w:t>洛阳市偃师区市场监督管理局</w:t>
      </w:r>
    </w:p>
    <w:p w14:paraId="11673F8D">
      <w:pPr>
        <w:snapToGrid w:val="0"/>
        <w:spacing w:line="540" w:lineRule="exact"/>
        <w:jc w:val="center"/>
        <w:rPr>
          <w:rFonts w:ascii="黑体" w:hAnsi="黑体" w:eastAsia="黑体" w:cs="宋体"/>
          <w:sz w:val="48"/>
          <w:szCs w:val="48"/>
        </w:rPr>
      </w:pPr>
      <w:r>
        <w:rPr>
          <w:rFonts w:hint="eastAsia" w:ascii="黑体" w:hAnsi="黑体" w:eastAsia="黑体" w:cs="宋体"/>
          <w:sz w:val="48"/>
          <w:szCs w:val="48"/>
        </w:rPr>
        <w:t>行政处罚决定书</w:t>
      </w:r>
    </w:p>
    <w:p w14:paraId="40FDC1F7">
      <w:pPr>
        <w:snapToGrid w:val="0"/>
        <w:spacing w:line="600" w:lineRule="exact"/>
        <w:rPr>
          <w:rFonts w:hint="eastAsia" w:ascii="仿宋" w:hAnsi="仿宋" w:eastAsia="仿宋" w:cs="仿宋"/>
          <w:sz w:val="32"/>
          <w:szCs w:val="32"/>
        </w:rPr>
      </w:pPr>
      <w:r>
        <w:rPr>
          <w:rFonts w:hint="eastAsia" w:ascii="仿宋" w:hAnsi="仿宋" w:eastAsia="仿宋" w:cs="仿宋"/>
          <w:sz w:val="32"/>
          <w:szCs w:val="32"/>
        </w:rPr>
        <w:t> </w:t>
      </w:r>
      <w:r>
        <w:rPr>
          <w:rFonts w:ascii="仿宋" w:hAnsi="仿宋" w:eastAsia="仿宋" w:cs="仿宋"/>
          <w:sz w:val="32"/>
          <w:szCs w:val="32"/>
        </w:rPr>
        <w:t xml:space="preserve">             </w:t>
      </w:r>
      <w:r>
        <w:rPr>
          <w:rFonts w:hint="eastAsia" w:ascii="仿宋" w:hAnsi="仿宋" w:eastAsia="仿宋" w:cs="仿宋"/>
          <w:sz w:val="32"/>
          <w:szCs w:val="32"/>
        </w:rPr>
        <w:t>偃市监处罚〔2024〕49号</w:t>
      </w:r>
    </w:p>
    <w:p w14:paraId="6206EDFB">
      <w:pPr>
        <w:tabs>
          <w:tab w:val="left" w:pos="4440"/>
          <w:tab w:val="left" w:pos="8920"/>
        </w:tabs>
        <w:spacing w:line="600" w:lineRule="exact"/>
        <w:ind w:right="118"/>
        <w:rPr>
          <w:rFonts w:hint="eastAsia" w:ascii="仿宋" w:hAnsi="仿宋" w:eastAsia="仿宋" w:cs="仿宋"/>
          <w:color w:val="000000"/>
          <w:sz w:val="32"/>
          <w:szCs w:val="32"/>
        </w:rPr>
      </w:pPr>
    </w:p>
    <w:p w14:paraId="3EE49A70">
      <w:pPr>
        <w:tabs>
          <w:tab w:val="left" w:pos="4440"/>
          <w:tab w:val="left" w:pos="8920"/>
        </w:tabs>
        <w:spacing w:line="600"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当事人：</w:t>
      </w:r>
      <w:r>
        <w:rPr>
          <w:rFonts w:hint="eastAsia" w:ascii="仿宋" w:eastAsia="仿宋" w:cs="仿宋"/>
          <w:color w:val="000000"/>
          <w:sz w:val="32"/>
          <w:szCs w:val="32"/>
        </w:rPr>
        <w:t>洛阳市偃师区伊洛街道金福源家悦生鲜超市</w:t>
      </w:r>
    </w:p>
    <w:p w14:paraId="630595E0">
      <w:pPr>
        <w:tabs>
          <w:tab w:val="left" w:pos="4440"/>
          <w:tab w:val="left" w:pos="8920"/>
        </w:tabs>
        <w:spacing w:line="600"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主体资格证照名称：营业执照</w:t>
      </w:r>
    </w:p>
    <w:p w14:paraId="68538E63">
      <w:pPr>
        <w:tabs>
          <w:tab w:val="left" w:pos="4440"/>
          <w:tab w:val="left" w:pos="8920"/>
        </w:tabs>
        <w:spacing w:line="600"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统一社会信用代码：</w:t>
      </w:r>
      <w:r>
        <w:rPr>
          <w:rFonts w:hint="eastAsia" w:ascii="仿宋" w:hAnsi="仿宋" w:eastAsia="仿宋" w:cs="仿宋"/>
          <w:color w:val="000000"/>
          <w:sz w:val="32"/>
          <w:szCs w:val="32"/>
          <w:shd w:val="clear" w:color="auto" w:fill="FFFFFF"/>
        </w:rPr>
        <w:t>92410307MA9KJGJG0M</w:t>
      </w:r>
    </w:p>
    <w:p w14:paraId="688A47E6">
      <w:pPr>
        <w:tabs>
          <w:tab w:val="left" w:pos="4440"/>
          <w:tab w:val="left" w:pos="8920"/>
        </w:tabs>
        <w:spacing w:line="600" w:lineRule="exact"/>
        <w:ind w:left="1600" w:right="118" w:hanging="1600" w:hangingChars="500"/>
        <w:rPr>
          <w:rFonts w:hint="eastAsia" w:ascii="仿宋" w:hAnsi="仿宋" w:eastAsia="仿宋" w:cs="仿宋"/>
          <w:color w:val="000000"/>
          <w:sz w:val="32"/>
          <w:szCs w:val="32"/>
        </w:rPr>
      </w:pPr>
      <w:r>
        <w:rPr>
          <w:rFonts w:hint="eastAsia" w:ascii="仿宋" w:hAnsi="仿宋" w:eastAsia="仿宋" w:cs="仿宋"/>
          <w:color w:val="000000"/>
          <w:sz w:val="32"/>
          <w:szCs w:val="32"/>
        </w:rPr>
        <w:t>经营场所：</w:t>
      </w:r>
      <w:r>
        <w:rPr>
          <w:rFonts w:hint="eastAsia" w:ascii="仿宋" w:hAnsi="仿宋" w:eastAsia="仿宋" w:cs="仿宋"/>
          <w:color w:val="000000"/>
          <w:sz w:val="32"/>
          <w:szCs w:val="32"/>
          <w:shd w:val="clear" w:color="auto" w:fill="FFFFFF"/>
        </w:rPr>
        <w:t>洛阳市偃师区伊洛街道名品街恒硕华府一层商铺</w:t>
      </w:r>
    </w:p>
    <w:p w14:paraId="1BF53DE4">
      <w:pPr>
        <w:tabs>
          <w:tab w:val="left" w:pos="4440"/>
          <w:tab w:val="left" w:pos="8920"/>
        </w:tabs>
        <w:spacing w:line="600" w:lineRule="exact"/>
        <w:ind w:right="118"/>
        <w:rPr>
          <w:rFonts w:hint="eastAsia" w:ascii="仿宋" w:hAnsi="仿宋" w:eastAsia="仿宋" w:cs="仿宋"/>
          <w:color w:val="000000"/>
          <w:sz w:val="32"/>
          <w:szCs w:val="32"/>
        </w:rPr>
      </w:pPr>
      <w:r>
        <w:rPr>
          <w:rFonts w:hint="eastAsia" w:ascii="仿宋" w:hAnsi="仿宋" w:eastAsia="仿宋" w:cs="仿宋"/>
          <w:color w:val="000000"/>
          <w:sz w:val="32"/>
          <w:szCs w:val="32"/>
        </w:rPr>
        <w:t>经营者：左志献</w:t>
      </w:r>
    </w:p>
    <w:p w14:paraId="748C4E4C">
      <w:pPr>
        <w:spacing w:line="600" w:lineRule="exact"/>
        <w:ind w:firstLine="632" w:firstLineChars="200"/>
        <w:rPr>
          <w:rFonts w:hint="eastAsia" w:ascii="仿宋" w:hAnsi="仿宋" w:eastAsia="仿宋" w:cs="仿宋"/>
          <w:color w:val="000000"/>
          <w:spacing w:val="-2"/>
          <w:sz w:val="32"/>
          <w:szCs w:val="32"/>
        </w:rPr>
      </w:pPr>
      <w:bookmarkStart w:id="0" w:name="_GoBack"/>
      <w:bookmarkEnd w:id="0"/>
      <w:r>
        <w:rPr>
          <w:rFonts w:hint="eastAsia" w:ascii="仿宋" w:hAnsi="仿宋" w:eastAsia="仿宋" w:cs="仿宋"/>
          <w:spacing w:val="-2"/>
          <w:sz w:val="32"/>
          <w:szCs w:val="32"/>
        </w:rPr>
        <w:t>2024年5月25日，当事人从洛阳市偃师区董阿龙蔬菜铺购进姜9kg，共计货款105元，截止2024年5月28日</w:t>
      </w:r>
      <w:r>
        <w:rPr>
          <w:rFonts w:hint="eastAsia" w:ascii="仿宋" w:hAnsi="仿宋" w:eastAsia="仿宋" w:cs="仿宋"/>
          <w:color w:val="000000"/>
          <w:spacing w:val="-2"/>
          <w:sz w:val="32"/>
          <w:szCs w:val="32"/>
        </w:rPr>
        <w:t>全部销售完毕，售价15.16元/kg，货值金额136.44元。上述姜经河南广电计量检测有限公司检验，出具的No：FZZ20240609469检验报告显示噻虫胺.mg/kg标准指标≤0.2，实测值1.6，判定结论为不合格。</w:t>
      </w:r>
    </w:p>
    <w:p w14:paraId="45A4BC36">
      <w:pPr>
        <w:spacing w:line="600" w:lineRule="exact"/>
        <w:ind w:firstLine="645"/>
        <w:rPr>
          <w:rFonts w:hint="eastAsia" w:ascii="仿宋" w:hAnsi="仿宋" w:eastAsia="仿宋" w:cs="仿宋"/>
          <w:spacing w:val="-2"/>
          <w:sz w:val="32"/>
          <w:szCs w:val="32"/>
        </w:rPr>
      </w:pPr>
      <w:r>
        <w:rPr>
          <w:rFonts w:hint="eastAsia" w:ascii="仿宋" w:hAnsi="仿宋" w:eastAsia="仿宋" w:cs="仿宋"/>
          <w:spacing w:val="-2"/>
          <w:sz w:val="32"/>
          <w:szCs w:val="32"/>
        </w:rPr>
        <w:t>上述事实，主要有以下证据证明：</w:t>
      </w:r>
    </w:p>
    <w:p w14:paraId="5BD52E2B">
      <w:pPr>
        <w:spacing w:line="600" w:lineRule="exact"/>
        <w:ind w:firstLine="596" w:firstLineChars="200"/>
        <w:rPr>
          <w:rFonts w:hint="eastAsia" w:ascii="仿宋" w:hAnsi="仿宋" w:eastAsia="仿宋" w:cs="仿宋"/>
          <w:spacing w:val="-2"/>
          <w:sz w:val="32"/>
          <w:szCs w:val="32"/>
        </w:rPr>
      </w:pPr>
      <w:r>
        <w:rPr>
          <w:rFonts w:hint="eastAsia" w:ascii="仿宋" w:hAnsi="仿宋" w:eastAsia="仿宋" w:cs="仿宋"/>
          <w:color w:val="221E1F"/>
          <w:spacing w:val="-11"/>
          <w:sz w:val="32"/>
          <w:szCs w:val="32"/>
        </w:rPr>
        <w:t>1.营业执照、食品经营许可证、身份证复印件，证明当事人主体资格经营情况；</w:t>
      </w:r>
    </w:p>
    <w:p w14:paraId="1C591D90">
      <w:pPr>
        <w:spacing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2.</w:t>
      </w:r>
      <w:r>
        <w:rPr>
          <w:rFonts w:hint="eastAsia" w:ascii="仿宋" w:hAnsi="仿宋" w:eastAsia="仿宋" w:cs="仿宋"/>
          <w:color w:val="000000"/>
          <w:spacing w:val="-2"/>
          <w:sz w:val="32"/>
          <w:szCs w:val="32"/>
        </w:rPr>
        <w:t>河南广电计量检测有限公司检验报告（No：FZZ20240609469）</w:t>
      </w:r>
      <w:r>
        <w:rPr>
          <w:rFonts w:hint="eastAsia" w:ascii="仿宋" w:hAnsi="仿宋" w:eastAsia="仿宋" w:cs="仿宋"/>
          <w:spacing w:val="-2"/>
          <w:sz w:val="32"/>
          <w:szCs w:val="32"/>
        </w:rPr>
        <w:t>，证明当事人经营的姜</w:t>
      </w:r>
      <w:r>
        <w:rPr>
          <w:rFonts w:hint="eastAsia" w:ascii="仿宋" w:hAnsi="仿宋" w:eastAsia="仿宋" w:cs="仿宋"/>
          <w:color w:val="000000"/>
          <w:spacing w:val="-2"/>
          <w:sz w:val="32"/>
          <w:szCs w:val="32"/>
        </w:rPr>
        <w:t>噻虫胺.mg/kg项目</w:t>
      </w:r>
      <w:r>
        <w:rPr>
          <w:rFonts w:hint="eastAsia" w:ascii="仿宋" w:hAnsi="仿宋" w:eastAsia="仿宋" w:cs="仿宋"/>
          <w:spacing w:val="-2"/>
          <w:sz w:val="32"/>
          <w:szCs w:val="32"/>
        </w:rPr>
        <w:t xml:space="preserve">不合格；                        </w:t>
      </w:r>
    </w:p>
    <w:p w14:paraId="21CFCD0B">
      <w:pPr>
        <w:spacing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3.现场检查笔录、询问笔录、采购收货单、收据，证明当事人经营不合格姜的事实及获利情况；</w:t>
      </w:r>
    </w:p>
    <w:p w14:paraId="3BF9ED86">
      <w:pPr>
        <w:pStyle w:val="5"/>
        <w:autoSpaceDE w:val="0"/>
        <w:spacing w:line="600" w:lineRule="exact"/>
        <w:ind w:left="0" w:firstLine="632" w:firstLineChars="200"/>
        <w:rPr>
          <w:rFonts w:hint="eastAsia" w:ascii="仿宋" w:hAnsi="仿宋" w:eastAsia="仿宋" w:cs="仿宋"/>
          <w:color w:val="000000"/>
        </w:rPr>
      </w:pPr>
      <w:r>
        <w:rPr>
          <w:rFonts w:hint="eastAsia" w:ascii="仿宋" w:hAnsi="仿宋" w:eastAsia="仿宋" w:cs="仿宋"/>
          <w:spacing w:val="-2"/>
        </w:rPr>
        <w:t xml:space="preserve">4.供货商的营业执照、检测报告单、召回公告及照片，证明当事人积极配合调查，并主动提供证据材料。 </w:t>
      </w:r>
    </w:p>
    <w:p w14:paraId="7E19EEF0">
      <w:pPr>
        <w:pStyle w:val="5"/>
        <w:autoSpaceDE w:val="0"/>
        <w:spacing w:line="600" w:lineRule="exact"/>
        <w:ind w:left="0" w:firstLine="616" w:firstLineChars="200"/>
        <w:rPr>
          <w:rFonts w:hint="eastAsia" w:ascii="仿宋" w:hAnsi="仿宋" w:eastAsia="仿宋" w:cs="仿宋"/>
          <w:color w:val="333333"/>
        </w:rPr>
      </w:pPr>
      <w:r>
        <w:rPr>
          <w:rFonts w:hint="eastAsia" w:ascii="仿宋" w:hAnsi="仿宋" w:eastAsia="仿宋" w:cs="仿宋"/>
          <w:color w:val="333333"/>
          <w:spacing w:val="-6"/>
        </w:rPr>
        <w:t>当事人的行为违反了</w:t>
      </w:r>
      <w:r>
        <w:rPr>
          <w:rFonts w:hint="eastAsia" w:ascii="仿宋" w:hAnsi="仿宋" w:eastAsia="仿宋" w:cs="仿宋"/>
          <w:spacing w:val="-6"/>
        </w:rPr>
        <w:t>《中华人民共和国食品安全法》第三十四条</w:t>
      </w:r>
      <w:r>
        <w:rPr>
          <w:rFonts w:hint="eastAsia" w:ascii="仿宋" w:hAnsi="仿宋" w:eastAsia="仿宋" w:cs="仿宋"/>
          <w:bCs/>
          <w:spacing w:val="-6"/>
        </w:rPr>
        <w:t>“禁止生产经营下列食品、食品添加剂、食品相关产</w:t>
      </w:r>
      <w:r>
        <w:rPr>
          <w:rFonts w:hint="eastAsia" w:ascii="仿宋" w:hAnsi="仿宋" w:eastAsia="仿宋" w:cs="仿宋"/>
          <w:bCs/>
          <w:spacing w:val="-2"/>
        </w:rPr>
        <w:t>品：（二）致病性微生物，农药残留、兽药残留、生物毒素、重金属等污染物质以及其他危害人体健康的物质含量超过食品安全标准限量的食品、食品添加剂、食品相关产品；”</w:t>
      </w:r>
      <w:r>
        <w:rPr>
          <w:rFonts w:hint="eastAsia" w:ascii="仿宋" w:hAnsi="仿宋" w:eastAsia="仿宋" w:cs="仿宋"/>
          <w:color w:val="333333"/>
        </w:rPr>
        <w:t>的规定。当事人能够积极配合市场监管部门调查，如实陈述违法事实并主动提供证据材料，参照</w:t>
      </w:r>
      <w:r>
        <w:rPr>
          <w:rFonts w:hint="eastAsia" w:ascii="仿宋" w:hAnsi="仿宋" w:eastAsia="仿宋" w:cs="仿宋"/>
          <w:color w:val="231F20"/>
        </w:rPr>
        <w:t>《河南省市场监督管理行政处罚裁量权适用通则》第十条“有下列情形之一的，可以依法从轻或者减轻行政处罚：（二）积极配合市场监管部门调查，并主动提供证据材料的；”之规定，可以依法给予减轻行政处罚。</w:t>
      </w:r>
    </w:p>
    <w:p w14:paraId="3E96CBDE">
      <w:pPr>
        <w:pStyle w:val="5"/>
        <w:autoSpaceDE w:val="0"/>
        <w:spacing w:line="600" w:lineRule="exact"/>
        <w:ind w:left="0" w:firstLine="640" w:firstLineChars="200"/>
        <w:rPr>
          <w:rFonts w:ascii="仿宋" w:hAnsi="仿宋" w:eastAsia="仿宋" w:cs="仿宋"/>
        </w:rPr>
      </w:pPr>
      <w:r>
        <w:rPr>
          <w:rFonts w:hint="eastAsia" w:ascii="仿宋" w:hAnsi="仿宋" w:eastAsia="仿宋" w:cs="仿宋"/>
          <w:color w:val="231F20"/>
        </w:rPr>
        <w:t>2024年9月11日，</w:t>
      </w:r>
      <w:r>
        <w:rPr>
          <w:rFonts w:hint="eastAsia" w:ascii="仿宋" w:hAnsi="仿宋" w:eastAsia="仿宋" w:cs="仿宋"/>
        </w:rPr>
        <w:t>我局依法向</w:t>
      </w:r>
      <w:r>
        <w:rPr>
          <w:rFonts w:hint="eastAsia" w:ascii="仿宋" w:hAnsi="仿宋" w:eastAsia="仿宋" w:cs="仿宋"/>
          <w:color w:val="000000"/>
        </w:rPr>
        <w:t>当事人</w:t>
      </w:r>
      <w:r>
        <w:rPr>
          <w:rFonts w:hint="eastAsia" w:ascii="仿宋" w:hAnsi="仿宋" w:eastAsia="仿宋" w:cs="仿宋"/>
        </w:rPr>
        <w:t>送达了偃市监罚告〔2024〕49号《行政处罚告知书》，告知当事人我局拟做出行政处罚决定的事实、理由、依据、内容以及当事人有权进行陈述、申辩，并可以要求听证。当事人在法定期限内未行使陈述、申辩权，亦未要求听证。</w:t>
      </w:r>
    </w:p>
    <w:p w14:paraId="7D8E0D60">
      <w:pPr>
        <w:pStyle w:val="5"/>
        <w:autoSpaceDE w:val="0"/>
        <w:spacing w:line="600" w:lineRule="exact"/>
        <w:ind w:left="0" w:firstLine="640" w:firstLineChars="200"/>
        <w:rPr>
          <w:rFonts w:ascii="仿宋" w:hAnsi="仿宋" w:eastAsia="仿宋" w:cs="仿宋"/>
          <w:color w:val="3E3E3E"/>
          <w:kern w:val="0"/>
        </w:rPr>
      </w:pPr>
      <w:r>
        <w:rPr>
          <w:rFonts w:hint="eastAsia" w:ascii="仿宋" w:hAnsi="仿宋" w:eastAsia="仿宋" w:cs="仿宋"/>
          <w:color w:val="333333"/>
        </w:rPr>
        <w:t>依据《</w:t>
      </w:r>
      <w:r>
        <w:rPr>
          <w:rFonts w:hint="eastAsia" w:ascii="仿宋" w:hAnsi="仿宋" w:eastAsia="仿宋" w:cs="仿宋"/>
          <w:color w:val="231F20"/>
        </w:rPr>
        <w:t>中华人民共和国食品安全法》第一百二十四条</w:t>
      </w:r>
      <w:r>
        <w:rPr>
          <w:rFonts w:hint="eastAsia" w:ascii="仿宋" w:hAnsi="仿宋" w:eastAsia="仿宋" w:cs="仿宋"/>
          <w:spacing w:val="-2"/>
        </w:rPr>
        <w:t>“</w:t>
      </w:r>
      <w:r>
        <w:rPr>
          <w:rFonts w:hint="eastAsia" w:ascii="仿宋" w:hAnsi="仿宋" w:eastAsia="仿宋" w:cs="仿宋"/>
          <w:color w:val="333333"/>
          <w:kern w:val="0"/>
        </w:rPr>
        <w:t>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w:t>
      </w:r>
      <w:r>
        <w:rPr>
          <w:rFonts w:hint="eastAsia" w:ascii="仿宋" w:hAnsi="仿宋" w:eastAsia="仿宋" w:cs="仿宋"/>
          <w:color w:val="3E3E3E"/>
          <w:kern w:val="0"/>
        </w:rPr>
        <w:t>”之规定，及</w:t>
      </w:r>
      <w:r>
        <w:rPr>
          <w:rFonts w:hint="eastAsia" w:ascii="仿宋" w:hAnsi="仿宋" w:eastAsia="仿宋" w:cs="仿宋"/>
          <w:color w:val="000000"/>
          <w:spacing w:val="-2"/>
        </w:rPr>
        <w:t>《中华人民共和国行政处罚法》第二十八条“</w:t>
      </w:r>
      <w:r>
        <w:rPr>
          <w:rFonts w:hint="eastAsia" w:ascii="仿宋" w:hAnsi="仿宋" w:eastAsia="仿宋" w:cs="仿宋"/>
          <w:color w:val="333333"/>
          <w:kern w:val="0"/>
        </w:rPr>
        <w:t>行政机关实施行政处罚时，应当责令当事人改正或者限期改正违法行为。”之规定，决定</w:t>
      </w:r>
      <w:r>
        <w:rPr>
          <w:rFonts w:hint="eastAsia" w:ascii="仿宋" w:hAnsi="仿宋" w:eastAsia="仿宋" w:cs="仿宋"/>
          <w:color w:val="3E3E3E"/>
          <w:kern w:val="0"/>
        </w:rPr>
        <w:t>对洛阳市偃师区伊洛街道金福源家悦生鲜超市责令改正，并处罚如下：</w:t>
      </w:r>
    </w:p>
    <w:p w14:paraId="2A774CCB">
      <w:pPr>
        <w:pStyle w:val="5"/>
        <w:autoSpaceDE w:val="0"/>
        <w:spacing w:line="600" w:lineRule="exact"/>
        <w:ind w:left="0" w:firstLine="640" w:firstLineChars="200"/>
        <w:rPr>
          <w:rFonts w:ascii="仿宋" w:hAnsi="仿宋" w:eastAsia="仿宋" w:cs="仿宋"/>
          <w:color w:val="3E3E3E"/>
          <w:kern w:val="0"/>
        </w:rPr>
      </w:pPr>
      <w:r>
        <w:rPr>
          <w:rFonts w:hint="eastAsia" w:ascii="仿宋" w:hAnsi="仿宋" w:eastAsia="仿宋" w:cs="仿宋"/>
          <w:color w:val="3E3E3E"/>
          <w:kern w:val="0"/>
        </w:rPr>
        <w:t>1.没收违法所得136.44元；</w:t>
      </w:r>
    </w:p>
    <w:p w14:paraId="7265984D">
      <w:pPr>
        <w:pStyle w:val="5"/>
        <w:autoSpaceDE w:val="0"/>
        <w:spacing w:line="600" w:lineRule="exact"/>
        <w:ind w:left="0" w:firstLine="640" w:firstLineChars="200"/>
        <w:rPr>
          <w:rFonts w:ascii="仿宋" w:hAnsi="仿宋" w:eastAsia="仿宋" w:cs="仿宋"/>
          <w:color w:val="3E3E3E"/>
          <w:kern w:val="0"/>
        </w:rPr>
      </w:pPr>
      <w:r>
        <w:rPr>
          <w:rFonts w:hint="eastAsia" w:ascii="仿宋" w:hAnsi="仿宋" w:eastAsia="仿宋" w:cs="仿宋"/>
          <w:color w:val="3E3E3E"/>
          <w:kern w:val="0"/>
        </w:rPr>
        <w:t>2.罚款3000元。</w:t>
      </w:r>
    </w:p>
    <w:p w14:paraId="7AD4F94F">
      <w:pPr>
        <w:pStyle w:val="5"/>
        <w:autoSpaceDE w:val="0"/>
        <w:spacing w:line="600" w:lineRule="exact"/>
        <w:ind w:left="0" w:firstLine="640" w:firstLineChars="200"/>
        <w:rPr>
          <w:rFonts w:ascii="仿宋" w:eastAsia="仿宋" w:cs="宋体"/>
        </w:rPr>
      </w:pPr>
      <w:r>
        <w:rPr>
          <w:rFonts w:hint="eastAsia" w:ascii="仿宋" w:hAnsi="仿宋" w:eastAsia="仿宋" w:cs="仿宋"/>
          <w:color w:val="3E3E3E"/>
          <w:kern w:val="0"/>
        </w:rPr>
        <w:t>以上合计罚没款3136.44元。</w:t>
      </w:r>
    </w:p>
    <w:p w14:paraId="576D466E">
      <w:pPr>
        <w:pStyle w:val="5"/>
        <w:autoSpaceDE w:val="0"/>
        <w:spacing w:line="600" w:lineRule="exact"/>
        <w:ind w:left="0" w:firstLine="640" w:firstLineChars="200"/>
        <w:rPr>
          <w:rFonts w:hint="eastAsia" w:ascii="仿宋" w:hAnsi="仿宋" w:eastAsia="仿宋" w:cs="仿宋"/>
          <w:color w:val="333333"/>
        </w:rPr>
      </w:pPr>
      <w:r>
        <w:rPr>
          <w:rFonts w:hint="eastAsia" w:ascii="仿宋" w:hAnsi="仿宋" w:eastAsia="仿宋" w:cs="仿宋"/>
          <w:color w:val="333333"/>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p>
    <w:p w14:paraId="1633D82F">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14:paraId="5DF93DF7">
      <w:pPr>
        <w:tabs>
          <w:tab w:val="left" w:pos="2440"/>
          <w:tab w:val="left" w:pos="8964"/>
        </w:tabs>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3DCB2417">
      <w:pPr>
        <w:tabs>
          <w:tab w:val="left" w:pos="2440"/>
          <w:tab w:val="left" w:pos="8964"/>
        </w:tabs>
        <w:spacing w:line="600" w:lineRule="exact"/>
        <w:ind w:firstLine="2880" w:firstLineChars="900"/>
        <w:rPr>
          <w:rFonts w:hint="eastAsia" w:ascii="仿宋" w:hAnsi="仿宋" w:eastAsia="仿宋" w:cs="仿宋"/>
          <w:sz w:val="32"/>
          <w:szCs w:val="32"/>
        </w:rPr>
      </w:pPr>
    </w:p>
    <w:p w14:paraId="35346DC2">
      <w:pPr>
        <w:tabs>
          <w:tab w:val="left" w:pos="2440"/>
          <w:tab w:val="left" w:pos="8964"/>
        </w:tabs>
        <w:spacing w:line="600" w:lineRule="exact"/>
        <w:ind w:firstLine="2880" w:firstLineChars="900"/>
        <w:rPr>
          <w:rFonts w:hint="eastAsia" w:ascii="仿宋" w:hAnsi="仿宋" w:eastAsia="仿宋" w:cs="仿宋"/>
          <w:sz w:val="32"/>
          <w:szCs w:val="32"/>
        </w:rPr>
      </w:pPr>
    </w:p>
    <w:p w14:paraId="3763786E">
      <w:pPr>
        <w:tabs>
          <w:tab w:val="left" w:pos="2440"/>
          <w:tab w:val="left" w:pos="8964"/>
        </w:tabs>
        <w:spacing w:line="600" w:lineRule="exact"/>
        <w:ind w:firstLine="2880" w:firstLineChars="900"/>
        <w:rPr>
          <w:rFonts w:hint="eastAsia" w:ascii="仿宋" w:hAnsi="仿宋" w:eastAsia="仿宋" w:cs="仿宋"/>
          <w:sz w:val="32"/>
          <w:szCs w:val="32"/>
        </w:rPr>
      </w:pPr>
    </w:p>
    <w:p w14:paraId="7E0FDC57">
      <w:pPr>
        <w:tabs>
          <w:tab w:val="left" w:pos="2440"/>
          <w:tab w:val="left" w:pos="8964"/>
        </w:tabs>
        <w:spacing w:line="600" w:lineRule="exact"/>
        <w:ind w:firstLine="2880" w:firstLineChars="900"/>
        <w:rPr>
          <w:rFonts w:hint="eastAsia" w:ascii="仿宋" w:hAnsi="仿宋" w:eastAsia="仿宋" w:cs="仿宋"/>
          <w:color w:val="333333"/>
          <w:sz w:val="32"/>
          <w:szCs w:val="32"/>
        </w:rPr>
      </w:pPr>
      <w:r>
        <w:rPr>
          <w:rFonts w:hint="eastAsia" w:ascii="仿宋" w:hAnsi="仿宋" w:eastAsia="仿宋" w:cs="仿宋"/>
          <w:color w:val="333333"/>
          <w:sz w:val="32"/>
          <w:szCs w:val="32"/>
        </w:rPr>
        <w:t>洛阳市偃师区市场监督管理局</w:t>
      </w:r>
    </w:p>
    <w:p w14:paraId="4184E147">
      <w:pPr>
        <w:tabs>
          <w:tab w:val="left" w:pos="2440"/>
          <w:tab w:val="left" w:pos="8964"/>
        </w:tabs>
        <w:spacing w:line="600" w:lineRule="exact"/>
        <w:ind w:firstLine="640" w:firstLineChars="200"/>
        <w:rPr>
          <w:rFonts w:hint="eastAsia" w:ascii="仿宋" w:hAnsi="仿宋" w:eastAsia="仿宋" w:cs="仿宋"/>
          <w:color w:val="333333"/>
          <w:sz w:val="32"/>
          <w:szCs w:val="32"/>
        </w:rPr>
      </w:pPr>
      <w:r>
        <w:rPr>
          <w:rFonts w:hint="eastAsia" w:ascii="仿宋" w:hAnsi="仿宋" w:eastAsia="仿宋" w:cs="仿宋"/>
          <w:color w:val="333333"/>
          <w:sz w:val="32"/>
          <w:szCs w:val="32"/>
        </w:rPr>
        <w:t xml:space="preserve">                   </w:t>
      </w:r>
      <w:r>
        <w:rPr>
          <w:rFonts w:ascii="仿宋" w:hAnsi="仿宋" w:eastAsia="仿宋" w:cs="仿宋"/>
          <w:color w:val="333333"/>
          <w:sz w:val="32"/>
          <w:szCs w:val="32"/>
        </w:rPr>
        <w:t xml:space="preserve"> </w:t>
      </w:r>
    </w:p>
    <w:p w14:paraId="21C33B62">
      <w:pPr>
        <w:tabs>
          <w:tab w:val="left" w:pos="2440"/>
          <w:tab w:val="left" w:pos="8964"/>
        </w:tabs>
        <w:spacing w:line="600" w:lineRule="exact"/>
        <w:ind w:firstLine="3840" w:firstLineChars="1200"/>
        <w:rPr>
          <w:rFonts w:hint="eastAsia" w:ascii="仿宋" w:hAnsi="仿宋" w:eastAsia="仿宋" w:cs="仿宋"/>
          <w:color w:val="333333"/>
          <w:sz w:val="32"/>
          <w:szCs w:val="32"/>
        </w:rPr>
      </w:pPr>
      <w:r>
        <w:rPr>
          <w:rFonts w:hint="eastAsia" w:ascii="仿宋" w:hAnsi="仿宋" w:eastAsia="仿宋" w:cs="仿宋"/>
          <w:color w:val="333333"/>
          <w:sz w:val="32"/>
          <w:szCs w:val="32"/>
        </w:rPr>
        <w:t>2024年9月23日</w:t>
      </w:r>
    </w:p>
    <w:p w14:paraId="59C9E93B">
      <w:pPr>
        <w:tabs>
          <w:tab w:val="left" w:pos="2440"/>
          <w:tab w:val="left" w:pos="8964"/>
        </w:tabs>
        <w:spacing w:line="600" w:lineRule="exact"/>
        <w:ind w:firstLine="640" w:firstLineChars="200"/>
        <w:rPr>
          <w:rFonts w:ascii="仿宋" w:hAnsi="仿宋" w:eastAsia="仿宋" w:cs="仿宋"/>
          <w:color w:val="333333"/>
          <w:sz w:val="32"/>
          <w:szCs w:val="32"/>
        </w:rPr>
      </w:pPr>
    </w:p>
    <w:p w14:paraId="5264CADF">
      <w:pPr>
        <w:tabs>
          <w:tab w:val="left" w:pos="2440"/>
          <w:tab w:val="left" w:pos="8964"/>
        </w:tabs>
        <w:spacing w:line="600" w:lineRule="exact"/>
        <w:ind w:firstLine="640" w:firstLineChars="200"/>
        <w:rPr>
          <w:rFonts w:ascii="仿宋" w:hAnsi="仿宋" w:eastAsia="仿宋" w:cs="仿宋"/>
          <w:color w:val="333333"/>
          <w:sz w:val="32"/>
          <w:szCs w:val="32"/>
        </w:rPr>
      </w:pPr>
    </w:p>
    <w:p w14:paraId="53CCEA77">
      <w:pPr>
        <w:tabs>
          <w:tab w:val="left" w:pos="2440"/>
          <w:tab w:val="left" w:pos="8964"/>
        </w:tabs>
        <w:spacing w:line="600" w:lineRule="exact"/>
        <w:ind w:firstLine="640" w:firstLineChars="200"/>
        <w:rPr>
          <w:rFonts w:hint="eastAsia" w:ascii="仿宋" w:hAnsi="仿宋" w:eastAsia="仿宋" w:cs="仿宋"/>
          <w:color w:val="333333"/>
          <w:sz w:val="32"/>
          <w:szCs w:val="32"/>
        </w:rPr>
      </w:pPr>
    </w:p>
    <w:p w14:paraId="320552FA">
      <w:pPr>
        <w:tabs>
          <w:tab w:val="left" w:pos="2440"/>
          <w:tab w:val="left" w:pos="8964"/>
        </w:tabs>
        <w:spacing w:line="540" w:lineRule="exact"/>
        <w:rPr>
          <w:rFonts w:ascii="仿宋" w:eastAsia="仿宋" w:cs="仿宋"/>
          <w:color w:val="333333"/>
          <w:sz w:val="32"/>
          <w:szCs w:val="32"/>
        </w:rPr>
      </w:pPr>
      <w:r>
        <w:rPr>
          <w:rFonts w:hint="eastAsia" w:ascii="仿宋" w:eastAsia="仿宋" w:cs="仿宋"/>
          <w:color w:val="333333"/>
          <w:sz w:val="32"/>
          <w:szCs w:val="32"/>
        </w:rPr>
        <w:t>（</w:t>
      </w:r>
      <w:r>
        <w:rPr>
          <w:rFonts w:hint="eastAsia" w:ascii="仿宋" w:eastAsia="仿宋" w:cs="仿宋"/>
          <w:color w:val="333333"/>
          <w:spacing w:val="-11"/>
          <w:sz w:val="32"/>
          <w:szCs w:val="32"/>
        </w:rPr>
        <w:t>市场监督管理部门将依法向社会公示本行政处罚决定信息</w:t>
      </w:r>
      <w:r>
        <w:rPr>
          <w:rFonts w:hint="eastAsia" w:ascii="仿宋" w:eastAsia="仿宋" w:cs="仿宋"/>
          <w:color w:val="333333"/>
          <w:sz w:val="32"/>
          <w:szCs w:val="32"/>
        </w:rPr>
        <w:t>）</w:t>
      </w:r>
    </w:p>
    <w:p w14:paraId="114D12CC">
      <w:pPr>
        <w:tabs>
          <w:tab w:val="left" w:pos="2440"/>
          <w:tab w:val="left" w:pos="8964"/>
        </w:tabs>
        <w:spacing w:line="540" w:lineRule="exact"/>
        <w:rPr>
          <w:rFonts w:ascii="仿宋" w:eastAsia="仿宋" w:cs="仿宋"/>
          <w:color w:val="333333"/>
          <w:sz w:val="32"/>
          <w:szCs w:val="32"/>
        </w:rPr>
      </w:pPr>
      <w:r>
        <w:rPr>
          <w:rFonts w:hint="eastAsia" w:ascii="仿宋" w:eastAsia="仿宋" w:cs="仿宋"/>
          <w:color w:val="333333"/>
          <w:sz w:val="32"/>
          <w:szCs w:val="32"/>
        </w:rPr>
        <mc:AlternateContent>
          <mc:Choice Requires="wps">
            <w:drawing>
              <wp:anchor distT="0" distB="0" distL="90805" distR="90805" simplePos="0" relativeHeight="251659264" behindDoc="0" locked="0" layoutInCell="1" allowOverlap="1">
                <wp:simplePos x="0" y="0"/>
                <wp:positionH relativeFrom="column">
                  <wp:posOffset>-41910</wp:posOffset>
                </wp:positionH>
                <wp:positionV relativeFrom="paragraph">
                  <wp:posOffset>38100</wp:posOffset>
                </wp:positionV>
                <wp:extent cx="5242560" cy="0"/>
                <wp:effectExtent l="0" t="0" r="0" b="0"/>
                <wp:wrapNone/>
                <wp:docPr id="1" name="_x0000_s1026"/>
                <wp:cNvGraphicFramePr/>
                <a:graphic xmlns:a="http://schemas.openxmlformats.org/drawingml/2006/main">
                  <a:graphicData uri="http://schemas.microsoft.com/office/word/2010/wordprocessingShape">
                    <wps:wsp>
                      <wps:cNvCnPr/>
                      <wps:spPr>
                        <a:xfrm>
                          <a:off x="0" y="0"/>
                          <a:ext cx="5242560" cy="0"/>
                        </a:xfrm>
                        <a:prstGeom prst="line">
                          <a:avLst/>
                        </a:prstGeom>
                        <a:noFill/>
                        <a:ln w="12700" cap="flat" cmpd="sng">
                          <a:solidFill>
                            <a:srgbClr val="000000"/>
                          </a:solidFill>
                          <a:prstDash val="solid"/>
                          <a:miter/>
                        </a:ln>
                      </wps:spPr>
                      <wps:bodyPr/>
                    </wps:wsp>
                  </a:graphicData>
                </a:graphic>
              </wp:anchor>
            </w:drawing>
          </mc:Choice>
          <mc:Fallback>
            <w:pict>
              <v:line id="_x0000_s1026" o:spid="_x0000_s1026" o:spt="20" style="position:absolute;left:0pt;margin-left:-3.3pt;margin-top:3pt;height:0pt;width:412.8pt;z-index:251659264;mso-width-relative:page;mso-height-relative:page;" filled="f" stroked="t" coordsize="21600,21600" o:gfxdata="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YXpBjdYAAAAGAQAADwAAAAAAAAABACAAAAAiAAAAZHJzL2Rvd25yZXYueG1s&#10;UEsBAhQAFAAAAAgAh07iQJ3ze1fBAQAAlQMAAA4AAAAAAAAAAQAgAAAAJQEAAGRycy9lMm9Eb2Mu&#10;eG1sUEsFBgAAAAAGAAYAWQEAAFgFAAAAAA==&#10;">
                <v:fill on="f" focussize="0,0"/>
                <v:stroke weight="1pt" color="#000000" joinstyle="miter"/>
                <v:imagedata o:title=""/>
                <o:lock v:ext="edit" aspectratio="f"/>
              </v:line>
            </w:pict>
          </mc:Fallback>
        </mc:AlternateContent>
      </w:r>
      <w:r>
        <w:rPr>
          <w:rFonts w:hint="eastAsia" w:ascii="仿宋" w:eastAsia="仿宋" w:cs="仿宋"/>
          <w:color w:val="333333"/>
          <w:sz w:val="32"/>
          <w:szCs w:val="32"/>
        </w:rPr>
        <w:t>本文书一式三份，一份送达，一份归档，一份办案机构留存。</w:t>
      </w:r>
    </w:p>
    <w:sectPr>
      <w:headerReference r:id="rId3" w:type="default"/>
      <w:footerReference r:id="rId4" w:type="default"/>
      <w:footerReference r:id="rId5" w:type="even"/>
      <w:pgSz w:w="11906" w:h="16838"/>
      <w:pgMar w:top="1440" w:right="1758" w:bottom="1440"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03ADA">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14:paraId="612E8C78">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45F60">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 xml:space="preserve"> </w:t>
    </w:r>
    <w:r>
      <w:rPr>
        <w:rStyle w:val="11"/>
      </w:rPr>
      <w:fldChar w:fldCharType="end"/>
    </w:r>
  </w:p>
  <w:p w14:paraId="16BBA8E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40F8F">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3550A"/>
    <w:rsid w:val="00062C80"/>
    <w:rsid w:val="0013550A"/>
    <w:rsid w:val="00171ABC"/>
    <w:rsid w:val="004A2D75"/>
    <w:rsid w:val="00584E41"/>
    <w:rsid w:val="00650EE9"/>
    <w:rsid w:val="007651B7"/>
    <w:rsid w:val="007800D8"/>
    <w:rsid w:val="00830367"/>
    <w:rsid w:val="00AD35D3"/>
    <w:rsid w:val="00B55FB0"/>
    <w:rsid w:val="00D379D5"/>
    <w:rsid w:val="00E44E56"/>
    <w:rsid w:val="00E86BA2"/>
    <w:rsid w:val="00F44A14"/>
    <w:rsid w:val="00FE71DF"/>
    <w:rsid w:val="0E0F7B54"/>
    <w:rsid w:val="13553E28"/>
    <w:rsid w:val="145C7BB2"/>
    <w:rsid w:val="179B1A48"/>
    <w:rsid w:val="17CC380B"/>
    <w:rsid w:val="1AB02FE3"/>
    <w:rsid w:val="1C1923EE"/>
    <w:rsid w:val="203621B8"/>
    <w:rsid w:val="268017B1"/>
    <w:rsid w:val="32553DA8"/>
    <w:rsid w:val="33633703"/>
    <w:rsid w:val="338702B8"/>
    <w:rsid w:val="438C03BC"/>
    <w:rsid w:val="4393392C"/>
    <w:rsid w:val="45A00172"/>
    <w:rsid w:val="5207024F"/>
    <w:rsid w:val="529E3E06"/>
    <w:rsid w:val="52F622F5"/>
    <w:rsid w:val="53812B9F"/>
    <w:rsid w:val="582953F1"/>
    <w:rsid w:val="5EBC76FA"/>
    <w:rsid w:val="621F03B0"/>
    <w:rsid w:val="63E97FE0"/>
    <w:rsid w:val="6D8B5750"/>
    <w:rsid w:val="7E311519"/>
    <w:rsid w:val="7E7B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unhideWhenUsed="0" w:uiPriority="0" w:semiHidden="0" w:name="heading 4" w:locked="1"/>
    <w:lsdException w:unhideWhenUsed="0" w:uiPriority="0" w:semiHidden="0" w:name="heading 5" w:locked="1"/>
    <w:lsdException w:unhideWhenUsed="0" w:uiPriority="0" w:semiHidden="0" w:name="heading 6" w:locked="1"/>
    <w:lsdException w:unhideWhenUsed="0" w:uiPriority="0" w:semiHidden="0" w:name="heading 7" w:locked="1"/>
    <w:lsdException w:unhideWhenUsed="0" w:uiPriority="0" w:semiHidden="0" w:name="heading 8" w:locked="1"/>
    <w:lsdException w:unhideWhenUsed="0" w:uiPriority="0" w:semiHidden="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ocked="1"/>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widowControl/>
      <w:outlineLvl w:val="0"/>
    </w:pPr>
    <w:rPr>
      <w:rFonts w:ascii="Arial Unicode MS" w:hAnsi="Arial Unicode MS"/>
      <w:sz w:val="42"/>
      <w:szCs w:val="42"/>
    </w:rPr>
  </w:style>
  <w:style w:type="paragraph" w:styleId="3">
    <w:name w:val="heading 2"/>
    <w:basedOn w:val="1"/>
    <w:next w:val="1"/>
    <w:qFormat/>
    <w:locked/>
    <w:uiPriority w:val="0"/>
    <w:pPr>
      <w:keepNext/>
      <w:keepLines/>
      <w:spacing w:before="260" w:after="260" w:line="415" w:lineRule="auto"/>
      <w:outlineLvl w:val="1"/>
    </w:pPr>
    <w:rPr>
      <w:rFonts w:eastAsia="黑体"/>
      <w:b/>
      <w:sz w:val="32"/>
    </w:rPr>
  </w:style>
  <w:style w:type="paragraph" w:styleId="4">
    <w:name w:val="heading 3"/>
    <w:basedOn w:val="1"/>
    <w:next w:val="1"/>
    <w:qFormat/>
    <w:locked/>
    <w:uiPriority w:val="0"/>
    <w:pPr>
      <w:keepNext/>
      <w:keepLines/>
      <w:spacing w:before="260" w:after="260" w:line="415" w:lineRule="auto"/>
      <w:outlineLvl w:val="2"/>
    </w:pPr>
    <w:rPr>
      <w:b/>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basedOn w:val="1"/>
    <w:autoRedefine/>
    <w:qFormat/>
    <w:uiPriority w:val="0"/>
    <w:pPr>
      <w:ind w:left="220"/>
    </w:pPr>
    <w:rPr>
      <w:rFonts w:ascii="Arial Unicode MS" w:hAnsi="Arial Unicode MS"/>
      <w:sz w:val="32"/>
      <w:szCs w:val="32"/>
    </w:rPr>
  </w:style>
  <w:style w:type="paragraph" w:styleId="6">
    <w:name w:val="footer"/>
    <w:basedOn w:val="1"/>
    <w:autoRedefine/>
    <w:qFormat/>
    <w:uiPriority w:val="0"/>
    <w:pPr>
      <w:tabs>
        <w:tab w:val="center" w:pos="4153"/>
        <w:tab w:val="right" w:pos="8306"/>
      </w:tabs>
      <w:adjustRightInd w:val="0"/>
      <w:snapToGrid w:val="0"/>
      <w:spacing w:line="240" w:lineRule="atLeast"/>
      <w:jc w:val="left"/>
    </w:pPr>
    <w:rPr>
      <w:kern w:val="0"/>
      <w:sz w:val="18"/>
      <w:szCs w:val="20"/>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autoRedefine/>
    <w:qFormat/>
    <w:locked/>
    <w:uiPriority w:val="0"/>
    <w:rPr>
      <w:rFonts w:cs="Times New Roman"/>
      <w:b/>
    </w:rPr>
  </w:style>
  <w:style w:type="character" w:styleId="11">
    <w:name w:val="page number"/>
    <w:basedOn w:val="9"/>
    <w:autoRedefine/>
    <w:qFormat/>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1750</Words>
  <Characters>2033</Characters>
  <Lines>15</Lines>
  <Paragraphs>4</Paragraphs>
  <TotalTime>11</TotalTime>
  <ScaleCrop>false</ScaleCrop>
  <LinksUpToDate>false</LinksUpToDate>
  <CharactersWithSpaces>2106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2024-09-23T05:54:00Z</dcterms:created>
  <dc:creator>微软用户</dc:creator>
  <cp:lastModifiedBy>王建清</cp:lastModifiedBy>
  <cp:lastPrinted>2023-06-26T02:50:00Z</cp:lastPrinted>
  <dcterms:modified xsi:type="dcterms:W3CDTF">2024-10-22T05:54:24Z</dcterms:modified>
  <dc:title>偃师市工商行政管理局</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D4F77FE4C47F405DA0B488D8BE775B44_13</vt:lpwstr>
  </property>
</Properties>
</file>