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洛阳市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偃师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文化广电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和旅游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</w:p>
    <w:p w14:paraId="08FCF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监管工作计划</w:t>
      </w:r>
    </w:p>
    <w:p w14:paraId="4F353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A43F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为贯彻落实省、市关于“双随机、一公开”监管工作安排部署，提升“双随机、一公开”监管规范化、标准化水平，结合本部门实际，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度随机抽查工作计划。</w:t>
      </w:r>
    </w:p>
    <w:p w14:paraId="17A7D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 w14:paraId="1E979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以习近平新时代中国特色社会主义思想为指导，全面推行“双随机一公开”工作机制。推进文化市场建设大发展、大繁荣，不断满足人民日益增长的物质文化需求，为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经济建设和社会发展提供良好的文化服务。</w:t>
      </w:r>
    </w:p>
    <w:p w14:paraId="5829D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318E0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坚持依法监管、公开公正、协同推进、联合惩戒的原则，全面推行随机抽查监管，建立符合我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文化市场监管工作特点的“双随机”抽查制度，创新监管方式，规范执法行为，强化社会监督，保障市场主体合法权益，营造公平竞争的发展环境。</w:t>
      </w:r>
    </w:p>
    <w:p w14:paraId="588B3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三、具体内容</w:t>
      </w:r>
    </w:p>
    <w:p w14:paraId="0FF0D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（一）合理确定随机抽查的比例和频次</w:t>
      </w:r>
    </w:p>
    <w:p w14:paraId="33A3E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合理制定对我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娱乐场所、互联网上网服务营业场所、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印刷企业、出版物、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等单位的抽查的比例和频次。根据文化市场监管实际，在寒暑假、重大节假日、违规经营行为高发时段等重点节点，适时提高抽查频次；在违规经营行为多发的地区，提高抽查频次。</w:t>
      </w:r>
    </w:p>
    <w:p w14:paraId="47929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（二）规范执法检查行为</w:t>
      </w:r>
    </w:p>
    <w:p w14:paraId="38585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经程序抽取的检查对象和执法人员的相关信息，由抽查部门做好保管和保密工作。执法人员在检查每个场所时应不少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，并当场向当事人或有关人员出示有效执法证件。执法人员根据现场检查情况，填写检查记录，录入全国文化市场监管与服务平台系统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和国家企业信用信息公示系统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以备上级部门审查。</w:t>
      </w:r>
    </w:p>
    <w:p w14:paraId="0F324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（三）及时处理抽查结果</w:t>
      </w:r>
    </w:p>
    <w:p w14:paraId="45D88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抽查中发现的违法违规行为，依法依规做好惩处，及时纠正抽查对象的违法违规问题。应当给予行政处罚的，有关部门或者执法机构应在规定时限内予以立案，坚持处罚与教育相结合，视违法违规情节轻重，依法做出行政处罚决定。违法违规行为涉及犯罪的，应依法移送公安机关或司法机关查处。发现被抽查对象有其他违法违规行为的，应将检查情况和案件信息及时书面抄送有权监管部门，并积极协助办理。</w:t>
      </w:r>
    </w:p>
    <w:p w14:paraId="33145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（四）推进“双随机”信息公开</w:t>
      </w:r>
    </w:p>
    <w:p w14:paraId="4A857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公开”原则，要充分利用网站等载体，设立公示及时向社会公布随机抽查事项目录、随机抽查处理结果，提高行政机关市场监管工作的透明度。要充分发挥行业优势，拓宽社会监督渠道，为新闻媒体、行业组织、利益相关主体和广大群众共同参与监督创造条件。</w:t>
      </w:r>
    </w:p>
    <w:p w14:paraId="38ADA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四、“双随机”抽查检查频次</w:t>
      </w:r>
    </w:p>
    <w:p w14:paraId="44EA6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洛阳市偃师区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文化广电和旅游局“双随机”抽查工作细则》。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文化广电和旅游局重点监管从事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娱乐、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广电、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互联网上网服务场所、印刷、出版物、旅游、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艺术培训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等经营活动的法人。20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艺术培训机构抽查频次为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次/年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抽查比例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0E2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五、检查方式</w:t>
      </w:r>
    </w:p>
    <w:p w14:paraId="75962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执法有计划，检查有方案，工作讲标准，监管有力度，整改抓落实，执法必到位”的原则，做到事先制定现场检查方案，事中如实填写现场检查记录和整改指令书、复查意见书等执法文书，事毕及时整理文件资料、归档。实施行政处罚的案件，按照有关要求上网运作，自觉接受各职能部门的检查，查处完毕，及时归档。</w:t>
      </w:r>
    </w:p>
    <w:p w14:paraId="63421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 w14:paraId="6CC5A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文化市场综合行政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具体落实“双随机一公开”抽查计划，切实履行法定监管职责，局属各科室、各有关单位按照职能予以协调和配合。</w:t>
      </w:r>
    </w:p>
    <w:p w14:paraId="758B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0" w:leftChars="20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03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0" w:leftChars="20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附件：1.偃师区202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年市场监管领域“双随机、一公开”监管抽查计划汇总表</w:t>
      </w:r>
    </w:p>
    <w:p w14:paraId="7569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BE3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8761B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5184" w:firstLineChars="18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7621655D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5184" w:firstLineChars="18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659BE24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5184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701" w:right="1701" w:bottom="1587" w:left="1701" w:header="0" w:footer="1304" w:gutter="0"/>
          <w:pgNumType w:fmt="decimal"/>
          <w:cols w:space="720" w:num="1"/>
          <w:rtlGutter w:val="0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16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16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en-US" w:eastAsia="zh-CN"/>
        </w:rPr>
        <w:t>25</w:t>
      </w:r>
    </w:p>
    <w:p w14:paraId="18B434E1">
      <w:pPr>
        <w:spacing w:line="594" w:lineRule="exact"/>
        <w:ind w:left="0" w:leftChars="0" w:firstLine="0" w:firstLineChars="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  件1</w:t>
      </w:r>
      <w:bookmarkStart w:id="0" w:name="_GoBack"/>
      <w:bookmarkEnd w:id="0"/>
    </w:p>
    <w:p w14:paraId="21773952">
      <w:pPr>
        <w:pStyle w:val="2"/>
        <w:rPr>
          <w:rFonts w:hint="eastAsia"/>
        </w:rPr>
      </w:pPr>
    </w:p>
    <w:p w14:paraId="7FB4615D">
      <w:pPr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偃师区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年市场监管领域“双随机、一公开”监管抽查计划汇总表</w:t>
      </w:r>
    </w:p>
    <w:p w14:paraId="3BFC8AB9">
      <w:pPr>
        <w:spacing w:line="600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填报单位：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洛阳市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偃师区文化广电和旅游局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（公章）        填报时间：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</w:p>
    <w:tbl>
      <w:tblPr>
        <w:tblStyle w:val="4"/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7"/>
        <w:gridCol w:w="989"/>
        <w:gridCol w:w="1534"/>
        <w:gridCol w:w="2811"/>
        <w:gridCol w:w="1365"/>
        <w:gridCol w:w="1090"/>
        <w:gridCol w:w="1181"/>
        <w:gridCol w:w="696"/>
        <w:gridCol w:w="1010"/>
        <w:gridCol w:w="906"/>
        <w:gridCol w:w="958"/>
        <w:gridCol w:w="958"/>
      </w:tblGrid>
      <w:tr w14:paraId="6874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tblHeader/>
          <w:jc w:val="center"/>
        </w:trPr>
        <w:tc>
          <w:tcPr>
            <w:tcW w:w="1037" w:type="dxa"/>
            <w:noWrap w:val="0"/>
            <w:vAlign w:val="center"/>
          </w:tcPr>
          <w:p w14:paraId="7BF0C249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 w14:paraId="5A7A62C7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534" w:type="dxa"/>
            <w:noWrap w:val="0"/>
            <w:vAlign w:val="center"/>
          </w:tcPr>
          <w:p w14:paraId="6B068B67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抽查事项</w:t>
            </w:r>
          </w:p>
          <w:p w14:paraId="07A92AF9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2811" w:type="dxa"/>
            <w:noWrap w:val="0"/>
            <w:vAlign w:val="center"/>
          </w:tcPr>
          <w:p w14:paraId="1D46FE11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抽查依据</w:t>
            </w:r>
          </w:p>
        </w:tc>
        <w:tc>
          <w:tcPr>
            <w:tcW w:w="1365" w:type="dxa"/>
            <w:noWrap w:val="0"/>
            <w:vAlign w:val="center"/>
          </w:tcPr>
          <w:p w14:paraId="7495023F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检查</w:t>
            </w:r>
          </w:p>
          <w:p w14:paraId="3936C96E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1090" w:type="dxa"/>
            <w:noWrap w:val="0"/>
            <w:vAlign w:val="center"/>
          </w:tcPr>
          <w:p w14:paraId="52B26589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事项</w:t>
            </w:r>
          </w:p>
          <w:p w14:paraId="3F7F9D93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81" w:type="dxa"/>
            <w:noWrap w:val="0"/>
            <w:vAlign w:val="center"/>
          </w:tcPr>
          <w:p w14:paraId="0A042EF1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检查对象</w:t>
            </w:r>
          </w:p>
        </w:tc>
        <w:tc>
          <w:tcPr>
            <w:tcW w:w="696" w:type="dxa"/>
            <w:noWrap w:val="0"/>
            <w:vAlign w:val="center"/>
          </w:tcPr>
          <w:p w14:paraId="4C6BC10D">
            <w:pPr>
              <w:widowControl/>
              <w:snapToGrid w:val="0"/>
              <w:spacing w:line="340" w:lineRule="exact"/>
              <w:ind w:left="-20" w:leftChars="-100" w:hanging="180" w:hangingChars="1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</w:t>
            </w:r>
          </w:p>
          <w:p w14:paraId="1BF49B59">
            <w:pPr>
              <w:widowControl/>
              <w:snapToGrid w:val="0"/>
              <w:spacing w:line="340" w:lineRule="exact"/>
              <w:ind w:left="-20" w:leftChars="-100" w:hanging="180" w:hangingChars="1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010" w:type="dxa"/>
            <w:noWrap w:val="0"/>
            <w:vAlign w:val="center"/>
          </w:tcPr>
          <w:p w14:paraId="2E8BDF28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抽查频次</w:t>
            </w:r>
          </w:p>
        </w:tc>
        <w:tc>
          <w:tcPr>
            <w:tcW w:w="906" w:type="dxa"/>
            <w:noWrap w:val="0"/>
            <w:vAlign w:val="center"/>
          </w:tcPr>
          <w:p w14:paraId="14ED0E70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检查方式</w:t>
            </w:r>
          </w:p>
        </w:tc>
        <w:tc>
          <w:tcPr>
            <w:tcW w:w="958" w:type="dxa"/>
            <w:noWrap w:val="0"/>
            <w:vAlign w:val="center"/>
          </w:tcPr>
          <w:p w14:paraId="410BD5F4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抽查时间</w:t>
            </w:r>
          </w:p>
        </w:tc>
        <w:tc>
          <w:tcPr>
            <w:tcW w:w="958" w:type="dxa"/>
            <w:noWrap w:val="0"/>
            <w:vAlign w:val="top"/>
          </w:tcPr>
          <w:p w14:paraId="31D92DB2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是否联合抽查</w:t>
            </w:r>
          </w:p>
        </w:tc>
      </w:tr>
      <w:tr w14:paraId="1D1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1FC19D1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2077F9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卫生健康委员会</w:t>
            </w:r>
          </w:p>
        </w:tc>
        <w:tc>
          <w:tcPr>
            <w:tcW w:w="1534" w:type="dxa"/>
            <w:noWrap w:val="0"/>
            <w:vAlign w:val="center"/>
          </w:tcPr>
          <w:p w14:paraId="249DEF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游艺娱乐场所、歌舞娱乐场所取得、公示相关许可证及其他情况的检查</w:t>
            </w:r>
          </w:p>
        </w:tc>
        <w:tc>
          <w:tcPr>
            <w:tcW w:w="2811" w:type="dxa"/>
            <w:noWrap w:val="0"/>
            <w:vAlign w:val="center"/>
          </w:tcPr>
          <w:p w14:paraId="7C29296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《娱乐场所管理条例》、《娱乐场所管理办法》</w:t>
            </w:r>
          </w:p>
        </w:tc>
        <w:tc>
          <w:tcPr>
            <w:tcW w:w="1365" w:type="dxa"/>
            <w:noWrap w:val="0"/>
            <w:vAlign w:val="center"/>
          </w:tcPr>
          <w:p w14:paraId="38B6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440DBAD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5960B48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21F6725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娱乐场所</w:t>
            </w:r>
          </w:p>
        </w:tc>
        <w:tc>
          <w:tcPr>
            <w:tcW w:w="696" w:type="dxa"/>
            <w:noWrap w:val="0"/>
            <w:vAlign w:val="center"/>
          </w:tcPr>
          <w:p w14:paraId="3CF306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4AF3576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22B43D0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123696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61C8163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center"/>
          </w:tcPr>
          <w:p w14:paraId="769D2B55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14:paraId="1F1E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7C0EA9F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</w:t>
            </w:r>
          </w:p>
        </w:tc>
        <w:tc>
          <w:tcPr>
            <w:tcW w:w="989" w:type="dxa"/>
            <w:noWrap w:val="0"/>
            <w:vAlign w:val="center"/>
          </w:tcPr>
          <w:p w14:paraId="1ED4989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1534" w:type="dxa"/>
            <w:noWrap w:val="0"/>
            <w:vAlign w:val="center"/>
          </w:tcPr>
          <w:p w14:paraId="77A28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旅行社取得许可证情况的检查；旅行社经营情况的检查；营业执照登记事项检查；执行政府定价、政府指导价情况，明码标价情况及其他价格行为的检查。</w:t>
            </w:r>
          </w:p>
          <w:p w14:paraId="291B7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31BB3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1DB0B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0F3855A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130796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《中华人民共和国旅游法》</w:t>
            </w:r>
          </w:p>
        </w:tc>
        <w:tc>
          <w:tcPr>
            <w:tcW w:w="1365" w:type="dxa"/>
            <w:noWrap w:val="0"/>
            <w:vAlign w:val="center"/>
          </w:tcPr>
          <w:p w14:paraId="4B2B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772A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3CB9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41D8E76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旅行社</w:t>
            </w:r>
          </w:p>
        </w:tc>
        <w:tc>
          <w:tcPr>
            <w:tcW w:w="696" w:type="dxa"/>
            <w:noWrap w:val="0"/>
            <w:vAlign w:val="center"/>
          </w:tcPr>
          <w:p w14:paraId="17F0DC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107BFBD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1EB106D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2CF9BB4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1D7995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center"/>
          </w:tcPr>
          <w:p w14:paraId="55F17983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3D60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  <w:jc w:val="center"/>
        </w:trPr>
        <w:tc>
          <w:tcPr>
            <w:tcW w:w="1037" w:type="dxa"/>
            <w:noWrap w:val="0"/>
            <w:vAlign w:val="center"/>
          </w:tcPr>
          <w:p w14:paraId="2CEE8676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9" w:type="dxa"/>
            <w:noWrap w:val="0"/>
            <w:vAlign w:val="center"/>
          </w:tcPr>
          <w:p w14:paraId="3D0188AA"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文化广电和旅游局、市场监督管理局</w:t>
            </w:r>
          </w:p>
        </w:tc>
        <w:tc>
          <w:tcPr>
            <w:tcW w:w="1534" w:type="dxa"/>
            <w:noWrap w:val="0"/>
            <w:vAlign w:val="center"/>
          </w:tcPr>
          <w:p w14:paraId="5F966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营业性演出经营活动从业单位取得许可证或备案情况的检查；营业性演出经营活动从业单位经营情况的检查；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营业执照登记事项检查</w:t>
            </w:r>
          </w:p>
          <w:p w14:paraId="6B8CF46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658F387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《营业性演出管理条例》、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《营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业性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演出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管理条例实施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细则》</w:t>
            </w:r>
          </w:p>
        </w:tc>
        <w:tc>
          <w:tcPr>
            <w:tcW w:w="1365" w:type="dxa"/>
            <w:noWrap w:val="0"/>
            <w:vAlign w:val="center"/>
          </w:tcPr>
          <w:p w14:paraId="620A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31AEFF2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5F24259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1D0138B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营业性演出从业单位</w:t>
            </w:r>
          </w:p>
        </w:tc>
        <w:tc>
          <w:tcPr>
            <w:tcW w:w="696" w:type="dxa"/>
            <w:noWrap w:val="0"/>
            <w:vAlign w:val="center"/>
          </w:tcPr>
          <w:p w14:paraId="2527C3FE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6968D175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019E7248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665E64B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7283579B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44D08D40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6C17AC21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7D859173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31E6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7E1F893D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9" w:type="dxa"/>
            <w:noWrap w:val="0"/>
            <w:vAlign w:val="center"/>
          </w:tcPr>
          <w:p w14:paraId="6BD4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文化广电和旅游局、消防救援大队</w:t>
            </w:r>
          </w:p>
        </w:tc>
        <w:tc>
          <w:tcPr>
            <w:tcW w:w="1534" w:type="dxa"/>
            <w:noWrap w:val="0"/>
            <w:vAlign w:val="center"/>
          </w:tcPr>
          <w:p w14:paraId="2212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  <w:t>许可证经营情况、取得情况的检查；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消防情况的检查</w:t>
            </w:r>
          </w:p>
          <w:p w14:paraId="5D55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 w14:paraId="3A59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《互联网上网服务营业场所管理条例》</w:t>
            </w:r>
          </w:p>
        </w:tc>
        <w:tc>
          <w:tcPr>
            <w:tcW w:w="1365" w:type="dxa"/>
            <w:noWrap w:val="0"/>
            <w:vAlign w:val="center"/>
          </w:tcPr>
          <w:p w14:paraId="3B4A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7DB1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226E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5448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互联网上网服务经营单位</w:t>
            </w:r>
          </w:p>
        </w:tc>
        <w:tc>
          <w:tcPr>
            <w:tcW w:w="696" w:type="dxa"/>
            <w:noWrap w:val="0"/>
            <w:vAlign w:val="center"/>
          </w:tcPr>
          <w:p w14:paraId="2C3FC359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4A65300F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10FF8D44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682262B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4595FD56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27E2E867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62A81D3D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1C38160D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34BE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6A16E0E5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9" w:type="dxa"/>
            <w:noWrap w:val="0"/>
            <w:vAlign w:val="center"/>
          </w:tcPr>
          <w:p w14:paraId="3CA257C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1534" w:type="dxa"/>
            <w:noWrap w:val="0"/>
            <w:vAlign w:val="center"/>
          </w:tcPr>
          <w:p w14:paraId="27187E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对旅游企业旅游</w:t>
            </w:r>
          </w:p>
          <w:p w14:paraId="7E1E2E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安全监督检查</w:t>
            </w:r>
          </w:p>
        </w:tc>
        <w:tc>
          <w:tcPr>
            <w:tcW w:w="2811" w:type="dxa"/>
            <w:noWrap w:val="0"/>
            <w:vAlign w:val="center"/>
          </w:tcPr>
          <w:p w14:paraId="18110A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《中华人民共和国旅游法》</w:t>
            </w:r>
          </w:p>
        </w:tc>
        <w:tc>
          <w:tcPr>
            <w:tcW w:w="1365" w:type="dxa"/>
            <w:noWrap w:val="0"/>
            <w:vAlign w:val="center"/>
          </w:tcPr>
          <w:p w14:paraId="62CE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46DD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6570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38D83E5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旅游企业</w:t>
            </w:r>
          </w:p>
        </w:tc>
        <w:tc>
          <w:tcPr>
            <w:tcW w:w="696" w:type="dxa"/>
            <w:noWrap w:val="0"/>
            <w:vAlign w:val="center"/>
          </w:tcPr>
          <w:p w14:paraId="7767C905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2A59E65B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443AB268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5A6F26B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0459FA1A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7BE41AED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7FF78567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0A6A50A1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62BEAF98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42E4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6258B486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9" w:type="dxa"/>
            <w:noWrap w:val="0"/>
            <w:vAlign w:val="center"/>
          </w:tcPr>
          <w:p w14:paraId="79E79733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1534" w:type="dxa"/>
            <w:noWrap w:val="0"/>
            <w:vAlign w:val="center"/>
          </w:tcPr>
          <w:p w14:paraId="3CF23BFF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对违反国家有关规定擅自举办艺术类学生校外培训机构行为的检查</w:t>
            </w:r>
          </w:p>
        </w:tc>
        <w:tc>
          <w:tcPr>
            <w:tcW w:w="2811" w:type="dxa"/>
            <w:noWrap w:val="0"/>
            <w:vAlign w:val="center"/>
          </w:tcPr>
          <w:p w14:paraId="4BA20870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《洛阳市偃师区文化艺术类校外培训机构设置和管理工作细则（试行）》</w:t>
            </w:r>
          </w:p>
        </w:tc>
        <w:tc>
          <w:tcPr>
            <w:tcW w:w="1365" w:type="dxa"/>
            <w:noWrap w:val="0"/>
            <w:vAlign w:val="center"/>
          </w:tcPr>
          <w:p w14:paraId="1FC0D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1E31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2873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6E5C5AE9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名称中含有“教育”字样的市场主体检查</w:t>
            </w:r>
          </w:p>
        </w:tc>
        <w:tc>
          <w:tcPr>
            <w:tcW w:w="696" w:type="dxa"/>
            <w:noWrap w:val="0"/>
            <w:vAlign w:val="center"/>
          </w:tcPr>
          <w:p w14:paraId="24521257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0B02AAFF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20AD5D26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340CC97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33553CD4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30B473A6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2D5523D5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  <w:p w14:paraId="7B0C1A54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4DA5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3C57E24B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9" w:type="dxa"/>
            <w:noWrap w:val="0"/>
            <w:vAlign w:val="center"/>
          </w:tcPr>
          <w:p w14:paraId="7F96085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1534" w:type="dxa"/>
            <w:noWrap w:val="0"/>
            <w:vAlign w:val="center"/>
          </w:tcPr>
          <w:p w14:paraId="789FB36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艺术类学生校外培训机构“双减”政策落实情况检查</w:t>
            </w:r>
          </w:p>
        </w:tc>
        <w:tc>
          <w:tcPr>
            <w:tcW w:w="2811" w:type="dxa"/>
            <w:noWrap w:val="0"/>
            <w:vAlign w:val="center"/>
          </w:tcPr>
          <w:p w14:paraId="31080F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《关于进一步减轻义务教育阶段学生作业负担和校外培训负担的意见》《洛阳市偃师区文化艺术类校外培训机构设置和管理工作细则（试行）》</w:t>
            </w:r>
          </w:p>
        </w:tc>
        <w:tc>
          <w:tcPr>
            <w:tcW w:w="1365" w:type="dxa"/>
            <w:noWrap w:val="0"/>
            <w:vAlign w:val="center"/>
          </w:tcPr>
          <w:p w14:paraId="65BA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2A837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0EEB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3A675B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艺术类校外培训机构</w:t>
            </w:r>
          </w:p>
        </w:tc>
        <w:tc>
          <w:tcPr>
            <w:tcW w:w="696" w:type="dxa"/>
            <w:noWrap w:val="0"/>
            <w:vAlign w:val="center"/>
          </w:tcPr>
          <w:p w14:paraId="27DF7303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6D9F6E91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3A05E6D5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153D778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7AC007A2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67151DBF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是</w:t>
            </w:r>
          </w:p>
        </w:tc>
      </w:tr>
      <w:tr w14:paraId="0F91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3E2F2480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9" w:type="dxa"/>
            <w:noWrap w:val="0"/>
            <w:vAlign w:val="center"/>
          </w:tcPr>
          <w:p w14:paraId="364230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市场监督管理局</w:t>
            </w:r>
          </w:p>
        </w:tc>
        <w:tc>
          <w:tcPr>
            <w:tcW w:w="1534" w:type="dxa"/>
            <w:noWrap w:val="0"/>
            <w:vAlign w:val="center"/>
          </w:tcPr>
          <w:p w14:paraId="06F573E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印刷企业</w:t>
            </w:r>
          </w:p>
        </w:tc>
        <w:tc>
          <w:tcPr>
            <w:tcW w:w="2811" w:type="dxa"/>
            <w:noWrap w:val="0"/>
            <w:vAlign w:val="center"/>
          </w:tcPr>
          <w:p w14:paraId="2794C25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印刷企业管理条例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》</w:t>
            </w:r>
          </w:p>
        </w:tc>
        <w:tc>
          <w:tcPr>
            <w:tcW w:w="1365" w:type="dxa"/>
            <w:noWrap w:val="0"/>
            <w:vAlign w:val="center"/>
          </w:tcPr>
          <w:p w14:paraId="73C2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3CCB45B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70EA71B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5058F82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印刷企业（单位）</w:t>
            </w:r>
          </w:p>
        </w:tc>
        <w:tc>
          <w:tcPr>
            <w:tcW w:w="696" w:type="dxa"/>
            <w:noWrap w:val="0"/>
            <w:vAlign w:val="center"/>
          </w:tcPr>
          <w:p w14:paraId="4C67EB86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40F5ACB9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0003EF44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1B80F83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55569C36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452A1488">
            <w:pPr>
              <w:widowControl/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F3E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4C3A1C2B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9" w:type="dxa"/>
            <w:noWrap w:val="0"/>
            <w:vAlign w:val="center"/>
          </w:tcPr>
          <w:p w14:paraId="1190336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540" w:leftChars="0" w:right="0" w:rightChars="0" w:hanging="540" w:hangingChars="300"/>
              <w:jc w:val="both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文化广电和旅游局市场监管局</w:t>
            </w:r>
          </w:p>
        </w:tc>
        <w:tc>
          <w:tcPr>
            <w:tcW w:w="1534" w:type="dxa"/>
            <w:noWrap w:val="0"/>
            <w:vAlign w:val="center"/>
          </w:tcPr>
          <w:p w14:paraId="627E33C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出版物市场检查</w:t>
            </w:r>
          </w:p>
        </w:tc>
        <w:tc>
          <w:tcPr>
            <w:tcW w:w="2811" w:type="dxa"/>
            <w:noWrap w:val="0"/>
            <w:vAlign w:val="center"/>
          </w:tcPr>
          <w:p w14:paraId="463330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《出版物市场管理规定》</w:t>
            </w:r>
          </w:p>
        </w:tc>
        <w:tc>
          <w:tcPr>
            <w:tcW w:w="1365" w:type="dxa"/>
            <w:noWrap w:val="0"/>
            <w:vAlign w:val="center"/>
          </w:tcPr>
          <w:p w14:paraId="0459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4D79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1242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1BF5A929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国内版出版物批发、零售单位</w:t>
            </w:r>
          </w:p>
        </w:tc>
        <w:tc>
          <w:tcPr>
            <w:tcW w:w="696" w:type="dxa"/>
            <w:noWrap w:val="0"/>
            <w:vAlign w:val="center"/>
          </w:tcPr>
          <w:p w14:paraId="2A979B5B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37D385AC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3AFEDE18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5A21515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65FE02E0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6E100DF9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710F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02A7281F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9" w:type="dxa"/>
            <w:noWrap w:val="0"/>
            <w:vAlign w:val="center"/>
          </w:tcPr>
          <w:p w14:paraId="3DA1390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</w:t>
            </w:r>
          </w:p>
        </w:tc>
        <w:tc>
          <w:tcPr>
            <w:tcW w:w="1534" w:type="dxa"/>
            <w:noWrap w:val="0"/>
            <w:vAlign w:val="center"/>
          </w:tcPr>
          <w:p w14:paraId="7551419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广播电视播出机构广告播出监督检查</w:t>
            </w:r>
          </w:p>
        </w:tc>
        <w:tc>
          <w:tcPr>
            <w:tcW w:w="2811" w:type="dxa"/>
            <w:noWrap w:val="0"/>
            <w:vAlign w:val="center"/>
          </w:tcPr>
          <w:p w14:paraId="7AC8845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《中华人民共和国广告法》、《广播电视管理条例》</w:t>
            </w:r>
          </w:p>
        </w:tc>
        <w:tc>
          <w:tcPr>
            <w:tcW w:w="1365" w:type="dxa"/>
            <w:noWrap w:val="0"/>
            <w:vAlign w:val="center"/>
          </w:tcPr>
          <w:p w14:paraId="574E5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5624F68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041AF9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20AEECD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  <w:t>广播电视广告播出单位</w:t>
            </w:r>
          </w:p>
        </w:tc>
        <w:tc>
          <w:tcPr>
            <w:tcW w:w="696" w:type="dxa"/>
            <w:noWrap w:val="0"/>
            <w:vAlign w:val="center"/>
          </w:tcPr>
          <w:p w14:paraId="5E04D603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6BAAC46E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0C82B825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0D14E7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0BA5D767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30FB7280"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218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1741232F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9" w:type="dxa"/>
            <w:noWrap w:val="0"/>
            <w:vAlign w:val="center"/>
          </w:tcPr>
          <w:p w14:paraId="443C0983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</w:t>
            </w:r>
          </w:p>
        </w:tc>
        <w:tc>
          <w:tcPr>
            <w:tcW w:w="1534" w:type="dxa"/>
            <w:noWrap w:val="0"/>
            <w:vAlign w:val="center"/>
          </w:tcPr>
          <w:p w14:paraId="5D04291D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从事电影发行、放映等活动检查</w:t>
            </w:r>
          </w:p>
        </w:tc>
        <w:tc>
          <w:tcPr>
            <w:tcW w:w="2811" w:type="dxa"/>
            <w:noWrap w:val="0"/>
            <w:vAlign w:val="center"/>
          </w:tcPr>
          <w:p w14:paraId="73E5031D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《电影产业促进法》</w:t>
            </w:r>
          </w:p>
        </w:tc>
        <w:tc>
          <w:tcPr>
            <w:tcW w:w="1365" w:type="dxa"/>
            <w:noWrap w:val="0"/>
            <w:vAlign w:val="center"/>
          </w:tcPr>
          <w:p w14:paraId="622F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6C50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01C7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70771A1A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电影活动的公民、法人和其他组织</w:t>
            </w:r>
          </w:p>
        </w:tc>
        <w:tc>
          <w:tcPr>
            <w:tcW w:w="696" w:type="dxa"/>
            <w:noWrap w:val="0"/>
            <w:vAlign w:val="center"/>
          </w:tcPr>
          <w:p w14:paraId="7BA4947D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2F055FE8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4EE6D188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2C309FE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112CDDC1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02A7F161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CDA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atLeast"/>
          <w:jc w:val="center"/>
        </w:trPr>
        <w:tc>
          <w:tcPr>
            <w:tcW w:w="1037" w:type="dxa"/>
            <w:noWrap w:val="0"/>
            <w:vAlign w:val="center"/>
          </w:tcPr>
          <w:p w14:paraId="23309DD4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9" w:type="dxa"/>
            <w:noWrap w:val="0"/>
            <w:vAlign w:val="center"/>
          </w:tcPr>
          <w:p w14:paraId="27812F9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</w:t>
            </w:r>
          </w:p>
        </w:tc>
        <w:tc>
          <w:tcPr>
            <w:tcW w:w="1534" w:type="dxa"/>
            <w:noWrap w:val="0"/>
            <w:vAlign w:val="center"/>
          </w:tcPr>
          <w:p w14:paraId="5804CFF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宾馆、酒店接收、传送境外电视节目情况的检查</w:t>
            </w:r>
          </w:p>
        </w:tc>
        <w:tc>
          <w:tcPr>
            <w:tcW w:w="2811" w:type="dxa"/>
            <w:noWrap w:val="0"/>
            <w:vAlign w:val="center"/>
          </w:tcPr>
          <w:p w14:paraId="31D27CD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《卫星电视广播地面接收设施管理规定》</w:t>
            </w:r>
          </w:p>
        </w:tc>
        <w:tc>
          <w:tcPr>
            <w:tcW w:w="1365" w:type="dxa"/>
            <w:noWrap w:val="0"/>
            <w:vAlign w:val="center"/>
          </w:tcPr>
          <w:p w14:paraId="4351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090" w:type="dxa"/>
            <w:noWrap w:val="0"/>
            <w:vAlign w:val="center"/>
          </w:tcPr>
          <w:p w14:paraId="42D0797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5B6FEB8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181" w:type="dxa"/>
            <w:noWrap w:val="0"/>
            <w:vAlign w:val="center"/>
          </w:tcPr>
          <w:p w14:paraId="19EA1DC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宾馆、酒店</w:t>
            </w:r>
          </w:p>
        </w:tc>
        <w:tc>
          <w:tcPr>
            <w:tcW w:w="696" w:type="dxa"/>
            <w:noWrap w:val="0"/>
            <w:vAlign w:val="center"/>
          </w:tcPr>
          <w:p w14:paraId="03234A19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 w14:paraId="1E92F9A0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次/年</w:t>
            </w:r>
          </w:p>
        </w:tc>
        <w:tc>
          <w:tcPr>
            <w:tcW w:w="906" w:type="dxa"/>
            <w:noWrap w:val="0"/>
            <w:vAlign w:val="center"/>
          </w:tcPr>
          <w:p w14:paraId="4BE1D02A">
            <w:pPr>
              <w:widowControl/>
              <w:snapToGrid w:val="0"/>
              <w:spacing w:line="24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现场检查</w:t>
            </w:r>
          </w:p>
        </w:tc>
        <w:tc>
          <w:tcPr>
            <w:tcW w:w="958" w:type="dxa"/>
            <w:noWrap w:val="0"/>
            <w:vAlign w:val="center"/>
          </w:tcPr>
          <w:p w14:paraId="4BB61F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  <w:p w14:paraId="4A717130">
            <w:pPr>
              <w:widowControl/>
              <w:snapToGrid w:val="0"/>
              <w:spacing w:line="340" w:lineRule="exact"/>
              <w:ind w:left="0" w:leftChars="0" w:firstLine="18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至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月</w:t>
            </w:r>
          </w:p>
        </w:tc>
        <w:tc>
          <w:tcPr>
            <w:tcW w:w="958" w:type="dxa"/>
            <w:noWrap w:val="0"/>
            <w:vAlign w:val="top"/>
          </w:tcPr>
          <w:p w14:paraId="147DD438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CCE1FE9">
      <w:pPr>
        <w:spacing w:line="100" w:lineRule="exact"/>
        <w:rPr>
          <w:rFonts w:hint="eastAsia" w:eastAsia="仿宋_GB2312"/>
          <w:sz w:val="18"/>
          <w:szCs w:val="18"/>
        </w:rPr>
      </w:pPr>
    </w:p>
    <w:p w14:paraId="64A57F9D">
      <w:pPr>
        <w:ind w:firstLine="480" w:firstLineChars="200"/>
        <w:rPr>
          <w:b w:val="0"/>
          <w:bCs w:val="0"/>
          <w:sz w:val="24"/>
          <w:szCs w:val="24"/>
        </w:rPr>
      </w:pPr>
      <w:r>
        <w:rPr>
          <w:rFonts w:hint="eastAsia" w:eastAsia="仿宋_GB2312"/>
          <w:b w:val="0"/>
          <w:bCs w:val="0"/>
          <w:sz w:val="24"/>
          <w:szCs w:val="24"/>
        </w:rPr>
        <w:t>备注：“事项类别”分为一般检查事项和重点检查事项，“检查方式”包括现场检查、书面检查、委托第三方机构检查等。联合抽查事项应当将涉及部门在“部门名称”和“检查主体”中全部列出。</w:t>
      </w:r>
    </w:p>
    <w:p w14:paraId="6F10B6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8282">
    <w:pPr>
      <w:widowControl w:val="0"/>
      <w:spacing w:line="1" w:lineRule="exact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F1785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F1785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78BE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0DEF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0DEF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9608185</wp:posOffset>
              </wp:positionV>
              <wp:extent cx="527050" cy="121920"/>
              <wp:effectExtent l="0" t="0" r="0" b="0"/>
              <wp:wrapNone/>
              <wp:docPr id="4099" name="矩形 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0" cy="1219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50BB0D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81828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en-US" w:eastAsia="en-US" w:bidi="en-US"/>
                            </w:rPr>
                            <w:t xml:space="preserve">—4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1828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0.75pt;margin-top:756.55pt;height:9.6pt;width:4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caoxdgAAAANAQAADwAAAAAAAAABACAAAAAiAAAAZHJzL2Rvd25y&#10;ZXYueG1sUEsBAhQAFAAAAAgAh07iQIBF5PrFAQAAkgMAAA4AAAAAAAAAAQAgAAAAJ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0BB0D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81828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en-US" w:eastAsia="en-US" w:bidi="en-US"/>
                      </w:rPr>
                      <w:t xml:space="preserve">—4 </w:t>
                    </w:r>
                    <w:r>
                      <w:rPr>
                        <w:rFonts w:ascii="Times New Roman" w:hAnsi="Times New Roman" w:eastAsia="Times New Roman" w:cs="Times New Roman"/>
                        <w:color w:val="81828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26F8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93C83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3C83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6052185</wp:posOffset>
              </wp:positionH>
              <wp:positionV relativeFrom="page">
                <wp:posOffset>9632315</wp:posOffset>
              </wp:positionV>
              <wp:extent cx="530225" cy="118745"/>
              <wp:effectExtent l="0" t="0" r="0" b="0"/>
              <wp:wrapNone/>
              <wp:docPr id="4101" name="矩形 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25" cy="1187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E46FF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76.55pt;margin-top:758.45pt;height:9.35pt;width:41.7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WyJdzZAAAADgEAAA8AAAAAAAAAAQAgAAAAIgAAAGRycy9kb3du&#10;cmV2LnhtbFBLAQIUABQAAAAIAIdO4kDK+2YUxQEAAJIDAAAOAAAAAAAAAAEAIAAAACg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46FF7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TQ4NmViYTkzMGY1N2FmZTE1Y2JlM2NkZTEwYjEifQ=="/>
  </w:docVars>
  <w:rsids>
    <w:rsidRoot w:val="00000000"/>
    <w:rsid w:val="5DC1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21" w:firstLineChars="200"/>
    </w:pPr>
    <w:rPr>
      <w:rFonts w:ascii="Times New Roman" w:hAnsi="Times New Roman" w:eastAsia="宋体" w:cs="宋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FFFFFF"/>
      <w:spacing w:line="374" w:lineRule="auto"/>
      <w:ind w:firstLine="400"/>
    </w:pPr>
    <w:rPr>
      <w:rFonts w:ascii="宋体" w:hAnsi="宋体" w:eastAsia="宋体" w:cs="宋体"/>
      <w:sz w:val="32"/>
      <w:szCs w:val="32"/>
      <w:u w:val="none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FFFFFF"/>
      <w:spacing w:line="240" w:lineRule="exact"/>
      <w:jc w:val="center"/>
    </w:pPr>
    <w:rPr>
      <w:rFonts w:ascii="宋体" w:hAnsi="宋体" w:eastAsia="宋体" w:cs="宋体"/>
      <w:color w:val="616974"/>
      <w:sz w:val="18"/>
      <w:szCs w:val="18"/>
      <w:u w:val="none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FFFFFF"/>
    </w:pPr>
    <w:rPr>
      <w:sz w:val="20"/>
      <w:szCs w:val="20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2024-11-05T08:05:56Z</dcterms:created>
  <dc:creator>Administrator</dc:creator>
  <cp:lastModifiedBy>Administrator</cp:lastModifiedBy>
  <dcterms:modified xsi:type="dcterms:W3CDTF">2024-11-05T08:07:59Z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0A3A3CC1BD654545A09AD9E7F89A9E56_12</vt:lpwstr>
  </property>
</Properties>
</file>