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6220">
      <w:pPr>
        <w:pStyle w:val="2"/>
        <w:spacing w:line="259" w:lineRule="auto"/>
      </w:pPr>
    </w:p>
    <w:p w14:paraId="1325808B">
      <w:pPr>
        <w:pStyle w:val="2"/>
        <w:spacing w:line="260" w:lineRule="auto"/>
      </w:pPr>
    </w:p>
    <w:p w14:paraId="3A929BB6">
      <w:pPr>
        <w:pStyle w:val="2"/>
        <w:spacing w:line="260" w:lineRule="auto"/>
      </w:pPr>
    </w:p>
    <w:p w14:paraId="7BBE11A4">
      <w:pPr>
        <w:pStyle w:val="2"/>
        <w:spacing w:line="260" w:lineRule="auto"/>
      </w:pPr>
    </w:p>
    <w:p w14:paraId="376871C7">
      <w:pPr>
        <w:pStyle w:val="2"/>
        <w:spacing w:line="260" w:lineRule="auto"/>
      </w:pPr>
    </w:p>
    <w:p w14:paraId="224687E4">
      <w:pPr>
        <w:pStyle w:val="2"/>
        <w:spacing w:line="260" w:lineRule="auto"/>
      </w:pPr>
    </w:p>
    <w:p w14:paraId="013098A9">
      <w:pPr>
        <w:pStyle w:val="2"/>
        <w:spacing w:line="260" w:lineRule="auto"/>
      </w:pPr>
    </w:p>
    <w:p w14:paraId="52972E75">
      <w:pPr>
        <w:pStyle w:val="2"/>
        <w:spacing w:line="260" w:lineRule="auto"/>
      </w:pPr>
    </w:p>
    <w:p w14:paraId="1AD3D2D5">
      <w:pPr>
        <w:pStyle w:val="2"/>
        <w:spacing w:line="255" w:lineRule="auto"/>
      </w:pPr>
    </w:p>
    <w:p w14:paraId="087E6F9C">
      <w:pPr>
        <w:spacing w:line="60" w:lineRule="exact"/>
        <w:ind w:firstLine="200"/>
      </w:pPr>
    </w:p>
    <w:p w14:paraId="4EC48C6A">
      <w:pPr>
        <w:spacing w:before="160" w:line="311" w:lineRule="auto"/>
        <w:ind w:firstLine="418" w:firstLineChars="100"/>
        <w:jc w:val="center"/>
        <w:rPr>
          <w:rFonts w:ascii="宋体" w:hAnsi="宋体" w:eastAsia="宋体" w:cs="宋体"/>
          <w:b/>
          <w:bCs/>
          <w:spacing w:val="-44"/>
          <w:sz w:val="47"/>
          <w:szCs w:val="47"/>
        </w:rPr>
      </w:pPr>
      <w:r>
        <w:rPr>
          <w:rFonts w:hint="eastAsia" w:ascii="宋体" w:hAnsi="宋体" w:eastAsia="宋体" w:cs="宋体"/>
          <w:b/>
          <w:bCs/>
          <w:spacing w:val="-32"/>
          <w:sz w:val="48"/>
          <w:szCs w:val="48"/>
        </w:rPr>
        <w:t>洛阳市</w:t>
      </w:r>
      <w:r>
        <w:rPr>
          <w:rFonts w:hint="eastAsia" w:ascii="宋体" w:hAnsi="宋体" w:eastAsia="宋体" w:cs="宋体"/>
          <w:b/>
          <w:bCs/>
          <w:spacing w:val="-32"/>
          <w:sz w:val="48"/>
          <w:szCs w:val="48"/>
          <w:lang w:val="en-US" w:eastAsia="zh-CN"/>
        </w:rPr>
        <w:t>偃师区工业信息化和商务局</w:t>
      </w:r>
      <w:r>
        <w:rPr>
          <w:rFonts w:hint="eastAsia" w:ascii="宋体" w:hAnsi="宋体" w:eastAsia="宋体" w:cs="宋体"/>
          <w:b/>
          <w:bCs/>
          <w:spacing w:val="-32"/>
          <w:sz w:val="48"/>
          <w:szCs w:val="48"/>
        </w:rPr>
        <w:t xml:space="preserve">关于印发《触发式“双随机、一公开”监管工作细则》                                        </w:t>
      </w:r>
      <w:r>
        <w:rPr>
          <w:rFonts w:hint="eastAsia" w:ascii="宋体" w:hAnsi="宋体" w:eastAsia="宋体" w:cs="宋体"/>
          <w:b/>
          <w:bCs/>
          <w:spacing w:val="-32"/>
          <w:sz w:val="48"/>
          <w:szCs w:val="4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pacing w:val="-32"/>
          <w:sz w:val="48"/>
          <w:szCs w:val="48"/>
        </w:rPr>
        <w:t>的通知</w:t>
      </w:r>
    </w:p>
    <w:p w14:paraId="5994F2B3">
      <w:pPr>
        <w:pStyle w:val="2"/>
        <w:spacing w:line="320" w:lineRule="auto"/>
      </w:pPr>
    </w:p>
    <w:p w14:paraId="4A5F40E2">
      <w:pPr>
        <w:spacing w:before="195" w:line="331" w:lineRule="auto"/>
        <w:jc w:val="both"/>
        <w:rPr>
          <w:rFonts w:ascii="仿宋" w:hAnsi="仿宋" w:eastAsia="仿宋" w:cs="仿宋"/>
          <w:spacing w:val="-8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各有关单位：</w:t>
      </w:r>
    </w:p>
    <w:p w14:paraId="34BB2FB2">
      <w:pPr>
        <w:spacing w:before="195" w:line="331" w:lineRule="auto"/>
        <w:ind w:firstLine="664"/>
        <w:jc w:val="both"/>
        <w:rPr>
          <w:rFonts w:ascii="仿宋" w:hAnsi="仿宋" w:eastAsia="仿宋" w:cs="仿宋"/>
          <w:spacing w:val="-8"/>
          <w:sz w:val="33"/>
          <w:szCs w:val="33"/>
        </w:rPr>
      </w:pPr>
      <w:r>
        <w:rPr>
          <w:rFonts w:hint="eastAsia" w:ascii="仿宋" w:hAnsi="仿宋" w:eastAsia="仿宋" w:cs="仿宋"/>
          <w:spacing w:val="-8"/>
          <w:sz w:val="33"/>
          <w:szCs w:val="33"/>
          <w:lang w:val="en-US" w:eastAsia="zh-CN"/>
        </w:rPr>
        <w:t>经局党组研究决定，</w:t>
      </w:r>
      <w:r>
        <w:rPr>
          <w:rFonts w:ascii="仿宋" w:hAnsi="仿宋" w:eastAsia="仿宋" w:cs="仿宋"/>
          <w:spacing w:val="-8"/>
          <w:sz w:val="33"/>
          <w:szCs w:val="33"/>
        </w:rPr>
        <w:t>现将《触发式“双随机、一公开”监管工作细则》印发给你们，请你们结合实际，认真做好“双随机、一公开” 监管工作。</w:t>
      </w:r>
    </w:p>
    <w:p w14:paraId="1970C0C4">
      <w:pPr>
        <w:spacing w:before="195" w:line="331" w:lineRule="auto"/>
        <w:ind w:firstLine="664"/>
        <w:jc w:val="both"/>
        <w:rPr>
          <w:rFonts w:ascii="仿宋" w:hAnsi="仿宋" w:eastAsia="仿宋" w:cs="仿宋"/>
          <w:spacing w:val="-8"/>
          <w:sz w:val="33"/>
          <w:szCs w:val="33"/>
        </w:rPr>
      </w:pPr>
    </w:p>
    <w:p w14:paraId="2D0482A3">
      <w:pPr>
        <w:spacing w:before="195" w:line="331" w:lineRule="auto"/>
        <w:ind w:firstLine="664"/>
        <w:jc w:val="both"/>
        <w:rPr>
          <w:rFonts w:ascii="仿宋" w:hAnsi="仿宋" w:eastAsia="仿宋" w:cs="仿宋"/>
          <w:spacing w:val="-8"/>
          <w:sz w:val="33"/>
          <w:szCs w:val="33"/>
        </w:rPr>
      </w:pPr>
    </w:p>
    <w:p w14:paraId="3F12E1CC">
      <w:pPr>
        <w:spacing w:before="195" w:line="331" w:lineRule="auto"/>
        <w:ind w:firstLine="664"/>
        <w:jc w:val="both"/>
        <w:rPr>
          <w:rFonts w:ascii="仿宋" w:hAnsi="仿宋" w:eastAsia="仿宋" w:cs="仿宋"/>
          <w:spacing w:val="-8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附件：《触发式“双随机、一公开”监管工作细 则》</w:t>
      </w:r>
    </w:p>
    <w:p w14:paraId="2366581D">
      <w:pPr>
        <w:spacing w:before="195" w:line="331" w:lineRule="auto"/>
        <w:ind w:firstLine="664"/>
        <w:jc w:val="both"/>
        <w:rPr>
          <w:rFonts w:ascii="仿宋" w:hAnsi="仿宋" w:eastAsia="仿宋" w:cs="仿宋"/>
          <w:spacing w:val="-8"/>
          <w:sz w:val="33"/>
          <w:szCs w:val="33"/>
        </w:rPr>
      </w:pPr>
    </w:p>
    <w:p w14:paraId="3B47451E">
      <w:pPr>
        <w:spacing w:before="195" w:line="331" w:lineRule="auto"/>
        <w:ind w:firstLine="6317" w:firstLineChars="2012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8"/>
          <w:sz w:val="33"/>
          <w:szCs w:val="33"/>
        </w:rPr>
        <w:t>202</w:t>
      </w:r>
      <w:r>
        <w:rPr>
          <w:rFonts w:hint="eastAsia" w:ascii="仿宋" w:hAnsi="仿宋" w:eastAsia="仿宋" w:cs="仿宋"/>
          <w:spacing w:val="-8"/>
          <w:sz w:val="33"/>
          <w:szCs w:val="33"/>
          <w:lang w:val="en-US" w:eastAsia="zh-CN"/>
        </w:rPr>
        <w:t>4</w:t>
      </w:r>
      <w:r>
        <w:rPr>
          <w:rFonts w:ascii="仿宋" w:hAnsi="仿宋" w:eastAsia="仿宋" w:cs="仿宋"/>
          <w:spacing w:val="-8"/>
          <w:sz w:val="33"/>
          <w:szCs w:val="33"/>
        </w:rPr>
        <w:t>年</w:t>
      </w:r>
      <w:r>
        <w:rPr>
          <w:rFonts w:hint="eastAsia" w:ascii="仿宋" w:hAnsi="仿宋" w:eastAsia="仿宋" w:cs="仿宋"/>
          <w:spacing w:val="-8"/>
          <w:sz w:val="33"/>
          <w:szCs w:val="33"/>
          <w:lang w:val="en-US" w:eastAsia="zh-CN"/>
        </w:rPr>
        <w:t>3</w:t>
      </w:r>
      <w:r>
        <w:rPr>
          <w:rFonts w:ascii="仿宋" w:hAnsi="仿宋" w:eastAsia="仿宋" w:cs="仿宋"/>
          <w:spacing w:val="-8"/>
          <w:sz w:val="33"/>
          <w:szCs w:val="33"/>
        </w:rPr>
        <w:t>月</w:t>
      </w:r>
      <w:r>
        <w:rPr>
          <w:rFonts w:hint="eastAsia" w:ascii="仿宋" w:hAnsi="仿宋" w:eastAsia="仿宋" w:cs="仿宋"/>
          <w:spacing w:val="-8"/>
          <w:sz w:val="33"/>
          <w:szCs w:val="33"/>
          <w:lang w:val="en-US" w:eastAsia="zh-CN"/>
        </w:rPr>
        <w:t>19</w:t>
      </w:r>
      <w:r>
        <w:rPr>
          <w:rFonts w:ascii="仿宋" w:hAnsi="仿宋" w:eastAsia="仿宋" w:cs="仿宋"/>
          <w:spacing w:val="-8"/>
          <w:sz w:val="33"/>
          <w:szCs w:val="33"/>
        </w:rPr>
        <w:t>日</w:t>
      </w:r>
    </w:p>
    <w:p w14:paraId="53B9DA23">
      <w:pPr>
        <w:spacing w:line="222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10" w:h="16840"/>
          <w:pgMar w:top="1431" w:right="1084" w:bottom="1375" w:left="1499" w:header="0" w:footer="1057" w:gutter="0"/>
          <w:cols w:space="720" w:num="1"/>
        </w:sectPr>
      </w:pPr>
    </w:p>
    <w:p w14:paraId="5BBFAB46">
      <w:pPr>
        <w:spacing w:before="2"/>
      </w:pPr>
    </w:p>
    <w:p w14:paraId="153933D3">
      <w:pPr>
        <w:spacing w:before="2"/>
      </w:pPr>
    </w:p>
    <w:p w14:paraId="3A72521B">
      <w:pPr>
        <w:spacing w:before="2"/>
      </w:pPr>
    </w:p>
    <w:p w14:paraId="061AC7B0">
      <w:pPr>
        <w:spacing w:before="2"/>
      </w:pPr>
    </w:p>
    <w:p w14:paraId="19A26C14">
      <w:pPr>
        <w:spacing w:before="2"/>
      </w:pPr>
    </w:p>
    <w:p w14:paraId="7F93B988">
      <w:pPr>
        <w:spacing w:before="2"/>
      </w:pPr>
    </w:p>
    <w:p w14:paraId="52E9A6DC">
      <w:pPr>
        <w:spacing w:before="2"/>
      </w:pPr>
    </w:p>
    <w:p w14:paraId="4F10545E">
      <w:pPr>
        <w:spacing w:before="1"/>
      </w:pPr>
    </w:p>
    <w:p w14:paraId="17C3E876">
      <w:pPr>
        <w:spacing w:before="1"/>
      </w:pPr>
    </w:p>
    <w:p w14:paraId="26A3F2F6">
      <w:pPr>
        <w:spacing w:before="1"/>
      </w:pPr>
    </w:p>
    <w:p w14:paraId="2B57B685">
      <w:pPr>
        <w:spacing w:before="1"/>
      </w:pPr>
    </w:p>
    <w:p w14:paraId="146C3653">
      <w:pPr>
        <w:spacing w:before="1"/>
      </w:pPr>
    </w:p>
    <w:p w14:paraId="592D2B16">
      <w:pPr>
        <w:spacing w:before="1"/>
      </w:pPr>
    </w:p>
    <w:p w14:paraId="0BC0FEBE">
      <w:pPr>
        <w:spacing w:before="1"/>
      </w:pPr>
    </w:p>
    <w:p w14:paraId="4B295012">
      <w:pPr>
        <w:spacing w:before="1"/>
      </w:pPr>
    </w:p>
    <w:p w14:paraId="6395160C">
      <w:pPr>
        <w:spacing w:before="1"/>
      </w:pPr>
    </w:p>
    <w:p w14:paraId="580377F4">
      <w:pPr>
        <w:spacing w:before="1"/>
      </w:pPr>
    </w:p>
    <w:p w14:paraId="44FA41F6">
      <w:pPr>
        <w:spacing w:before="1"/>
      </w:pPr>
    </w:p>
    <w:p w14:paraId="1DD57031">
      <w:pPr>
        <w:spacing w:before="1"/>
      </w:pPr>
    </w:p>
    <w:p w14:paraId="1E37E28A">
      <w:pPr>
        <w:spacing w:before="1"/>
      </w:pPr>
    </w:p>
    <w:p w14:paraId="69C0146F">
      <w:pPr>
        <w:spacing w:before="1"/>
      </w:pPr>
    </w:p>
    <w:p w14:paraId="23D8F908">
      <w:pPr>
        <w:spacing w:before="1"/>
      </w:pPr>
    </w:p>
    <w:p w14:paraId="3A261A17">
      <w:pPr>
        <w:spacing w:before="1"/>
      </w:pPr>
    </w:p>
    <w:p w14:paraId="14806D1D">
      <w:pPr>
        <w:spacing w:before="1"/>
      </w:pPr>
    </w:p>
    <w:p w14:paraId="5E9648DD">
      <w:pPr>
        <w:spacing w:before="1"/>
      </w:pPr>
    </w:p>
    <w:p w14:paraId="25400830">
      <w:pPr>
        <w:spacing w:before="1"/>
      </w:pPr>
    </w:p>
    <w:p w14:paraId="4E444AA0">
      <w:pPr>
        <w:spacing w:before="1"/>
      </w:pPr>
    </w:p>
    <w:p w14:paraId="42019625">
      <w:pPr>
        <w:spacing w:before="1"/>
      </w:pPr>
    </w:p>
    <w:p w14:paraId="58CBEC99">
      <w:pPr>
        <w:spacing w:before="1"/>
      </w:pPr>
    </w:p>
    <w:p w14:paraId="650B7673">
      <w:pPr>
        <w:spacing w:before="1"/>
      </w:pPr>
    </w:p>
    <w:p w14:paraId="67097D64">
      <w:pPr>
        <w:spacing w:before="1"/>
      </w:pPr>
    </w:p>
    <w:p w14:paraId="52F87CCB">
      <w:pPr>
        <w:spacing w:before="1"/>
      </w:pPr>
    </w:p>
    <w:p w14:paraId="36099ECD">
      <w:pPr>
        <w:spacing w:before="1"/>
      </w:pPr>
    </w:p>
    <w:p w14:paraId="64B7716F">
      <w:pPr>
        <w:spacing w:before="1"/>
      </w:pPr>
    </w:p>
    <w:p w14:paraId="1E116A77">
      <w:pPr>
        <w:spacing w:before="1"/>
      </w:pPr>
    </w:p>
    <w:p w14:paraId="78304B06">
      <w:pPr>
        <w:spacing w:before="1"/>
      </w:pPr>
    </w:p>
    <w:p w14:paraId="1435A912">
      <w:pPr>
        <w:spacing w:before="1"/>
      </w:pPr>
    </w:p>
    <w:p w14:paraId="48ADE211">
      <w:pPr>
        <w:spacing w:before="1"/>
      </w:pPr>
    </w:p>
    <w:p w14:paraId="13913142">
      <w:pPr>
        <w:spacing w:before="1"/>
      </w:pPr>
    </w:p>
    <w:p w14:paraId="4000AF52">
      <w:pPr>
        <w:spacing w:before="1"/>
      </w:pPr>
    </w:p>
    <w:p w14:paraId="128D673C">
      <w:pPr>
        <w:spacing w:before="1"/>
      </w:pPr>
    </w:p>
    <w:p w14:paraId="35DB8CCD">
      <w:pPr>
        <w:spacing w:before="1"/>
      </w:pPr>
    </w:p>
    <w:p w14:paraId="39C0B2C5">
      <w:pPr>
        <w:spacing w:before="1"/>
      </w:pPr>
    </w:p>
    <w:p w14:paraId="7DA5DD33">
      <w:pPr>
        <w:spacing w:before="1"/>
      </w:pPr>
    </w:p>
    <w:p w14:paraId="76311D21">
      <w:pPr>
        <w:spacing w:before="1"/>
      </w:pPr>
    </w:p>
    <w:p w14:paraId="766DF352">
      <w:pPr>
        <w:spacing w:before="1"/>
      </w:pPr>
    </w:p>
    <w:p w14:paraId="2A324BC7">
      <w:pPr>
        <w:spacing w:before="1"/>
      </w:pPr>
    </w:p>
    <w:p w14:paraId="03AEC180">
      <w:pPr>
        <w:spacing w:before="1"/>
      </w:pPr>
    </w:p>
    <w:p w14:paraId="36F61350">
      <w:pPr>
        <w:spacing w:before="1"/>
      </w:pPr>
    </w:p>
    <w:p w14:paraId="6E248A33">
      <w:pPr>
        <w:spacing w:before="1"/>
      </w:pPr>
    </w:p>
    <w:p w14:paraId="3D15CF80">
      <w:pPr>
        <w:spacing w:before="1"/>
      </w:pPr>
    </w:p>
    <w:p w14:paraId="75340558">
      <w:pPr>
        <w:spacing w:before="1"/>
      </w:pPr>
    </w:p>
    <w:p w14:paraId="63958A60">
      <w:pPr>
        <w:spacing w:before="1"/>
      </w:pPr>
    </w:p>
    <w:tbl>
      <w:tblPr>
        <w:tblStyle w:val="5"/>
        <w:tblW w:w="90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9"/>
        <w:gridCol w:w="3550"/>
      </w:tblGrid>
      <w:tr w14:paraId="75F901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70" w:hRule="atLeast"/>
        </w:trPr>
        <w:tc>
          <w:tcPr>
            <w:tcW w:w="547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1502FF81">
            <w:pPr>
              <w:spacing w:before="130" w:line="222" w:lineRule="auto"/>
              <w:ind w:left="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洛阳市</w:t>
            </w:r>
            <w:r>
              <w:rPr>
                <w:rFonts w:hint="eastAsia" w:ascii="仿宋" w:hAnsi="仿宋" w:eastAsia="仿宋" w:cs="仿宋"/>
                <w:spacing w:val="-13"/>
                <w:sz w:val="29"/>
                <w:szCs w:val="29"/>
                <w:lang w:val="en-US" w:eastAsia="zh-CN"/>
              </w:rPr>
              <w:t>偃师区工业信息化和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商务局办公室</w:t>
            </w:r>
          </w:p>
        </w:tc>
        <w:tc>
          <w:tcPr>
            <w:tcW w:w="355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4284C5C6">
            <w:pPr>
              <w:spacing w:before="157" w:line="222" w:lineRule="auto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3"/>
                <w:sz w:val="29"/>
                <w:szCs w:val="29"/>
              </w:rPr>
              <w:t>202</w:t>
            </w:r>
            <w:r>
              <w:rPr>
                <w:rFonts w:hint="eastAsia" w:ascii="仿宋" w:hAnsi="仿宋" w:eastAsia="仿宋" w:cs="仿宋"/>
                <w:spacing w:val="23"/>
                <w:sz w:val="29"/>
                <w:szCs w:val="29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23"/>
                <w:sz w:val="29"/>
                <w:szCs w:val="29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sz w:val="29"/>
                <w:szCs w:val="29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23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23"/>
                <w:sz w:val="29"/>
                <w:szCs w:val="29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spacing w:val="23"/>
                <w:sz w:val="29"/>
                <w:szCs w:val="29"/>
              </w:rPr>
              <w:t>日印发</w:t>
            </w:r>
          </w:p>
        </w:tc>
      </w:tr>
    </w:tbl>
    <w:p w14:paraId="4E13A376">
      <w:pPr>
        <w:pStyle w:val="2"/>
      </w:pPr>
    </w:p>
    <w:p w14:paraId="7CCE7DF3">
      <w:pPr>
        <w:sectPr>
          <w:footerReference r:id="rId6" w:type="default"/>
          <w:pgSz w:w="11910" w:h="16840"/>
          <w:pgMar w:top="1431" w:right="1440" w:bottom="1453" w:left="1440" w:header="0" w:footer="1165" w:gutter="0"/>
          <w:cols w:space="720" w:num="1"/>
        </w:sectPr>
      </w:pPr>
    </w:p>
    <w:p w14:paraId="5FC49FA7">
      <w:pPr>
        <w:pStyle w:val="2"/>
        <w:spacing w:line="296" w:lineRule="auto"/>
      </w:pPr>
    </w:p>
    <w:p w14:paraId="1301203F">
      <w:pPr>
        <w:pStyle w:val="2"/>
        <w:spacing w:line="296" w:lineRule="auto"/>
      </w:pPr>
    </w:p>
    <w:p w14:paraId="374303D3">
      <w:pPr>
        <w:pStyle w:val="2"/>
        <w:spacing w:line="297" w:lineRule="auto"/>
      </w:pPr>
    </w:p>
    <w:p w14:paraId="08B3C3E9">
      <w:pPr>
        <w:spacing w:before="63" w:line="219" w:lineRule="auto"/>
        <w:ind w:left="5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触发式“双随机、一公开”监管工作细则</w:t>
      </w:r>
    </w:p>
    <w:p w14:paraId="5ED913F2">
      <w:pPr>
        <w:pStyle w:val="2"/>
        <w:spacing w:line="328" w:lineRule="auto"/>
      </w:pPr>
    </w:p>
    <w:p w14:paraId="5D0F6ED6">
      <w:pPr>
        <w:pStyle w:val="2"/>
        <w:spacing w:line="329" w:lineRule="auto"/>
      </w:pPr>
    </w:p>
    <w:p w14:paraId="5CFCAE82">
      <w:pPr>
        <w:spacing w:before="107" w:line="222" w:lineRule="auto"/>
        <w:ind w:left="32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第一章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1"/>
          <w:sz w:val="33"/>
          <w:szCs w:val="33"/>
        </w:rPr>
        <w:t>总</w:t>
      </w:r>
      <w:r>
        <w:rPr>
          <w:rFonts w:ascii="仿宋" w:hAnsi="仿宋" w:eastAsia="仿宋" w:cs="仿宋"/>
          <w:spacing w:val="3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"/>
          <w:sz w:val="33"/>
          <w:szCs w:val="33"/>
        </w:rPr>
        <w:t>则</w:t>
      </w:r>
    </w:p>
    <w:p w14:paraId="6F5E098C">
      <w:pPr>
        <w:spacing w:before="195" w:line="331" w:lineRule="auto"/>
        <w:ind w:firstLine="66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第一条为加强事中事后监管，规范“双随机、一公</w:t>
      </w:r>
      <w:r>
        <w:rPr>
          <w:rFonts w:ascii="仿宋" w:hAnsi="仿宋" w:eastAsia="仿宋" w:cs="仿宋"/>
          <w:spacing w:val="-9"/>
          <w:sz w:val="33"/>
          <w:szCs w:val="33"/>
        </w:rPr>
        <w:t>开”抽查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工作，依据《洛阳市人民政府关于在市场监管领域全面推行部门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联合“双随机、一公开”监管的实施意见》(洛政〔201</w:t>
      </w:r>
      <w:r>
        <w:rPr>
          <w:rFonts w:ascii="仿宋" w:hAnsi="仿宋" w:eastAsia="仿宋" w:cs="仿宋"/>
          <w:spacing w:val="-5"/>
          <w:sz w:val="33"/>
          <w:szCs w:val="33"/>
        </w:rPr>
        <w:t>9〕24号)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《洛阳市人民政府推进政府职能转变和“放管服”改革协</w:t>
      </w:r>
      <w:r>
        <w:rPr>
          <w:rFonts w:ascii="仿宋" w:hAnsi="仿宋" w:eastAsia="仿宋" w:cs="仿宋"/>
          <w:spacing w:val="-9"/>
          <w:sz w:val="33"/>
          <w:szCs w:val="33"/>
        </w:rPr>
        <w:t>调小组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关于印发洛阳市实施触发式“双随机、一公</w:t>
      </w:r>
      <w:r>
        <w:rPr>
          <w:rFonts w:ascii="仿宋" w:hAnsi="仿宋" w:eastAsia="仿宋" w:cs="仿宋"/>
          <w:spacing w:val="-8"/>
          <w:sz w:val="33"/>
          <w:szCs w:val="33"/>
        </w:rPr>
        <w:t>开”监管更好保护市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场主体工作方案的通知》(洛“放管服”组〔2022〕2号)等有关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规定，制定本细则。</w:t>
      </w:r>
    </w:p>
    <w:p w14:paraId="30F61B63">
      <w:pPr>
        <w:spacing w:before="53" w:line="331" w:lineRule="auto"/>
        <w:ind w:left="14" w:right="60"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第二条本细则所称触发式“双随机、一公开”抽查，是</w:t>
      </w:r>
      <w:r>
        <w:rPr>
          <w:rFonts w:ascii="仿宋" w:hAnsi="仿宋" w:eastAsia="仿宋" w:cs="仿宋"/>
          <w:spacing w:val="-9"/>
          <w:sz w:val="33"/>
          <w:szCs w:val="33"/>
        </w:rPr>
        <w:t>指监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管部门根据投诉举报、转办交办、网络监测、风险防控等触发条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件，结合本部门《触发式“双随机、一公开”监管抽查事项清单》,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随机抽取一定比例的检查对象，随机抽取或直接选派执法检查人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员，依法对其(抽取的检查对象)进行检查并将检查结</w:t>
      </w:r>
      <w:r>
        <w:rPr>
          <w:rFonts w:ascii="仿宋" w:hAnsi="仿宋" w:eastAsia="仿宋" w:cs="仿宋"/>
          <w:spacing w:val="1"/>
          <w:sz w:val="33"/>
          <w:szCs w:val="33"/>
        </w:rPr>
        <w:t>果及查处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情况依法公开的监督管理活动。</w:t>
      </w:r>
    </w:p>
    <w:p w14:paraId="6C76D7DA">
      <w:pPr>
        <w:spacing w:before="52" w:line="332" w:lineRule="auto"/>
        <w:ind w:left="14" w:right="107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第三条“双随机一公开”抽查坚持“依法监管、属地负责；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随机抽取、随机选派；公正公开、科学高效”的原则。</w:t>
      </w:r>
    </w:p>
    <w:p w14:paraId="681FCBD0">
      <w:pPr>
        <w:spacing w:before="9" w:line="331" w:lineRule="auto"/>
        <w:ind w:left="14" w:right="69" w:firstLine="650"/>
        <w:jc w:val="both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sectPr>
          <w:footerReference r:id="rId7" w:type="default"/>
          <w:pgSz w:w="11910" w:h="16840"/>
          <w:pgMar w:top="1431" w:right="1297" w:bottom="1331" w:left="1505" w:header="0" w:footer="1004" w:gutter="0"/>
          <w:cols w:space="720" w:num="1"/>
        </w:sectPr>
      </w:pPr>
      <w:r>
        <w:rPr>
          <w:rFonts w:ascii="仿宋" w:hAnsi="仿宋" w:eastAsia="仿宋" w:cs="仿宋"/>
          <w:spacing w:val="-8"/>
          <w:sz w:val="33"/>
          <w:szCs w:val="33"/>
        </w:rPr>
        <w:t>对同一检查对象的多个检查事项原则上应一次性完成，实行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联合抽查，实行“一次抽查、全面体检”。</w:t>
      </w:r>
    </w:p>
    <w:p w14:paraId="3F068254">
      <w:pPr>
        <w:pStyle w:val="2"/>
        <w:tabs>
          <w:tab w:val="left" w:pos="696"/>
        </w:tabs>
        <w:spacing w:line="389" w:lineRule="auto"/>
        <w:rPr>
          <w:rFonts w:hint="eastAsia" w:eastAsia="宋体"/>
          <w:lang w:eastAsia="zh-CN"/>
        </w:rPr>
      </w:pPr>
    </w:p>
    <w:p w14:paraId="7529A506">
      <w:pPr>
        <w:spacing w:before="108" w:line="326" w:lineRule="auto"/>
        <w:ind w:right="13" w:firstLine="624" w:firstLineChars="20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第四条实施触发式“双随机、一公开”监管，不强制要求监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管部门一定期限内必须开展一次检查，而由监管部门建立完善风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险预警机制，强化风险防控，对检查对象进行动态监测，加强风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险预警和风险评估，建立投诉举报、转办交办、网络监测、信用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风险分类等智慧化预警多点触发机制，由监管部门根据社会经济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发展需求、根据人民群众需要、根据风险防控要求，开展定向“双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随机、一公开”抽查，提高监管的精准性、靶向性。法律法规规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章有特别规定的，按规定执行。</w:t>
      </w:r>
    </w:p>
    <w:p w14:paraId="48DAB215">
      <w:pPr>
        <w:spacing w:before="114" w:line="325" w:lineRule="auto"/>
        <w:ind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第五条抽查采用随机抽取被检查对象、随机选</w:t>
      </w:r>
      <w:r>
        <w:rPr>
          <w:rFonts w:ascii="仿宋" w:hAnsi="仿宋" w:eastAsia="仿宋" w:cs="仿宋"/>
          <w:spacing w:val="-10"/>
          <w:sz w:val="33"/>
          <w:szCs w:val="33"/>
        </w:rPr>
        <w:t>派检查人员的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“双随机、一公开”方式，严格落实监督管理的自</w:t>
      </w:r>
      <w:r>
        <w:rPr>
          <w:rFonts w:ascii="仿宋" w:hAnsi="仿宋" w:eastAsia="仿宋" w:cs="仿宋"/>
          <w:spacing w:val="-9"/>
          <w:sz w:val="33"/>
          <w:szCs w:val="33"/>
        </w:rPr>
        <w:t>由裁量权，避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免检查的主观随意性。</w:t>
      </w:r>
    </w:p>
    <w:p w14:paraId="77864AAE">
      <w:pPr>
        <w:spacing w:before="75" w:line="321" w:lineRule="auto"/>
        <w:ind w:right="19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各单位结合实际，建立健全执法检查人员名录库，加强执法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能力培训，并对执法检查人员名录库实行动态管理，同时加强执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法人员的能力培训。</w:t>
      </w:r>
    </w:p>
    <w:p w14:paraId="0DE22E90">
      <w:pPr>
        <w:spacing w:before="75" w:line="329" w:lineRule="auto"/>
        <w:ind w:right="14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第六条创新监管方式，实施“双随机、一公开”与信用风险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分类相结合，充分运用国家企业信用信息公示系统(部门协同监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管平台一河南)中的市场主体信用风险分类结果，有信用风</w:t>
      </w:r>
      <w:r>
        <w:rPr>
          <w:rFonts w:ascii="仿宋" w:hAnsi="仿宋" w:eastAsia="仿宋" w:cs="仿宋"/>
          <w:spacing w:val="-4"/>
          <w:sz w:val="33"/>
          <w:szCs w:val="33"/>
        </w:rPr>
        <w:t>险分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类结果的，要根据信用风险分类结果开展分类抽查，合理匹配执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法资源，不断提高监管效能。</w:t>
      </w:r>
    </w:p>
    <w:p w14:paraId="676DD7D4">
      <w:pPr>
        <w:spacing w:before="44" w:line="220" w:lineRule="auto"/>
        <w:ind w:left="30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第二章抽查工作流程</w:t>
      </w:r>
    </w:p>
    <w:p w14:paraId="1A4BF32D">
      <w:pPr>
        <w:spacing w:before="206" w:line="220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第七条监管部门实施抽查，一般按照以下工作流程进行：</w:t>
      </w:r>
    </w:p>
    <w:p w14:paraId="1D7A8F34">
      <w:pPr>
        <w:spacing w:before="229" w:line="222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(一)制定计划。“双随机、一公开”抽查计划由本部门“双</w:t>
      </w:r>
    </w:p>
    <w:p w14:paraId="727C5680"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8" w:type="default"/>
          <w:pgSz w:w="11910" w:h="16840"/>
          <w:pgMar w:top="1431" w:right="1438" w:bottom="1401" w:left="1460" w:header="0" w:footer="1074" w:gutter="0"/>
          <w:cols w:space="720" w:num="1"/>
        </w:sectPr>
      </w:pPr>
    </w:p>
    <w:p w14:paraId="3DF31241">
      <w:pPr>
        <w:pStyle w:val="2"/>
        <w:spacing w:line="437" w:lineRule="auto"/>
      </w:pPr>
    </w:p>
    <w:p w14:paraId="7185635D">
      <w:pPr>
        <w:spacing w:before="107" w:line="222" w:lineRule="auto"/>
        <w:ind w:left="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随机、一公开”抽查牵头科室负责制定。</w:t>
      </w:r>
    </w:p>
    <w:p w14:paraId="28F67CEE">
      <w:pPr>
        <w:spacing w:before="189" w:line="307" w:lineRule="auto"/>
        <w:ind w:left="5" w:right="290" w:firstLine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(二)抽取名单。“双随机、一公开”抽查牵头单位会同有关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单位根据工作需求，通过国家企业信用信息公示系统(部门协同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监管平台一河南)建立检查对象库、执法人员库、抽查任务，随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机抽取检查对象名单。</w:t>
      </w:r>
    </w:p>
    <w:p w14:paraId="052F680F">
      <w:pPr>
        <w:spacing w:before="204" w:line="307" w:lineRule="auto"/>
        <w:ind w:right="292" w:firstLine="78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(三)派发名单。业务科室根据抽查名单，首先整理</w:t>
      </w:r>
      <w:r>
        <w:rPr>
          <w:rFonts w:ascii="仿宋" w:hAnsi="仿宋" w:eastAsia="仿宋" w:cs="仿宋"/>
          <w:spacing w:val="-2"/>
          <w:sz w:val="33"/>
          <w:szCs w:val="33"/>
        </w:rPr>
        <w:t>和制定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《执法检查登记表》,登记表中目录内容包括：检查项目、法律依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据、检查结果等，然后由牵头单位进行整合，形成检查事项表，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派发至承担检查职责的相关单位。</w:t>
      </w:r>
    </w:p>
    <w:p w14:paraId="21F96411">
      <w:pPr>
        <w:spacing w:before="226" w:line="278" w:lineRule="auto"/>
        <w:ind w:left="5" w:right="180" w:firstLine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(四)匹配人员。承担检查职责的各单位依据派发的名单和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检查事项，随机抽取或直接选派检查人员，明确检查方式和内容。</w:t>
      </w:r>
    </w:p>
    <w:p w14:paraId="310A5C5A">
      <w:pPr>
        <w:spacing w:before="208" w:line="279" w:lineRule="auto"/>
        <w:ind w:left="5" w:right="289" w:firstLine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(五)实施检查。各单位根据依法进行检查，检查过程中遇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到的业务问题由相关业务科室负责解答。</w:t>
      </w:r>
    </w:p>
    <w:p w14:paraId="4206283B">
      <w:pPr>
        <w:spacing w:before="181" w:line="310" w:lineRule="auto"/>
        <w:ind w:left="5" w:firstLine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(六)录入公示。执法检查人员根据检查情况，按照“谁检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8"/>
          <w:sz w:val="33"/>
          <w:szCs w:val="33"/>
        </w:rPr>
        <w:t>查、谁录入、谁公示”的原则和法定程序，将检查</w:t>
      </w:r>
      <w:r>
        <w:rPr>
          <w:rFonts w:ascii="仿宋" w:hAnsi="仿宋" w:eastAsia="仿宋" w:cs="仿宋"/>
          <w:spacing w:val="-9"/>
          <w:sz w:val="33"/>
          <w:szCs w:val="33"/>
        </w:rPr>
        <w:t>结果、查处结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9"/>
          <w:sz w:val="33"/>
          <w:szCs w:val="33"/>
        </w:rPr>
        <w:t>果通过“国家企业信用信息公示系统(部门协同监管平</w:t>
      </w:r>
      <w:r>
        <w:rPr>
          <w:rFonts w:ascii="仿宋" w:hAnsi="仿宋" w:eastAsia="仿宋" w:cs="仿宋"/>
          <w:spacing w:val="-10"/>
          <w:sz w:val="33"/>
          <w:szCs w:val="33"/>
        </w:rPr>
        <w:t>台一河南)”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录入结果、进行公示。</w:t>
      </w:r>
    </w:p>
    <w:p w14:paraId="3A9B9C36">
      <w:pPr>
        <w:pStyle w:val="2"/>
        <w:spacing w:line="338" w:lineRule="auto"/>
      </w:pPr>
    </w:p>
    <w:p w14:paraId="2F496E37">
      <w:pPr>
        <w:pStyle w:val="2"/>
        <w:spacing w:line="339" w:lineRule="auto"/>
      </w:pPr>
    </w:p>
    <w:p w14:paraId="2BE96387">
      <w:pPr>
        <w:spacing w:before="107" w:line="222" w:lineRule="auto"/>
        <w:ind w:left="33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第三章随机抽查</w:t>
      </w:r>
    </w:p>
    <w:p w14:paraId="0C08342A">
      <w:pPr>
        <w:spacing w:before="223" w:line="222" w:lineRule="auto"/>
        <w:ind w:left="7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第八条抽查分为不定向抽查、定向抽查。</w:t>
      </w:r>
    </w:p>
    <w:p w14:paraId="3C7D1AAE">
      <w:pPr>
        <w:spacing w:before="188" w:line="320" w:lineRule="auto"/>
        <w:ind w:left="5" w:right="232"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不定向抽查是指监管部门随机抽取确定检查企业名单，对其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进行检查。</w:t>
      </w:r>
    </w:p>
    <w:p w14:paraId="39F442FB">
      <w:pPr>
        <w:spacing w:line="320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1910" w:h="16840"/>
          <w:pgMar w:top="1431" w:right="1134" w:bottom="1319" w:left="1475" w:header="0" w:footer="994" w:gutter="0"/>
          <w:cols w:space="720" w:num="1"/>
        </w:sectPr>
      </w:pPr>
    </w:p>
    <w:p w14:paraId="73A32EC6">
      <w:pPr>
        <w:pStyle w:val="2"/>
        <w:spacing w:line="367" w:lineRule="auto"/>
      </w:pPr>
    </w:p>
    <w:p w14:paraId="50007523">
      <w:pPr>
        <w:spacing w:before="107" w:line="332" w:lineRule="auto"/>
        <w:ind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定向抽查是指监管部门按照企业类型、经营规模、所属行业、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地理区域等特定条件，随机抽取确定检查名单，对其依法进行检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查。</w:t>
      </w:r>
    </w:p>
    <w:p w14:paraId="6091575E">
      <w:pPr>
        <w:spacing w:before="37" w:line="327" w:lineRule="auto"/>
        <w:ind w:right="136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第九条监管部门对检查对象进行抽查，原则上以实地核查为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主。为提高监管效能，减少抽查对市场主体的影响，还可依法采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取书面检查、网络监测等非现场监管方式相结合；对于专业性较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强的行业领域开展抽查时，可邀(聘)请专业技术人员、行业协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会人员参加或委托会计师事务所、税务师事务所、律师事务所、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资产评估机构等专业机构，开展审计、验资、咨询</w:t>
      </w:r>
      <w:r>
        <w:rPr>
          <w:rFonts w:ascii="仿宋" w:hAnsi="仿宋" w:eastAsia="仿宋" w:cs="仿宋"/>
          <w:spacing w:val="-11"/>
          <w:sz w:val="33"/>
          <w:szCs w:val="33"/>
        </w:rPr>
        <w:t>、评估等相关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工作，依法利用其他政府部门作出的检查、核查结果或者专业机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构做出的专业结论。</w:t>
      </w:r>
    </w:p>
    <w:p w14:paraId="534E7541">
      <w:pPr>
        <w:spacing w:before="122" w:line="325" w:lineRule="auto"/>
        <w:ind w:right="19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第十条监管部门对市场主体实施实地核查的，应当依照执法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检查相关法律法规和工作程序规定进行。检查人员不得少于两人，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并出示执法证件。检查人员应当如实记录检查情况，填写相关文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书，并要求法定代表人(负责人)或授权人签名或者盖章确认，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sz w:val="33"/>
          <w:szCs w:val="33"/>
        </w:rPr>
        <w:t>无法取得签名或盖章的，检查人员应当注明原因，必要时可邀请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有关人员作为见证人。</w:t>
      </w:r>
    </w:p>
    <w:p w14:paraId="5B98B6D6">
      <w:pPr>
        <w:spacing w:before="117" w:line="327" w:lineRule="auto"/>
        <w:ind w:right="142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第十一条检查人员在抽查过程中发现其他违法线索的，</w:t>
      </w:r>
      <w:r>
        <w:rPr>
          <w:rFonts w:ascii="仿宋" w:hAnsi="仿宋" w:eastAsia="仿宋" w:cs="仿宋"/>
          <w:spacing w:val="-11"/>
          <w:sz w:val="33"/>
          <w:szCs w:val="33"/>
        </w:rPr>
        <w:t>及时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移交相关部门处理。监管部门依法开展检查，市场主体应当积极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配合，接受询问调查，如实反映情况。</w:t>
      </w:r>
    </w:p>
    <w:p w14:paraId="316B6BFE">
      <w:pPr>
        <w:spacing w:before="27" w:line="325" w:lineRule="auto"/>
        <w:ind w:right="133" w:firstLine="649"/>
        <w:rPr>
          <w:rFonts w:ascii="仿宋" w:hAnsi="仿宋" w:eastAsia="仿宋" w:cs="仿宋"/>
          <w:sz w:val="33"/>
          <w:szCs w:val="33"/>
        </w:rPr>
        <w:sectPr>
          <w:footerReference r:id="rId10" w:type="default"/>
          <w:pgSz w:w="11910" w:h="16840"/>
          <w:pgMar w:top="1431" w:right="1315" w:bottom="1361" w:left="1480" w:header="0" w:footer="1034" w:gutter="0"/>
          <w:cols w:space="720" w:num="1"/>
        </w:sectPr>
      </w:pPr>
      <w:r>
        <w:rPr>
          <w:rFonts w:ascii="仿宋" w:hAnsi="仿宋" w:eastAsia="仿宋" w:cs="仿宋"/>
          <w:spacing w:val="-10"/>
          <w:sz w:val="33"/>
          <w:szCs w:val="33"/>
        </w:rPr>
        <w:t>第十二条监管部门依法开展抽查，对检查对象不予配合情节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严重的，要做好记录并留取相关证据，企业不</w:t>
      </w:r>
      <w:r>
        <w:rPr>
          <w:rFonts w:ascii="仿宋" w:hAnsi="仿宋" w:eastAsia="仿宋" w:cs="仿宋"/>
          <w:spacing w:val="-10"/>
          <w:sz w:val="33"/>
          <w:szCs w:val="33"/>
        </w:rPr>
        <w:t>予配合情节严重的</w:t>
      </w:r>
    </w:p>
    <w:p w14:paraId="0E87975C">
      <w:pPr>
        <w:spacing w:before="107" w:line="332" w:lineRule="auto"/>
        <w:jc w:val="both"/>
        <w:rPr>
          <w:rFonts w:ascii="仿宋" w:hAnsi="仿宋" w:eastAsia="仿宋" w:cs="仿宋"/>
          <w:spacing w:val="-17"/>
          <w:sz w:val="33"/>
          <w:szCs w:val="33"/>
        </w:rPr>
      </w:pPr>
      <w:bookmarkStart w:id="0" w:name="_GoBack"/>
      <w:bookmarkEnd w:id="0"/>
      <w:r>
        <w:rPr>
          <w:rFonts w:ascii="仿宋" w:hAnsi="仿宋" w:eastAsia="仿宋" w:cs="仿宋"/>
          <w:spacing w:val="-17"/>
          <w:sz w:val="33"/>
          <w:szCs w:val="33"/>
        </w:rPr>
        <w:t>情形包括：</w:t>
      </w:r>
    </w:p>
    <w:p w14:paraId="33BD0AF3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(一)拒绝检查人员或其委托的专业机构进入被检查场所的；</w:t>
      </w:r>
    </w:p>
    <w:p w14:paraId="4887E55A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(二)拒绝向检查人员或其委托的专业机构提供相关情况或 相关材料的；</w:t>
      </w:r>
    </w:p>
    <w:p w14:paraId="1DE203D7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(三)不如实或不按要求提供情况或相关材料的；</w:t>
      </w:r>
    </w:p>
    <w:p w14:paraId="3B86BA8E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(四)其他阻挠、妨碍抽查工作的行为，致使抽查工作无法 正常进行的等行为。</w:t>
      </w:r>
    </w:p>
    <w:p w14:paraId="4282B994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第十三条实地核查记录表、责令整改通知书、行政处罚决定 书等抽查工作书式材料，应及时整理归档保存，并按档案管理有 关要求进行管理。</w:t>
      </w:r>
    </w:p>
    <w:p w14:paraId="66061D32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第四章结果公示和处理</w:t>
      </w:r>
    </w:p>
    <w:p w14:paraId="04AC2412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第十四条监管部门应当自检查结束之日起20个工作日内将 抽查检查结果通过企业信用信息公示系统向社会公示。</w:t>
      </w:r>
    </w:p>
    <w:p w14:paraId="179F34AA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第十五条监管部门在检查中发现企业存在违法行为，抽查中 发现的问题按照“谁管辖、谁负责”的原则实施后续监管。</w:t>
      </w:r>
    </w:p>
    <w:p w14:paraId="3414D8C6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第十六条监管部门发现其公示的信息不准确的，应当及时予 以更正。</w:t>
      </w:r>
    </w:p>
    <w:p w14:paraId="12C2EFB1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第五章附则</w:t>
      </w:r>
    </w:p>
    <w:p w14:paraId="4C4F2C41">
      <w:pPr>
        <w:spacing w:before="107" w:line="332" w:lineRule="auto"/>
        <w:ind w:firstLine="649"/>
        <w:jc w:val="both"/>
        <w:rPr>
          <w:rFonts w:ascii="仿宋" w:hAnsi="仿宋" w:eastAsia="仿宋" w:cs="仿宋"/>
          <w:spacing w:val="-17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第十七条本实施细则自发布之日起施行。</w:t>
      </w:r>
    </w:p>
    <w:p w14:paraId="1033EAA7">
      <w:pPr>
        <w:spacing w:line="150" w:lineRule="exact"/>
        <w:ind w:firstLine="9793"/>
      </w:pPr>
      <w:r>
        <w:rPr>
          <w:position w:val="-3"/>
        </w:rPr>
        <w:drawing>
          <wp:inline distT="0" distB="0" distL="0" distR="0">
            <wp:extent cx="82550" cy="952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585" cy="9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1" w:type="default"/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1A933">
    <w:pPr>
      <w:spacing w:before="1" w:line="177" w:lineRule="auto"/>
      <w:ind w:left="84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4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8F555">
    <w:pPr>
      <w:spacing w:line="176" w:lineRule="auto"/>
      <w:ind w:left="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2A246">
    <w:pPr>
      <w:spacing w:line="177" w:lineRule="auto"/>
      <w:ind w:left="839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1"/>
        <w:w w:val="65"/>
        <w:sz w:val="33"/>
        <w:szCs w:val="33"/>
      </w:rPr>
      <w:t>—</w:t>
    </w:r>
    <w:r>
      <w:rPr>
        <w:rFonts w:ascii="宋体" w:hAnsi="宋体" w:eastAsia="宋体" w:cs="宋体"/>
        <w:spacing w:val="-29"/>
        <w:sz w:val="33"/>
        <w:szCs w:val="33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2FBCB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w w:val="94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57504">
    <w:pPr>
      <w:spacing w:line="176" w:lineRule="auto"/>
      <w:ind w:left="837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4"/>
        <w:w w:val="99"/>
        <w:sz w:val="33"/>
        <w:szCs w:val="33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E0420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7"/>
        <w:sz w:val="33"/>
        <w:szCs w:val="3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D0BF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5YzdlNjg0MzcyYWNmNWFkN2QzZTllMTI2MzhmYTIifQ=="/>
  </w:docVars>
  <w:rsids>
    <w:rsidRoot w:val="00000000"/>
    <w:rsid w:val="020207C7"/>
    <w:rsid w:val="022B08BA"/>
    <w:rsid w:val="090B3C8B"/>
    <w:rsid w:val="25EA02B1"/>
    <w:rsid w:val="3AC22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2472</Words>
  <Characters>2488</Characters>
  <TotalTime>15</TotalTime>
  <ScaleCrop>false</ScaleCrop>
  <LinksUpToDate>false</LinksUpToDate>
  <CharactersWithSpaces>2619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2024-11-05T21:06:00Z</dcterms:created>
  <dc:creator>Kingsoft-PDF</dc:creator>
  <cp:lastModifiedBy>admin</cp:lastModifiedBy>
  <dcterms:modified xsi:type="dcterms:W3CDTF">2024-11-06T04:19:36Z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2024-11-05T21:06:36Z</vt:filetime>
  </property>
  <property fmtid="{D5CDD505-2E9C-101B-9397-08002B2CF9AE}" pid="4" name="UsrData">
    <vt:lpwstr>672a185abf5aca001f606c9bwl</vt:lpwstr>
  </property>
  <property fmtid="{D5CDD505-2E9C-101B-9397-08002B2CF9AE}" pid="5" name="KSOProductBuildVer">
    <vt:lpwstr>2052-12.1.0.18608</vt:lpwstr>
  </property>
  <property fmtid="{D5CDD505-2E9C-101B-9397-08002B2CF9AE}" pid="6" name="ICV">
    <vt:lpwstr>ABB7058C439F4384922A5C72094D5F92_13</vt:lpwstr>
  </property>
</Properties>
</file>