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C10D60">
      <w:pPr>
        <w:numPr>
          <w:ilvl w:val="0"/>
          <w:numId w:val="2"/>
        </w:numPr>
        <w:spacing w:line="580" w:lineRule="exact"/>
        <w:jc w:val="center"/>
        <w:outlineLvl w:val="0"/>
        <w:rPr>
          <w:rFonts w:hint="eastAsia" w:ascii="方正小标宋简体" w:hAnsi="方正小标宋简体" w:eastAsia="方正小标宋简体" w:cs="方正小标宋简体"/>
          <w:sz w:val="44"/>
          <w:szCs w:val="44"/>
        </w:rPr>
      </w:pPr>
      <w:bookmarkStart w:id="0" w:name="DYNAMIC—DWXX—tAj_dwmc"/>
      <w:r>
        <w:rPr>
          <w:rFonts w:ascii="方正小标宋简体" w:hAnsi="方正小标宋简体" w:eastAsia="方正小标宋简体" w:cs="方正小标宋简体"/>
          <w:color w:val="000000"/>
          <w:sz w:val="44"/>
        </w:rPr>
        <w:t>洛阳市偃师区市场监督管理局</w:t>
      </w:r>
      <w:bookmarkEnd w:id="0"/>
    </w:p>
    <w:p w14:paraId="062AD426">
      <w:pPr>
        <w:pStyle w:val="2"/>
        <w:keepNext w:val="0"/>
        <w:numPr>
          <w:ilvl w:val="0"/>
          <w:numId w:val="2"/>
        </w:numPr>
        <w:spacing w:before="0" w:after="0" w:line="580" w:lineRule="exact"/>
        <w:jc w:val="center"/>
        <w:rPr>
          <w:rFonts w:eastAsia="方正小标宋简体" w:cs="方正小标宋简体"/>
          <w:color w:val="auto"/>
          <w:sz w:val="44"/>
          <w:szCs w:val="44"/>
        </w:rPr>
      </w:pPr>
      <w:bookmarkStart w:id="1" w:name="_Toc76683344"/>
      <w:r>
        <w:rPr>
          <w:rFonts w:hint="eastAsia" w:hAnsi="方正小标宋简体" w:eastAsia="方正小标宋简体" w:cs="方正小标宋简体"/>
          <w:color w:val="000000"/>
          <w:sz w:val="44"/>
          <w:szCs w:val="44"/>
          <w:lang w:val="en-US"/>
        </w:rPr>
        <w:t>行政处罚</w:t>
      </w:r>
      <w:r>
        <w:rPr>
          <w:rFonts w:hint="eastAsia" w:hAnsi="方正小标宋简体" w:eastAsia="方正小标宋简体" w:cs="方正小标宋简体"/>
          <w:color w:val="000000"/>
          <w:sz w:val="44"/>
          <w:szCs w:val="44"/>
          <w:lang w:val="en-US" w:eastAsia="zh-Hans"/>
        </w:rPr>
        <w:t>决定</w:t>
      </w:r>
      <w:r>
        <w:rPr>
          <w:rFonts w:hint="eastAsia" w:hAnsi="方正小标宋简体" w:eastAsia="方正小标宋简体" w:cs="方正小标宋简体"/>
          <w:color w:val="000000"/>
          <w:sz w:val="44"/>
          <w:szCs w:val="44"/>
          <w:lang w:val="en-US"/>
        </w:rPr>
        <w:t>书</w:t>
      </w:r>
      <w:bookmarkEnd w:id="1"/>
    </w:p>
    <w:p w14:paraId="34197917">
      <w:pPr>
        <w:widowControl/>
        <w:snapToGrid w:val="0"/>
        <w:spacing w:line="580" w:lineRule="exact"/>
        <w:ind w:right="55"/>
        <w:jc w:val="center"/>
        <w:outlineLvl w:val="1"/>
        <w:rPr>
          <w:rFonts w:hint="eastAsia" w:ascii="Times New Roman" w:hAnsi="仿宋_GB2312" w:eastAsia="仿宋_GB2312" w:cs="仿宋_GB2312"/>
          <w:bCs/>
          <w:sz w:val="32"/>
          <w:szCs w:val="32"/>
        </w:rPr>
      </w:pPr>
      <w:bookmarkStart w:id="2" w:name="tAj_wh"/>
      <w:r>
        <w:rPr>
          <w:rFonts w:hint="eastAsia" w:ascii="Times New Roman" w:hAnsi="Times New Roman" w:eastAsia="仿宋_GB2312" w:cs="Mongolian Baiti"/>
          <w:color w:val="000000"/>
          <w:sz w:val="32"/>
        </w:rPr>
        <w:t>偃市监处罚〔2024〕81号</w:t>
      </w:r>
      <w:bookmarkEnd w:id="2"/>
    </w:p>
    <w:p w14:paraId="5047458A">
      <w:pPr>
        <w:spacing w:before="312" w:beforeLines="100" w:line="580" w:lineRule="exact"/>
        <w:ind w:left="142" w:hanging="142"/>
        <w:rPr>
          <w:rFonts w:hint="eastAsia" w:ascii="仿宋_GB2312" w:hAnsi="仿宋_GB2312" w:eastAsia="仿宋_GB2312" w:cs="仿宋_GB2312"/>
          <w:bCs/>
          <w:sz w:val="32"/>
          <w:szCs w:val="32"/>
        </w:rPr>
      </w:pPr>
      <w:r>
        <w:rPr>
          <w:rFonts w:hint="eastAsia" w:ascii="仿宋_GB2312" w:hAnsi="仿宋_GB2312" w:eastAsia="仿宋_GB2312" w:cs="仿宋_GB2312"/>
          <w:bCs/>
          <w:color w:val="000000"/>
          <w:kern w:val="1"/>
          <w:sz w:val="32"/>
          <w:szCs w:val="32"/>
        </w:rPr>
        <w:t>当事人：</w:t>
      </w:r>
      <w:bookmarkStart w:id="3" w:name="CALCULATE—DSR—tAjDsrs_cMc"/>
      <w:r>
        <w:rPr>
          <w:rFonts w:hint="eastAsia" w:ascii="仿宋_GB2312" w:hAnsi="仿宋_GB2312" w:eastAsia="仿宋_GB2312" w:cs="仿宋_GB2312"/>
          <w:color w:val="000000"/>
          <w:sz w:val="32"/>
        </w:rPr>
        <w:t>偃师市槐新街道办事处源头美生鲜超市</w:t>
      </w:r>
      <w:bookmarkEnd w:id="3"/>
      <w:r>
        <w:rPr>
          <w:rFonts w:hint="eastAsia" w:ascii="仿宋_GB2312" w:hAnsi="仿宋_GB2312" w:eastAsia="仿宋_GB2312" w:cs="仿宋_GB2312"/>
          <w:bCs/>
          <w:color w:val="000000"/>
          <w:kern w:val="1"/>
          <w:sz w:val="32"/>
          <w:szCs w:val="32"/>
        </w:rPr>
        <w:t xml:space="preserve">                                            </w:t>
      </w:r>
    </w:p>
    <w:p w14:paraId="5943A555">
      <w:pPr>
        <w:spacing w:line="580" w:lineRule="exact"/>
        <w:ind w:left="140" w:hanging="140"/>
        <w:rPr>
          <w:rFonts w:hint="eastAsia" w:ascii="仿宋_GB2312" w:hAnsi="仿宋_GB2312" w:eastAsia="仿宋_GB2312" w:cs="仿宋_GB2312"/>
          <w:bCs/>
          <w:kern w:val="1"/>
          <w:sz w:val="32"/>
          <w:szCs w:val="32"/>
          <w:u w:val="single"/>
        </w:rPr>
      </w:pPr>
      <w:r>
        <w:rPr>
          <w:rFonts w:hint="eastAsia" w:ascii="仿宋_GB2312" w:hAnsi="仿宋_GB2312" w:eastAsia="仿宋_GB2312" w:cs="仿宋_GB2312"/>
          <w:bCs/>
          <w:color w:val="000000"/>
          <w:kern w:val="1"/>
          <w:sz w:val="32"/>
          <w:szCs w:val="32"/>
        </w:rPr>
        <w:t>主体资格证照名称：</w:t>
      </w:r>
      <w:bookmarkStart w:id="4" w:name="CALCULATE—DSR—tAjDsrs_cZtzgzzmc"/>
      <w:r>
        <w:rPr>
          <w:rFonts w:hint="eastAsia" w:ascii="仿宋_GB2312" w:hAnsi="仿宋_GB2312" w:eastAsia="仿宋_GB2312" w:cs="仿宋_GB2312"/>
          <w:color w:val="000000"/>
          <w:sz w:val="32"/>
        </w:rPr>
        <w:t>营业执照</w:t>
      </w:r>
      <w:bookmarkEnd w:id="4"/>
      <w:r>
        <w:rPr>
          <w:rFonts w:hint="eastAsia" w:ascii="仿宋_GB2312" w:hAnsi="仿宋_GB2312" w:eastAsia="仿宋_GB2312" w:cs="仿宋_GB2312"/>
          <w:bCs/>
          <w:color w:val="000000"/>
          <w:kern w:val="1"/>
          <w:sz w:val="32"/>
          <w:szCs w:val="32"/>
        </w:rPr>
        <w:t xml:space="preserve">                                  </w:t>
      </w:r>
    </w:p>
    <w:p w14:paraId="132AA4CB">
      <w:pPr>
        <w:spacing w:line="580" w:lineRule="exact"/>
        <w:ind w:left="140" w:hanging="140"/>
        <w:rPr>
          <w:rFonts w:hint="eastAsia" w:ascii="仿宋_GB2312" w:hAnsi="仿宋_GB2312" w:eastAsia="仿宋_GB2312" w:cs="仿宋_GB2312"/>
          <w:bCs/>
          <w:kern w:val="1"/>
          <w:sz w:val="32"/>
          <w:szCs w:val="32"/>
          <w:u w:val="single"/>
        </w:rPr>
      </w:pPr>
      <w:r>
        <w:rPr>
          <w:rFonts w:hint="eastAsia" w:ascii="仿宋_GB2312" w:hAnsi="仿宋_GB2312" w:eastAsia="仿宋_GB2312" w:cs="仿宋_GB2312"/>
          <w:bCs/>
          <w:color w:val="000000"/>
          <w:kern w:val="1"/>
          <w:sz w:val="32"/>
          <w:szCs w:val="32"/>
        </w:rPr>
        <w:t>统一社会信用代码：</w:t>
      </w:r>
      <w:bookmarkStart w:id="5" w:name="CALCULATE—DSR—tAjDsrs_cTzshxydm"/>
      <w:r>
        <w:rPr>
          <w:rFonts w:hint="eastAsia" w:ascii="仿宋_GB2312" w:hAnsi="仿宋_GB2312" w:eastAsia="仿宋_GB2312" w:cs="仿宋_GB2312"/>
          <w:color w:val="000000"/>
          <w:sz w:val="32"/>
        </w:rPr>
        <w:t>92410381MA47K4YK05</w:t>
      </w:r>
      <w:bookmarkEnd w:id="5"/>
      <w:r>
        <w:rPr>
          <w:rFonts w:hint="eastAsia" w:ascii="仿宋_GB2312" w:hAnsi="仿宋_GB2312" w:eastAsia="仿宋_GB2312" w:cs="仿宋_GB2312"/>
          <w:bCs/>
          <w:color w:val="000000"/>
          <w:kern w:val="1"/>
          <w:sz w:val="32"/>
          <w:szCs w:val="32"/>
        </w:rPr>
        <w:t xml:space="preserve">                                  </w:t>
      </w:r>
    </w:p>
    <w:p w14:paraId="6600BD56">
      <w:pPr>
        <w:spacing w:line="580" w:lineRule="exact"/>
        <w:ind w:left="140" w:hanging="140"/>
        <w:rPr>
          <w:rFonts w:hint="eastAsia" w:ascii="仿宋_GB2312" w:hAnsi="仿宋_GB2312" w:eastAsia="仿宋_GB2312" w:cs="仿宋_GB2312"/>
          <w:bCs/>
          <w:kern w:val="1"/>
          <w:sz w:val="32"/>
          <w:szCs w:val="32"/>
        </w:rPr>
      </w:pPr>
      <w:r>
        <w:rPr>
          <w:rFonts w:hint="eastAsia" w:ascii="仿宋_GB2312" w:hAnsi="仿宋_GB2312" w:eastAsia="仿宋_GB2312" w:cs="仿宋_GB2312"/>
          <w:bCs/>
          <w:color w:val="000000"/>
          <w:kern w:val="1"/>
          <w:sz w:val="32"/>
          <w:szCs w:val="32"/>
        </w:rPr>
        <w:t>经营场所：</w:t>
      </w:r>
      <w:bookmarkStart w:id="6" w:name="CALCULATE—DSR—tAjDsrs_cLxdzSheng"/>
      <w:r>
        <w:rPr>
          <w:rFonts w:hint="eastAsia" w:ascii="仿宋_GB2312" w:hAnsi="仿宋_GB2312" w:eastAsia="仿宋_GB2312" w:cs="仿宋_GB2312"/>
          <w:color w:val="000000"/>
          <w:sz w:val="32"/>
        </w:rPr>
        <w:t>河南省偃师市槐新街道办事处华夏路农贸市场西50米</w:t>
      </w:r>
      <w:bookmarkEnd w:id="6"/>
      <w:r>
        <w:rPr>
          <w:rFonts w:hint="eastAsia" w:ascii="仿宋_GB2312" w:hAnsi="仿宋_GB2312" w:eastAsia="仿宋_GB2312" w:cs="仿宋_GB2312"/>
          <w:bCs/>
          <w:color w:val="000000"/>
          <w:kern w:val="1"/>
          <w:sz w:val="32"/>
          <w:szCs w:val="32"/>
        </w:rPr>
        <w:t xml:space="preserve">                                       </w:t>
      </w:r>
    </w:p>
    <w:p w14:paraId="456C71EB">
      <w:pPr>
        <w:spacing w:line="580" w:lineRule="exact"/>
        <w:rPr>
          <w:rFonts w:hint="eastAsia" w:ascii="仿宋_GB2312" w:hAnsi="仿宋_GB2312" w:eastAsia="仿宋_GB2312" w:cs="仿宋_GB2312"/>
          <w:bCs/>
          <w:kern w:val="1"/>
          <w:sz w:val="32"/>
          <w:szCs w:val="32"/>
        </w:rPr>
      </w:pPr>
      <w:r>
        <w:rPr>
          <w:rFonts w:hint="eastAsia" w:ascii="仿宋_GB2312" w:hAnsi="仿宋_GB2312" w:eastAsia="仿宋_GB2312" w:cs="仿宋_GB2312"/>
          <w:bCs/>
          <w:color w:val="000000"/>
          <w:kern w:val="1"/>
          <w:sz w:val="32"/>
          <w:szCs w:val="32"/>
        </w:rPr>
        <w:t>经营者：</w:t>
      </w:r>
      <w:bookmarkStart w:id="7" w:name="CALCULATE—DSR—tAjDsrs_cFddbr"/>
      <w:r>
        <w:rPr>
          <w:rFonts w:hint="eastAsia" w:ascii="仿宋_GB2312" w:hAnsi="仿宋_GB2312" w:eastAsia="仿宋_GB2312" w:cs="仿宋_GB2312"/>
          <w:color w:val="000000"/>
          <w:sz w:val="32"/>
        </w:rPr>
        <w:t>秦龙保</w:t>
      </w:r>
      <w:bookmarkEnd w:id="7"/>
      <w:r>
        <w:rPr>
          <w:rFonts w:hint="eastAsia" w:ascii="仿宋_GB2312" w:hAnsi="仿宋_GB2312" w:eastAsia="仿宋_GB2312" w:cs="仿宋_GB2312"/>
          <w:bCs/>
          <w:color w:val="000000"/>
          <w:kern w:val="1"/>
          <w:sz w:val="32"/>
          <w:szCs w:val="32"/>
        </w:rPr>
        <w:t xml:space="preserve">                       </w:t>
      </w:r>
    </w:p>
    <w:p w14:paraId="6C5B30DD">
      <w:pPr>
        <w:spacing w:line="580" w:lineRule="exact"/>
        <w:ind w:left="140" w:hanging="140"/>
        <w:rPr>
          <w:rFonts w:hint="eastAsia" w:ascii="仿宋_GB2312" w:hAnsi="仿宋_GB2312" w:eastAsia="仿宋_GB2312" w:cs="仿宋_GB2312"/>
          <w:bCs/>
          <w:sz w:val="32"/>
          <w:szCs w:val="32"/>
          <w:u w:val="single" w:color="231F20"/>
        </w:rPr>
      </w:pPr>
      <w:bookmarkStart w:id="12" w:name="_GoBack"/>
      <w:bookmarkEnd w:id="12"/>
      <w:r>
        <w:rPr>
          <w:rFonts w:hint="eastAsia" w:ascii="仿宋_GB2312" w:hAnsi="仿宋_GB2312" w:eastAsia="仿宋_GB2312" w:cs="仿宋_GB2312"/>
          <w:bCs/>
          <w:color w:val="000000"/>
          <w:kern w:val="1"/>
          <w:sz w:val="32"/>
          <w:szCs w:val="32"/>
        </w:rPr>
        <w:t xml:space="preserve">                                      </w:t>
      </w:r>
    </w:p>
    <w:p w14:paraId="016E8F17">
      <w:pPr>
        <w:pStyle w:val="3"/>
        <w:tabs>
          <w:tab w:val="left" w:pos="9060"/>
        </w:tabs>
        <w:spacing w:line="580" w:lineRule="exact"/>
        <w:ind w:firstLine="640" w:firstLineChars="200"/>
        <w:rPr>
          <w:rFonts w:hint="eastAsia" w:ascii="仿宋_GB2312" w:hAnsi="仿宋_GB2312" w:eastAsia="仿宋_GB2312" w:cs="仿宋_GB2312"/>
          <w:bCs/>
          <w:u w:val="single" w:color="231F20"/>
        </w:rPr>
      </w:pPr>
      <w:bookmarkStart w:id="8" w:name="CALCULATE—AYHC—tAjHc_cHcqkjlaay"/>
      <w:r>
        <w:rPr>
          <w:rFonts w:hint="eastAsia" w:ascii="仿宋_GB2312" w:hAnsi="仿宋_GB2312" w:eastAsia="仿宋_GB2312" w:cs="仿宋_GB2312"/>
          <w:color w:val="000000"/>
          <w:u w:color="231F20"/>
        </w:rPr>
        <w:t>2024年8月2日，接局食品科转交安徽中青检验检测有限公司食品安全监督抽检检验报告No.ZQJY-2024-W0711790，被抽检单位：偃师市槐新街道办事处源头美生鲜超市，食品名称：一级香梨，检验结论：经抽样检验，乙螨唑项目不符合GB 2763-2021《食品安全国家标准 食品中农药最大残留限量》要求，检验结论为不合格。我局收到检验报告并送达当事人，当事人在规定的时间内没有提异议复检要求，我局予以立案调查处理。</w:t>
      </w:r>
      <w:bookmarkEnd w:id="8"/>
      <w:r>
        <w:rPr>
          <w:rFonts w:hint="eastAsia" w:ascii="仿宋_GB2312" w:hAnsi="仿宋_GB2312" w:eastAsia="仿宋_GB2312" w:cs="仿宋_GB2312"/>
          <w:bCs/>
          <w:color w:val="000000"/>
          <w:u w:color="231F20"/>
        </w:rPr>
        <w:t xml:space="preserve"> </w:t>
      </w:r>
    </w:p>
    <w:p w14:paraId="47173517">
      <w:pPr>
        <w:pStyle w:val="3"/>
        <w:tabs>
          <w:tab w:val="left" w:pos="8240"/>
        </w:tabs>
        <w:spacing w:line="580" w:lineRule="exact"/>
        <w:ind w:firstLine="640" w:firstLineChars="200"/>
        <w:rPr>
          <w:rFonts w:hint="eastAsia" w:ascii="仿宋_GB2312" w:hAnsi="仿宋_GB2312" w:eastAsia="仿宋_GB2312" w:cs="仿宋_GB2312"/>
          <w:bCs/>
          <w:kern w:val="1"/>
          <w:u w:val="single"/>
        </w:rPr>
      </w:pPr>
      <w:r>
        <w:rPr>
          <w:rFonts w:hint="eastAsia" w:ascii="仿宋_GB2312" w:hAnsi="仿宋_GB2312" w:eastAsia="仿宋_GB2312" w:cs="仿宋_GB2312"/>
          <w:bCs/>
          <w:color w:val="000000"/>
          <w:kern w:val="1"/>
        </w:rPr>
        <w:t>经查，</w:t>
      </w:r>
      <w:bookmarkStart w:id="9" w:name="CALCULATE—AJCF—tAjCfes_cAjss"/>
      <w:r>
        <w:rPr>
          <w:rFonts w:hint="eastAsia" w:ascii="仿宋_GB2312" w:hAnsi="仿宋_GB2312" w:eastAsia="仿宋_GB2312" w:cs="仿宋_GB2312"/>
          <w:bCs/>
          <w:color w:val="000000"/>
          <w:kern w:val="1"/>
        </w:rPr>
        <w:t>2024年7月1日，</w:t>
      </w:r>
      <w:r>
        <w:rPr>
          <w:rFonts w:hint="eastAsia" w:ascii="仿宋_GB2312" w:hAnsi="仿宋_GB2312" w:eastAsia="仿宋_GB2312" w:cs="仿宋_GB2312"/>
          <w:color w:val="000000"/>
          <w:u w:color="231F20"/>
        </w:rPr>
        <w:t>当事人在洛阳市宏进农副产品批发市场洛阳市老城区耳东记鲜果行购进30斤一级香梨，每斤购进价格7元，零售价每斤9.9元,案发时已全部销售完毕，违法所得共计297元。</w:t>
      </w:r>
      <w:r>
        <w:rPr>
          <w:rFonts w:hint="eastAsia" w:ascii="仿宋_GB2312" w:hAnsi="仿宋_GB2312" w:eastAsia="仿宋_GB2312" w:cs="仿宋_GB2312"/>
          <w:color w:val="000000"/>
          <w:u w:color="231F20"/>
        </w:rPr>
        <w:br w:type="textWrapping"/>
      </w:r>
      <w:r>
        <w:rPr>
          <w:rFonts w:hint="eastAsia" w:ascii="仿宋_GB2312" w:hAnsi="仿宋_GB2312" w:eastAsia="仿宋_GB2312" w:cs="仿宋_GB2312"/>
          <w:color w:val="000000"/>
          <w:u w:color="231F20"/>
        </w:rPr>
        <w:t xml:space="preserve">   上述事实，有以下证据证明：</w:t>
      </w:r>
      <w:r>
        <w:rPr>
          <w:rFonts w:hint="eastAsia" w:ascii="仿宋_GB2312" w:hAnsi="仿宋_GB2312" w:eastAsia="仿宋_GB2312" w:cs="仿宋_GB2312"/>
          <w:color w:val="000000"/>
          <w:u w:color="231F20"/>
        </w:rPr>
        <w:br w:type="textWrapping"/>
      </w:r>
      <w:r>
        <w:rPr>
          <w:rFonts w:hint="eastAsia" w:ascii="仿宋_GB2312" w:hAnsi="仿宋_GB2312" w:eastAsia="仿宋_GB2312" w:cs="仿宋_GB2312"/>
          <w:color w:val="000000"/>
          <w:u w:color="231F20"/>
        </w:rPr>
        <w:t xml:space="preserve">   1.食品安全抽样检验抽样单及抽检报告：证明当事人经销的一级香梨抽样及检验情况；</w:t>
      </w:r>
      <w:r>
        <w:rPr>
          <w:rFonts w:hint="eastAsia" w:ascii="仿宋_GB2312" w:hAnsi="仿宋_GB2312" w:eastAsia="仿宋_GB2312" w:cs="仿宋_GB2312"/>
          <w:color w:val="000000"/>
          <w:u w:color="231F20"/>
        </w:rPr>
        <w:br w:type="textWrapping"/>
      </w:r>
      <w:r>
        <w:rPr>
          <w:rFonts w:hint="eastAsia" w:ascii="仿宋_GB2312" w:hAnsi="仿宋_GB2312" w:eastAsia="仿宋_GB2312" w:cs="仿宋_GB2312"/>
          <w:color w:val="000000"/>
          <w:u w:color="231F20"/>
        </w:rPr>
        <w:t xml:space="preserve">   2.当事人营业执照、食品经营许可证及负责人身份证复印件，证明当事人主体经营资格及经营者的身份；</w:t>
      </w:r>
      <w:r>
        <w:rPr>
          <w:rFonts w:hint="eastAsia" w:ascii="仿宋_GB2312" w:hAnsi="仿宋_GB2312" w:eastAsia="仿宋_GB2312" w:cs="仿宋_GB2312"/>
          <w:color w:val="000000"/>
          <w:u w:color="231F20"/>
        </w:rPr>
        <w:br w:type="textWrapping"/>
      </w:r>
      <w:r>
        <w:rPr>
          <w:rFonts w:hint="eastAsia" w:ascii="仿宋_GB2312" w:hAnsi="仿宋_GB2312" w:eastAsia="仿宋_GB2312" w:cs="仿宋_GB2312"/>
          <w:color w:val="000000"/>
          <w:u w:color="231F20"/>
        </w:rPr>
        <w:t xml:space="preserve">   3.现场检查笔录，证明现场检查情况；</w:t>
      </w:r>
      <w:r>
        <w:rPr>
          <w:rFonts w:hint="eastAsia" w:ascii="仿宋_GB2312" w:hAnsi="仿宋_GB2312" w:eastAsia="仿宋_GB2312" w:cs="仿宋_GB2312"/>
          <w:color w:val="000000"/>
          <w:u w:color="231F20"/>
        </w:rPr>
        <w:br w:type="textWrapping"/>
      </w:r>
      <w:r>
        <w:rPr>
          <w:rFonts w:hint="eastAsia" w:ascii="仿宋_GB2312" w:hAnsi="仿宋_GB2312" w:eastAsia="仿宋_GB2312" w:cs="仿宋_GB2312"/>
          <w:color w:val="000000"/>
          <w:u w:color="231F20"/>
        </w:rPr>
        <w:t xml:space="preserve">   4.询问笔录，证明当事人的违法事实；</w:t>
      </w:r>
      <w:r>
        <w:rPr>
          <w:rFonts w:hint="eastAsia" w:ascii="仿宋_GB2312" w:hAnsi="仿宋_GB2312" w:eastAsia="仿宋_GB2312" w:cs="仿宋_GB2312"/>
          <w:color w:val="000000"/>
          <w:u w:color="231F20"/>
        </w:rPr>
        <w:br w:type="textWrapping"/>
      </w:r>
      <w:r>
        <w:rPr>
          <w:rFonts w:hint="eastAsia" w:ascii="仿宋_GB2312" w:hAnsi="仿宋_GB2312" w:eastAsia="仿宋_GB2312" w:cs="仿宋_GB2312"/>
          <w:color w:val="000000"/>
          <w:u w:color="231F20"/>
        </w:rPr>
        <w:t xml:space="preserve">   5.进货商家营业执照、购进收据、检验报告单复印件,证明当事人购进涉案一级香梨情况；</w:t>
      </w:r>
      <w:r>
        <w:rPr>
          <w:rFonts w:hint="eastAsia" w:ascii="仿宋_GB2312" w:hAnsi="仿宋_GB2312" w:eastAsia="仿宋_GB2312" w:cs="仿宋_GB2312"/>
          <w:color w:val="000000"/>
          <w:u w:color="231F20"/>
        </w:rPr>
        <w:br w:type="textWrapping"/>
      </w:r>
      <w:r>
        <w:rPr>
          <w:rFonts w:hint="eastAsia" w:ascii="仿宋_GB2312" w:hAnsi="仿宋_GB2312" w:eastAsia="仿宋_GB2312" w:cs="仿宋_GB2312"/>
          <w:color w:val="000000"/>
          <w:u w:color="231F20"/>
        </w:rPr>
        <w:t xml:space="preserve">   6.涉案一级香梨召回计划及召回公告，证明当事人履行了涉案一级香梨的召回义务；</w:t>
      </w:r>
      <w:r>
        <w:rPr>
          <w:rFonts w:hint="eastAsia" w:ascii="仿宋_GB2312" w:hAnsi="仿宋_GB2312" w:eastAsia="仿宋_GB2312" w:cs="仿宋_GB2312"/>
          <w:color w:val="000000"/>
          <w:u w:color="231F20"/>
        </w:rPr>
        <w:br w:type="textWrapping"/>
      </w:r>
      <w:r>
        <w:rPr>
          <w:rFonts w:hint="eastAsia" w:ascii="仿宋_GB2312" w:hAnsi="仿宋_GB2312" w:eastAsia="仿宋_GB2312" w:cs="仿宋_GB2312"/>
          <w:color w:val="000000"/>
          <w:u w:color="231F20"/>
        </w:rPr>
        <w:t xml:space="preserve">   7.整改报告，证明当事人整改情况；</w:t>
      </w:r>
      <w:r>
        <w:rPr>
          <w:rFonts w:hint="eastAsia" w:ascii="仿宋_GB2312" w:hAnsi="仿宋_GB2312" w:eastAsia="仿宋_GB2312" w:cs="仿宋_GB2312"/>
          <w:color w:val="000000"/>
          <w:u w:color="231F20"/>
        </w:rPr>
        <w:br w:type="textWrapping"/>
      </w:r>
      <w:r>
        <w:rPr>
          <w:rFonts w:hint="eastAsia" w:ascii="仿宋_GB2312" w:hAnsi="仿宋_GB2312" w:eastAsia="仿宋_GB2312" w:cs="仿宋_GB2312"/>
          <w:color w:val="000000"/>
          <w:u w:color="231F20"/>
        </w:rPr>
        <w:t xml:space="preserve">   8.召回情况说明，证明涉案一级香梨及顾客反映情况。</w:t>
      </w:r>
      <w:bookmarkEnd w:id="9"/>
      <w:r>
        <w:rPr>
          <w:rFonts w:hint="eastAsia" w:ascii="仿宋_GB2312" w:hAnsi="仿宋_GB2312" w:eastAsia="仿宋_GB2312" w:cs="仿宋_GB2312"/>
          <w:bCs/>
          <w:color w:val="000000"/>
          <w:kern w:val="1"/>
        </w:rPr>
        <w:t xml:space="preserve"> </w:t>
      </w:r>
      <w:r>
        <w:rPr>
          <w:rFonts w:hint="eastAsia" w:ascii="仿宋_GB2312" w:hAnsi="仿宋_GB2312" w:eastAsia="仿宋_GB2312" w:cs="仿宋_GB2312"/>
          <w:bCs/>
          <w:color w:val="000000"/>
        </w:rPr>
        <w:t xml:space="preserve">                                                                                                                        </w:t>
      </w:r>
    </w:p>
    <w:p w14:paraId="5380F524">
      <w:pPr>
        <w:pStyle w:val="3"/>
        <w:spacing w:line="580" w:lineRule="exact"/>
        <w:ind w:firstLine="627" w:firstLineChars="196"/>
        <w:rPr>
          <w:rFonts w:hint="eastAsia" w:ascii="仿宋_GB2312" w:hAnsi="仿宋_GB2312" w:eastAsia="仿宋_GB2312" w:cs="仿宋_GB2312"/>
          <w:color w:val="000000"/>
        </w:rPr>
      </w:pPr>
      <w:r>
        <w:rPr>
          <w:rFonts w:hint="eastAsia" w:ascii="仿宋_GB2312" w:hAnsi="仿宋_GB2312" w:eastAsia="仿宋_GB2312" w:cs="仿宋_GB2312"/>
          <w:color w:val="000000"/>
          <w:kern w:val="1"/>
        </w:rPr>
        <w:t>本局认为，当事人的行为违反了</w:t>
      </w:r>
      <w:bookmarkStart w:id="10" w:name="CALCULATE—XZCFJDS—xzcfjdswfxx"/>
      <w:r>
        <w:rPr>
          <w:rFonts w:hint="eastAsia" w:ascii="仿宋_GB2312" w:hAnsi="仿宋_GB2312" w:eastAsia="仿宋_GB2312" w:cs="仿宋_GB2312"/>
          <w:color w:val="000000"/>
        </w:rPr>
        <w:t>《中华人民共和国食品安全法(2021修正)》第三十四条“禁止生产经营下列食品、食品添加剂、食品相关产品：(二)致病性微生物，农药残留、兽药残留、生物毒素、重金属等污染物质以及其他危害人体健康的物质含量超过食品安全标准限量的食品、食品添加剂、食品相关产品；”的规定。案发后，当事人积极配合市场监督管理部门，并主动提供证据材料，如实陈述违法事实，参照《河南省市场监督管理行政处罚裁量权适用通则》第十条“有下列情形之一的，可以依法从轻或者减轻行政处罚：（二）积极配合市场监管部门调查，并主动提供证据材料的；”之规定，可以依法减轻其行政处罚。</w:t>
      </w:r>
    </w:p>
    <w:p w14:paraId="7B9EF516">
      <w:pPr>
        <w:pStyle w:val="3"/>
        <w:spacing w:line="580" w:lineRule="exact"/>
        <w:ind w:firstLine="627" w:firstLineChars="196"/>
        <w:rPr>
          <w:rFonts w:hint="eastAsia" w:ascii="仿宋_GB2312" w:hAnsi="仿宋_GB2312" w:eastAsia="仿宋_GB2312" w:cs="仿宋_GB2312"/>
          <w:color w:val="000000"/>
        </w:rPr>
      </w:pPr>
      <w:r>
        <w:rPr>
          <w:rFonts w:hint="eastAsia" w:ascii="仿宋_GB2312" w:hAnsi="仿宋_GB2312" w:eastAsia="仿宋_GB2312" w:cs="仿宋_GB2312"/>
          <w:color w:val="000000"/>
        </w:rPr>
        <w:t>2024年9月25日，本局向当事人送达了《行政处罚告知书》(偃市监罚告〔2024〕82号)，当事人在法定期限内未提出任何陈述或申辩。</w:t>
      </w:r>
    </w:p>
    <w:bookmarkEnd w:id="10"/>
    <w:p w14:paraId="13E3F1C6">
      <w:pPr>
        <w:pStyle w:val="3"/>
        <w:tabs>
          <w:tab w:val="left" w:pos="9060"/>
        </w:tabs>
        <w:spacing w:line="580" w:lineRule="exact"/>
        <w:ind w:firstLine="627" w:firstLineChars="196"/>
        <w:rPr>
          <w:rFonts w:hint="eastAsia" w:ascii="仿宋_GB2312" w:hAnsi="仿宋_GB2312" w:eastAsia="仿宋_GB2312" w:cs="仿宋_GB2312"/>
          <w:color w:val="000000"/>
        </w:rPr>
      </w:pPr>
      <w:r>
        <w:rPr>
          <w:rFonts w:hint="eastAsia" w:ascii="仿宋_GB2312" w:hAnsi="仿宋_GB2312" w:eastAsia="仿宋_GB2312" w:cs="仿宋_GB2312"/>
          <w:color w:val="000000"/>
        </w:rPr>
        <w:t xml:space="preserve">依据《中华人民共和国食品安全法》第一百二十四条“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一）生产经营致病性微生物，农药残留、兽药残留、生物毒素、重金属等污染物质以及其他危害人体健康的物质含量超过食品安全标准限量的食品、食品添加剂。”之规定，和《中华人民共和国行政处罚法》第二十八条“行政机关实施行政处罚时，应当责令当事人改正或者限期改正违法行为”之规定，决定责令偃师市槐新街道办事处源头美生鲜超市改正违法行为，并处罚如下：1.没收违法所得297元；2.罚款5000元。                   </w:t>
      </w:r>
    </w:p>
    <w:p w14:paraId="663ED04D">
      <w:pPr>
        <w:pStyle w:val="3"/>
        <w:tabs>
          <w:tab w:val="left" w:pos="9060"/>
        </w:tabs>
        <w:spacing w:line="580" w:lineRule="exact"/>
        <w:ind w:firstLine="627" w:firstLineChars="196"/>
        <w:rPr>
          <w:rFonts w:hint="eastAsia" w:ascii="仿宋_GB2312" w:hAnsi="仿宋_GB2312" w:eastAsia="仿宋_GB2312" w:cs="仿宋_GB2312"/>
          <w:bCs/>
          <w:color w:val="000000"/>
          <w:u w:color="231F20"/>
        </w:rPr>
      </w:pPr>
      <w:r>
        <w:rPr>
          <w:rFonts w:hint="eastAsia" w:ascii="仿宋_GB2312" w:hAnsi="仿宋_GB2312" w:eastAsia="仿宋_GB2312" w:cs="仿宋_GB2312"/>
          <w:bCs/>
          <w:color w:val="000000"/>
          <w:u w:color="231F20"/>
        </w:rPr>
        <w:t>当事人收到本处罚决定之日起15日内，缴清上述罚款。（当事人可选择以下银行缴纳罚款：1.农业银行偃师市支</w:t>
      </w:r>
      <w:r>
        <w:rPr>
          <w:rFonts w:hint="eastAsia" w:ascii="仿宋_GB2312" w:hAnsi="仿宋_GB2312" w:eastAsia="仿宋_GB2312" w:cs="仿宋_GB2312"/>
          <w:bCs/>
          <w:color w:val="000000"/>
          <w:spacing w:val="-20"/>
          <w:u w:color="231F20"/>
        </w:rPr>
        <w:t>行，户名：洛阳市偃师区财政局财政专户，账号：16129101040000020。</w:t>
      </w:r>
      <w:r>
        <w:rPr>
          <w:rFonts w:hint="eastAsia" w:ascii="仿宋_GB2312" w:hAnsi="仿宋_GB2312" w:eastAsia="仿宋_GB2312" w:cs="仿宋_GB2312"/>
          <w:bCs/>
          <w:color w:val="000000"/>
          <w:u w:color="231F20"/>
        </w:rPr>
        <w:t>2.工商银行偃师市支行，户名：洛阳市偃师区财政局财政专户，账号：1705027009064004971。3.中国银行偃师市支行，户名：洛阳市偃师区财政局财政专户，账号：249407156581。4.农商银行偃师营业部，户名：洛阳市偃师区财政局财政专户，账号：00000005583396678012。5.建设银行偃师支行，</w:t>
      </w:r>
      <w:r>
        <w:rPr>
          <w:rFonts w:hint="eastAsia" w:ascii="仿宋_GB2312" w:hAnsi="仿宋_GB2312" w:eastAsia="仿宋_GB2312" w:cs="仿宋_GB2312"/>
          <w:bCs/>
          <w:color w:val="000000"/>
          <w:spacing w:val="-20"/>
          <w:u w:color="231F20"/>
        </w:rPr>
        <w:t>户名：洛阳市偃师区财政局财政专户，账号：41001591110058000003。</w:t>
      </w:r>
      <w:r>
        <w:rPr>
          <w:rFonts w:hint="eastAsia" w:ascii="仿宋_GB2312" w:hAnsi="仿宋_GB2312" w:eastAsia="仿宋_GB2312" w:cs="仿宋_GB2312"/>
          <w:bCs/>
          <w:color w:val="000000"/>
          <w:u w:color="231F20"/>
        </w:rPr>
        <w:t>6.中原银行偃师市支行，户名：洛阳市偃师区财政局财政专</w:t>
      </w:r>
      <w:r>
        <w:rPr>
          <w:rFonts w:hint="eastAsia" w:ascii="仿宋_GB2312" w:hAnsi="仿宋_GB2312" w:eastAsia="仿宋_GB2312" w:cs="仿宋_GB2312"/>
          <w:bCs/>
          <w:color w:val="000000"/>
          <w:spacing w:val="-20"/>
          <w:u w:color="231F20"/>
        </w:rPr>
        <w:t>户，账号：671610090000000753。7.邮储银行偃师市支行，户名：洛阳市偃师区财政局财政专户，账号：</w:t>
      </w:r>
      <w:r>
        <w:rPr>
          <w:rFonts w:hint="eastAsia" w:ascii="仿宋_GB2312" w:hAnsi="仿宋_GB2312" w:eastAsia="仿宋_GB2312" w:cs="仿宋_GB2312"/>
          <w:bCs/>
          <w:color w:val="000000"/>
          <w:u w:color="231F20"/>
        </w:rPr>
        <w:t>100216664840019999）。</w:t>
      </w:r>
    </w:p>
    <w:p w14:paraId="12CA141C">
      <w:pPr>
        <w:pStyle w:val="3"/>
        <w:tabs>
          <w:tab w:val="left" w:pos="9060"/>
        </w:tabs>
        <w:spacing w:line="580" w:lineRule="exact"/>
        <w:ind w:firstLine="627" w:firstLineChars="196"/>
        <w:rPr>
          <w:rFonts w:hint="eastAsia" w:ascii="仿宋_GB2312" w:hAnsi="仿宋_GB2312" w:eastAsia="仿宋_GB2312" w:cs="仿宋_GB2312"/>
          <w:bCs/>
          <w:color w:val="000000"/>
          <w:u w:color="231F20"/>
        </w:rPr>
      </w:pPr>
      <w:r>
        <w:rPr>
          <w:rFonts w:hint="eastAsia" w:ascii="仿宋_GB2312" w:hAnsi="仿宋_GB2312" w:eastAsia="仿宋_GB2312" w:cs="仿宋_GB2312"/>
          <w:bCs/>
          <w:color w:val="000000"/>
          <w:u w:color="231F20"/>
        </w:rPr>
        <w:t xml:space="preserve">根据《中华人民共和国行政处罚法》第七十二条规定，当事人逾期不履行行政处罚决定的，本机关可以采取以下措施：（一）到期不缴纳罚款的，每日按罚款数额的百分之三加处罚款；（二）申请人民法院强制执行。             </w:t>
      </w:r>
    </w:p>
    <w:p w14:paraId="6D722C7E">
      <w:pPr>
        <w:pStyle w:val="3"/>
        <w:tabs>
          <w:tab w:val="left" w:pos="9060"/>
        </w:tabs>
        <w:spacing w:line="580" w:lineRule="exact"/>
        <w:ind w:firstLine="627" w:firstLineChars="196"/>
        <w:rPr>
          <w:rFonts w:hint="eastAsia" w:ascii="仿宋_GB2312" w:hAnsi="仿宋_GB2312" w:eastAsia="仿宋_GB2312" w:cs="仿宋_GB2312"/>
          <w:bCs/>
          <w:color w:val="000000"/>
          <w:u w:color="231F20"/>
        </w:rPr>
      </w:pPr>
      <w:r>
        <w:rPr>
          <w:rFonts w:hint="eastAsia" w:ascii="仿宋_GB2312" w:hAnsi="仿宋_GB2312" w:eastAsia="仿宋_GB2312" w:cs="仿宋_GB2312"/>
          <w:bCs/>
          <w:color w:val="000000"/>
          <w:u w:color="231F20"/>
        </w:rPr>
        <w:t>如不服本处罚决定，可自接文之日起六十日内向洛阳市偃师区人民政府申请复议，也可于接文之日起六个月内向洛阳市偃师区人民法院提起诉讼。如果需要通过互联网渠道申</w:t>
      </w:r>
      <w:r>
        <w:rPr>
          <w:rFonts w:hint="eastAsia" w:ascii="仿宋_GB2312" w:hAnsi="仿宋_GB2312" w:eastAsia="仿宋_GB2312" w:cs="仿宋_GB2312"/>
          <w:bCs/>
          <w:color w:val="000000"/>
          <w:spacing w:val="-20"/>
          <w:u w:color="231F20"/>
        </w:rPr>
        <w:t>请行政复议，可以通过行政复议服务平台</w:t>
      </w:r>
      <w:r>
        <w:rPr>
          <w:rFonts w:hint="eastAsia" w:ascii="仿宋_GB2312" w:hAnsi="仿宋_GB2312" w:eastAsia="仿宋_GB2312" w:cs="仿宋_GB2312"/>
          <w:bCs/>
          <w:color w:val="000000"/>
          <w:spacing w:val="-30"/>
          <w:u w:color="231F20"/>
        </w:rPr>
        <w:t>（https://xzfy.moj.gov.cn/）</w:t>
      </w:r>
      <w:r>
        <w:rPr>
          <w:rFonts w:hint="eastAsia" w:ascii="仿宋_GB2312" w:hAnsi="仿宋_GB2312" w:eastAsia="仿宋_GB2312" w:cs="仿宋_GB2312"/>
          <w:bCs/>
          <w:color w:val="000000"/>
          <w:u w:color="231F20"/>
        </w:rPr>
        <w:t xml:space="preserve">网站提交申请。行政复议或者行政诉讼期间，本行政处罚决定不停止执行。                </w:t>
      </w:r>
    </w:p>
    <w:p w14:paraId="5021D210">
      <w:pPr>
        <w:pStyle w:val="3"/>
        <w:tabs>
          <w:tab w:val="left" w:pos="9060"/>
        </w:tabs>
        <w:spacing w:line="560" w:lineRule="exact"/>
        <w:ind w:firstLine="627" w:firstLineChars="196"/>
        <w:rPr>
          <w:rFonts w:hint="eastAsia" w:ascii="仿宋_GB2312" w:hAnsi="仿宋_GB2312" w:eastAsia="仿宋_GB2312" w:cs="仿宋_GB2312"/>
          <w:bCs/>
          <w:color w:val="000000"/>
          <w:u w:color="231F20"/>
        </w:rPr>
      </w:pPr>
    </w:p>
    <w:p w14:paraId="3C84860E">
      <w:pPr>
        <w:pStyle w:val="3"/>
        <w:tabs>
          <w:tab w:val="left" w:pos="9060"/>
        </w:tabs>
        <w:spacing w:line="560" w:lineRule="exact"/>
        <w:ind w:firstLine="627" w:firstLineChars="196"/>
        <w:rPr>
          <w:rFonts w:hint="eastAsia" w:ascii="仿宋_GB2312" w:hAnsi="仿宋_GB2312" w:eastAsia="仿宋_GB2312" w:cs="仿宋_GB2312"/>
          <w:bCs/>
          <w:color w:val="000000"/>
          <w:u w:color="231F20"/>
        </w:rPr>
      </w:pPr>
    </w:p>
    <w:p w14:paraId="4317A38C">
      <w:pPr>
        <w:pStyle w:val="3"/>
        <w:tabs>
          <w:tab w:val="left" w:pos="9060"/>
        </w:tabs>
        <w:spacing w:line="560" w:lineRule="exact"/>
        <w:ind w:firstLine="627" w:firstLineChars="196"/>
        <w:rPr>
          <w:rFonts w:hint="eastAsia" w:ascii="仿宋_GB2312" w:hAnsi="仿宋_GB2312" w:eastAsia="仿宋_GB2312" w:cs="仿宋_GB2312"/>
          <w:bCs/>
          <w:color w:val="000000"/>
          <w:u w:color="231F20"/>
        </w:rPr>
      </w:pPr>
    </w:p>
    <w:p w14:paraId="0A576F68">
      <w:pPr>
        <w:pStyle w:val="3"/>
        <w:tabs>
          <w:tab w:val="left" w:pos="9060"/>
        </w:tabs>
        <w:spacing w:line="560" w:lineRule="exact"/>
        <w:ind w:firstLine="3507" w:firstLineChars="1096"/>
        <w:rPr>
          <w:rFonts w:ascii="Times New Roman" w:eastAsia="仿宋_GB2312" w:cs="仿宋"/>
        </w:rPr>
      </w:pPr>
      <w:r>
        <w:rPr>
          <w:rFonts w:hint="eastAsia" w:ascii="仿宋_GB2312" w:hAnsi="仿宋_GB2312" w:eastAsia="仿宋_GB2312" w:cs="仿宋_GB2312"/>
          <w:bCs/>
          <w:color w:val="000000"/>
          <w:u w:color="231F20"/>
        </w:rPr>
        <w:t>洛阳市偃师区市场监督管理局</w:t>
      </w:r>
      <w:r>
        <w:rPr>
          <w:rFonts w:hint="eastAsia" w:ascii="Times New Roman" w:eastAsia="仿宋_GB2312" w:cs="仿宋"/>
          <w:color w:val="000000"/>
        </w:rPr>
        <w:t xml:space="preserve">   </w:t>
      </w:r>
    </w:p>
    <w:p w14:paraId="5759ACF7">
      <w:pPr>
        <w:spacing w:line="560" w:lineRule="exact"/>
        <w:ind w:right="640" w:firstLine="601"/>
        <w:jc w:val="right"/>
        <w:outlineLvl w:val="1"/>
        <w:rPr>
          <w:rFonts w:ascii="Times New Roman" w:hAnsi="Times New Roman" w:eastAsia="仿宋_GB2312" w:cs="仿宋"/>
          <w:sz w:val="32"/>
          <w:szCs w:val="32"/>
        </w:rPr>
      </w:pPr>
      <w:r>
        <w:rPr>
          <w:rFonts w:hint="eastAsia" w:ascii="Times New Roman" w:hAnsi="Times New Roman" w:eastAsia="仿宋_GB2312" w:cs="仿宋"/>
          <w:color w:val="000000"/>
          <w:sz w:val="32"/>
          <w:szCs w:val="32"/>
        </w:rPr>
        <w:t>（印 章）</w:t>
      </w:r>
    </w:p>
    <w:p w14:paraId="4481C56E">
      <w:pPr>
        <w:spacing w:line="560" w:lineRule="exact"/>
        <w:ind w:right="630" w:rightChars="300" w:firstLine="600"/>
        <w:jc w:val="right"/>
        <w:rPr>
          <w:rFonts w:ascii="Times New Roman" w:hAnsi="Times New Roman" w:eastAsia="仿宋_GB2312" w:cs="仿宋_GB2312"/>
          <w:color w:val="000000"/>
          <w:sz w:val="32"/>
          <w:szCs w:val="32"/>
        </w:rPr>
      </w:pPr>
      <w:bookmarkStart w:id="11" w:name="CALCULATE—TIME—NOW"/>
      <w:r>
        <w:rPr>
          <w:rFonts w:ascii="仿宋_GB2312" w:hAnsi="仿宋_GB2312" w:eastAsia="仿宋_GB2312" w:cs="仿宋_GB2312"/>
          <w:sz w:val="32"/>
        </w:rPr>
        <w:t>2024年10月</w:t>
      </w:r>
      <w:r>
        <w:rPr>
          <w:rFonts w:hint="eastAsia" w:ascii="仿宋_GB2312" w:hAnsi="仿宋_GB2312" w:eastAsia="仿宋_GB2312" w:cs="仿宋_GB2312"/>
          <w:sz w:val="32"/>
        </w:rPr>
        <w:t>3</w:t>
      </w:r>
      <w:r>
        <w:rPr>
          <w:rFonts w:ascii="仿宋_GB2312" w:hAnsi="仿宋_GB2312" w:eastAsia="仿宋_GB2312" w:cs="仿宋_GB2312"/>
          <w:sz w:val="32"/>
        </w:rPr>
        <w:t>0日</w:t>
      </w:r>
      <w:bookmarkEnd w:id="11"/>
      <w:r>
        <w:rPr>
          <w:rFonts w:hint="eastAsia" w:ascii="Times New Roman" w:hAnsi="Times New Roman" w:eastAsia="仿宋_GB2312" w:cs="仿宋_GB2312"/>
          <w:color w:val="000000"/>
          <w:sz w:val="32"/>
          <w:szCs w:val="32"/>
        </w:rPr>
        <w:t xml:space="preserve">  </w:t>
      </w:r>
    </w:p>
    <w:p w14:paraId="1EEA0BE2">
      <w:pPr>
        <w:spacing w:line="560" w:lineRule="exact"/>
        <w:ind w:right="630" w:rightChars="300" w:firstLine="600"/>
        <w:jc w:val="right"/>
        <w:rPr>
          <w:rFonts w:ascii="Times New Roman" w:hAnsi="Times New Roman" w:eastAsia="仿宋_GB2312" w:cs="仿宋_GB2312"/>
          <w:sz w:val="32"/>
          <w:szCs w:val="32"/>
        </w:rPr>
      </w:pPr>
    </w:p>
    <w:p w14:paraId="64646145">
      <w:pPr>
        <w:tabs>
          <w:tab w:val="left" w:pos="2440"/>
          <w:tab w:val="left" w:pos="8964"/>
        </w:tabs>
        <w:spacing w:line="600" w:lineRule="exact"/>
        <w:ind w:left="-529" w:leftChars="-252" w:firstLine="320" w:firstLineChars="100"/>
        <w:textAlignment w:val="baseline"/>
        <w:rPr>
          <w:rFonts w:hint="eastAsia" w:ascii="仿宋_GB2312" w:hAnsi="仿宋" w:eastAsia="仿宋_GB2312" w:cs="仿宋"/>
          <w:sz w:val="32"/>
          <w:szCs w:val="32"/>
        </w:rPr>
      </w:pPr>
      <w:r>
        <w:rPr>
          <w:rFonts w:hint="eastAsia" w:ascii="仿宋_GB2312" w:hAnsi="仿宋" w:eastAsia="仿宋_GB2312" w:cs="仿宋"/>
          <w:sz w:val="32"/>
          <w:szCs w:val="32"/>
        </w:rPr>
        <w:t>（市场监督管理部门将依法向社会公示本行政处罚决定信息）</w:t>
      </w:r>
    </w:p>
    <w:p w14:paraId="1DB709DF">
      <w:pPr>
        <w:tabs>
          <w:tab w:val="left" w:pos="2440"/>
          <w:tab w:val="left" w:pos="8964"/>
        </w:tabs>
        <w:spacing w:line="600" w:lineRule="exact"/>
        <w:ind w:left="-529" w:leftChars="-252" w:firstLine="321" w:firstLineChars="100"/>
        <w:textAlignment w:val="baseline"/>
        <w:rPr>
          <w:rFonts w:hint="eastAsia" w:ascii="仿宋" w:hAnsi="仿宋" w:eastAsia="仿宋" w:cs="仿宋"/>
        </w:rPr>
      </w:pPr>
      <w:r>
        <w:rPr>
          <w:rFonts w:ascii="仿宋_GB2312" w:hAnsi="仿宋" w:eastAsia="仿宋_GB2312" w:cs="仿宋"/>
          <w:b/>
          <w:bCs/>
          <w:sz w:val="32"/>
          <w:szCs w:val="32"/>
        </w:rPr>
        <mc:AlternateContent>
          <mc:Choice Requires="wps">
            <w:drawing>
              <wp:anchor distT="0" distB="0" distL="114300" distR="114300" simplePos="0" relativeHeight="251659264" behindDoc="0" locked="0" layoutInCell="1" allowOverlap="1">
                <wp:simplePos x="0" y="0"/>
                <wp:positionH relativeFrom="column">
                  <wp:posOffset>-196215</wp:posOffset>
                </wp:positionH>
                <wp:positionV relativeFrom="paragraph">
                  <wp:posOffset>7620</wp:posOffset>
                </wp:positionV>
                <wp:extent cx="5563235" cy="10160"/>
                <wp:effectExtent l="0" t="0" r="18415" b="27940"/>
                <wp:wrapNone/>
                <wp:docPr id="1957461375" name="直接连接符 4"/>
                <wp:cNvGraphicFramePr/>
                <a:graphic xmlns:a="http://schemas.openxmlformats.org/drawingml/2006/main">
                  <a:graphicData uri="http://schemas.microsoft.com/office/word/2010/wordprocessingShape">
                    <wps:wsp>
                      <wps:cNvCnPr/>
                      <wps:spPr>
                        <a:xfrm>
                          <a:off x="0" y="0"/>
                          <a:ext cx="5563235" cy="10160"/>
                        </a:xfrm>
                        <a:prstGeom prst="line">
                          <a:avLst/>
                        </a:prstGeom>
                        <a:ln w="12700" cap="flat" cmpd="sng">
                          <a:solidFill>
                            <a:srgbClr val="000000"/>
                          </a:solidFill>
                          <a:prstDash val="solid"/>
                          <a:bevel/>
                          <a:headEnd type="none" w="med" len="med"/>
                          <a:tailEnd type="none" w="med" len="med"/>
                        </a:ln>
                        <a:effectLst/>
                      </wps:spPr>
                      <wps:bodyPr/>
                    </wps:wsp>
                  </a:graphicData>
                </a:graphic>
              </wp:anchor>
            </w:drawing>
          </mc:Choice>
          <mc:Fallback>
            <w:pict>
              <v:line id="直接连接符 4" o:spid="_x0000_s1026" o:spt="20" style="position:absolute;left:0pt;margin-left:-15.45pt;margin-top:0.6pt;height:0.8pt;width:438.05pt;z-index:251659264;mso-width-relative:page;mso-height-relative:page;" filled="f" stroked="t" coordsize="21600,21600" o:gfxdata="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4Kaad1gAAAAcBAAAPAAAAAAAAAAEAIAAAACIAAABkcnMv&#10;ZG93bnJldi54bWxQSwECFAAUAAAACACHTuJAcD3HbwUCAAD+AwAADgAAAAAAAAABACAAAAAlAQAA&#10;ZHJzL2Uyb0RvYy54bWxQSwUGAAAAAAYABgBZAQAAnAUAAAAA&#10;">
                <v:fill on="f" focussize="0,0"/>
                <v:stroke weight="1pt" color="#000000" joinstyle="bevel"/>
                <v:imagedata o:title=""/>
                <o:lock v:ext="edit" aspectratio="f"/>
              </v:line>
            </w:pict>
          </mc:Fallback>
        </mc:AlternateContent>
      </w:r>
      <w:r>
        <w:rPr>
          <w:rFonts w:hint="eastAsia" w:ascii="仿宋_GB2312" w:hAnsi="仿宋" w:eastAsia="仿宋_GB2312" w:cs="仿宋"/>
          <w:bCs/>
          <w:color w:val="231F20"/>
          <w:sz w:val="32"/>
          <w:szCs w:val="32"/>
        </w:rPr>
        <w:t>本文书一式</w:t>
      </w:r>
      <w:r>
        <w:rPr>
          <w:rFonts w:hint="eastAsia" w:ascii="仿宋_GB2312" w:hAnsi="仿宋" w:eastAsia="仿宋_GB2312" w:cs="仿宋"/>
          <w:bCs/>
          <w:color w:val="231F20"/>
          <w:sz w:val="32"/>
          <w:szCs w:val="32"/>
          <w:u w:val="single" w:color="231F20"/>
        </w:rPr>
        <w:t>三</w:t>
      </w:r>
      <w:r>
        <w:rPr>
          <w:rFonts w:hint="eastAsia" w:ascii="仿宋_GB2312" w:hAnsi="仿宋" w:eastAsia="仿宋_GB2312" w:cs="仿宋"/>
          <w:bCs/>
          <w:color w:val="231F20"/>
          <w:w w:val="95"/>
          <w:sz w:val="32"/>
          <w:szCs w:val="32"/>
        </w:rPr>
        <w:t>份，</w:t>
      </w:r>
      <w:r>
        <w:rPr>
          <w:rFonts w:hint="eastAsia" w:ascii="仿宋_GB2312" w:hAnsi="仿宋" w:eastAsia="仿宋_GB2312" w:cs="仿宋"/>
          <w:bCs/>
          <w:color w:val="231F20"/>
          <w:w w:val="95"/>
          <w:sz w:val="32"/>
          <w:szCs w:val="32"/>
          <w:u w:val="single" w:color="231F20"/>
        </w:rPr>
        <w:t>一</w:t>
      </w:r>
      <w:r>
        <w:rPr>
          <w:rFonts w:hint="eastAsia" w:ascii="仿宋_GB2312" w:hAnsi="仿宋" w:eastAsia="仿宋_GB2312" w:cs="仿宋"/>
          <w:bCs/>
          <w:color w:val="231F20"/>
          <w:sz w:val="32"/>
          <w:szCs w:val="32"/>
        </w:rPr>
        <w:t>份送达，</w:t>
      </w:r>
      <w:r>
        <w:rPr>
          <w:rFonts w:hint="eastAsia" w:ascii="仿宋_GB2312" w:hAnsi="仿宋" w:eastAsia="仿宋_GB2312" w:cs="仿宋"/>
          <w:bCs/>
          <w:color w:val="231F20"/>
          <w:sz w:val="32"/>
          <w:szCs w:val="32"/>
          <w:u w:val="single" w:color="231F20"/>
        </w:rPr>
        <w:t>一</w:t>
      </w:r>
      <w:r>
        <w:rPr>
          <w:rFonts w:hint="eastAsia" w:ascii="仿宋_GB2312" w:hAnsi="仿宋" w:eastAsia="仿宋_GB2312" w:cs="仿宋"/>
          <w:bCs/>
          <w:color w:val="231F20"/>
          <w:sz w:val="32"/>
          <w:szCs w:val="32"/>
        </w:rPr>
        <w:t>份归档，</w:t>
      </w:r>
      <w:r>
        <w:rPr>
          <w:rFonts w:hint="eastAsia" w:ascii="仿宋_GB2312" w:hAnsi="仿宋" w:eastAsia="仿宋_GB2312" w:cs="仿宋"/>
          <w:bCs/>
          <w:color w:val="231F20"/>
          <w:sz w:val="32"/>
          <w:szCs w:val="32"/>
          <w:u w:val="single"/>
        </w:rPr>
        <w:t>一</w:t>
      </w:r>
      <w:r>
        <w:rPr>
          <w:rFonts w:hint="eastAsia" w:ascii="仿宋_GB2312" w:hAnsi="仿宋" w:eastAsia="仿宋_GB2312" w:cs="仿宋"/>
          <w:bCs/>
          <w:color w:val="231F20"/>
          <w:sz w:val="32"/>
          <w:szCs w:val="32"/>
        </w:rPr>
        <w:t>份办案机构留存。</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ngal">
    <w:altName w:val="DejaVu Math TeX Gyre"/>
    <w:panose1 w:val="02040503050203030202"/>
    <w:charset w:val="00"/>
    <w:family w:val="roman"/>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Mongolian Baiti">
    <w:panose1 w:val="03000500000000000000"/>
    <w:charset w:val="00"/>
    <w:family w:val="script"/>
    <w:pitch w:val="default"/>
    <w:sig w:usb0="80000023" w:usb1="00000000" w:usb2="00020000" w:usb3="00000000" w:csb0="00000001" w:csb1="00000000"/>
  </w:font>
  <w:font w:name="仿宋">
    <w:panose1 w:val="02010609060101010101"/>
    <w:charset w:val="86"/>
    <w:family w:val="modern"/>
    <w:pitch w:val="default"/>
    <w:sig w:usb0="800002BF" w:usb1="38CF7CFA" w:usb2="00000016" w:usb3="00000000" w:csb0="00040001" w:csb1="00000000"/>
  </w:font>
  <w:font w:name="DejaVu Math TeX Gyre">
    <w:panose1 w:val="02000503000000000000"/>
    <w:charset w:val="00"/>
    <w:family w:val="auto"/>
    <w:pitch w:val="default"/>
    <w:sig w:usb0="A10000EF" w:usb1="4201F9EE" w:usb2="02000000" w:usb3="00000000" w:csb0="60000193" w:csb1="0DD4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E4FD1A">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A4C7F0">
                          <w:pPr>
                            <w:pStyle w:val="5"/>
                            <w:rPr>
                              <w:rFonts w:hint="eastAsia" w:ascii="宋体" w:hAnsi="宋体" w:cs="宋体"/>
                              <w:sz w:val="28"/>
                              <w:szCs w:val="28"/>
                            </w:rPr>
                          </w:pPr>
                          <w:r>
                            <w:rPr>
                              <w:rFonts w:hint="eastAsia" w:ascii="宋体" w:hAnsi="宋体" w:cs="宋体"/>
                              <w:sz w:val="28"/>
                              <w:szCs w:val="28"/>
                            </w:rPr>
                            <w:t xml:space="preserve">第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rPr>
                            <w:t xml:space="preserve"> 页 共 </w:t>
                          </w:r>
                          <w:r>
                            <w:rPr>
                              <w:rFonts w:hint="eastAsia" w:ascii="宋体" w:hAnsi="宋体" w:cs="宋体"/>
                              <w:sz w:val="28"/>
                              <w:szCs w:val="28"/>
                            </w:rPr>
                            <w:fldChar w:fldCharType="begin"/>
                          </w:r>
                          <w:r>
                            <w:rPr>
                              <w:rFonts w:hint="eastAsia" w:ascii="宋体" w:hAnsi="宋体" w:cs="宋体"/>
                              <w:sz w:val="28"/>
                              <w:szCs w:val="28"/>
                            </w:rPr>
                            <w:instrText xml:space="preserve"> NUMPAGES  \* MERGEFORMAT </w:instrText>
                          </w:r>
                          <w:r>
                            <w:rPr>
                              <w:rFonts w:hint="eastAsia" w:ascii="宋体" w:hAnsi="宋体" w:cs="宋体"/>
                              <w:sz w:val="28"/>
                              <w:szCs w:val="28"/>
                            </w:rPr>
                            <w:fldChar w:fldCharType="separate"/>
                          </w:r>
                          <w:r>
                            <w:rPr>
                              <w:rFonts w:hint="eastAsia" w:ascii="宋体" w:hAnsi="宋体" w:cs="宋体"/>
                              <w:sz w:val="28"/>
                              <w:szCs w:val="28"/>
                            </w:rPr>
                            <w:t>2</w:t>
                          </w:r>
                          <w:r>
                            <w:rPr>
                              <w:rFonts w:hint="eastAsia" w:ascii="宋体" w:hAnsi="宋体" w:cs="宋体"/>
                              <w:sz w:val="28"/>
                              <w:szCs w:val="28"/>
                            </w:rPr>
                            <w:fldChar w:fldCharType="end"/>
                          </w:r>
                          <w:r>
                            <w:rPr>
                              <w:rFonts w:hint="eastAsia" w:ascii="宋体" w:hAnsi="宋体" w:cs="宋体"/>
                              <w:sz w:val="28"/>
                              <w:szCs w:val="28"/>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BA4C7F0">
                    <w:pPr>
                      <w:pStyle w:val="5"/>
                      <w:rPr>
                        <w:rFonts w:hint="eastAsia" w:ascii="宋体" w:hAnsi="宋体" w:cs="宋体"/>
                        <w:sz w:val="28"/>
                        <w:szCs w:val="28"/>
                      </w:rPr>
                    </w:pPr>
                    <w:r>
                      <w:rPr>
                        <w:rFonts w:hint="eastAsia" w:ascii="宋体" w:hAnsi="宋体" w:cs="宋体"/>
                        <w:sz w:val="28"/>
                        <w:szCs w:val="28"/>
                      </w:rPr>
                      <w:t xml:space="preserve">第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rPr>
                      <w:t xml:space="preserve"> 页 共 </w:t>
                    </w:r>
                    <w:r>
                      <w:rPr>
                        <w:rFonts w:hint="eastAsia" w:ascii="宋体" w:hAnsi="宋体" w:cs="宋体"/>
                        <w:sz w:val="28"/>
                        <w:szCs w:val="28"/>
                      </w:rPr>
                      <w:fldChar w:fldCharType="begin"/>
                    </w:r>
                    <w:r>
                      <w:rPr>
                        <w:rFonts w:hint="eastAsia" w:ascii="宋体" w:hAnsi="宋体" w:cs="宋体"/>
                        <w:sz w:val="28"/>
                        <w:szCs w:val="28"/>
                      </w:rPr>
                      <w:instrText xml:space="preserve"> NUMPAGES  \* MERGEFORMAT </w:instrText>
                    </w:r>
                    <w:r>
                      <w:rPr>
                        <w:rFonts w:hint="eastAsia" w:ascii="宋体" w:hAnsi="宋体" w:cs="宋体"/>
                        <w:sz w:val="28"/>
                        <w:szCs w:val="28"/>
                      </w:rPr>
                      <w:fldChar w:fldCharType="separate"/>
                    </w:r>
                    <w:r>
                      <w:rPr>
                        <w:rFonts w:hint="eastAsia" w:ascii="宋体" w:hAnsi="宋体" w:cs="宋体"/>
                        <w:sz w:val="28"/>
                        <w:szCs w:val="28"/>
                      </w:rPr>
                      <w:t>2</w:t>
                    </w:r>
                    <w:r>
                      <w:rPr>
                        <w:rFonts w:hint="eastAsia" w:ascii="宋体" w:hAnsi="宋体" w:cs="宋体"/>
                        <w:sz w:val="28"/>
                        <w:szCs w:val="28"/>
                      </w:rPr>
                      <w:fldChar w:fldCharType="end"/>
                    </w:r>
                    <w:r>
                      <w:rPr>
                        <w:rFonts w:hint="eastAsia" w:ascii="宋体" w:hAnsi="宋体" w:cs="宋体"/>
                        <w:sz w:val="28"/>
                        <w:szCs w:val="28"/>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00000A"/>
    <w:multiLevelType w:val="multilevel"/>
    <w:tmpl w:val="0000000A"/>
    <w:lvl w:ilvl="0" w:tentative="0">
      <w:start w:val="1"/>
      <w:numFmt w:val="none"/>
      <w:pStyle w:val="2"/>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M2U5YzI2ZWYzNzA3YjY5MWY2NDE1MjMyNWZjOTUifQ=="/>
    <w:docVar w:name="KSO_WPS_MARK_KEY" w:val="3a570657-d4b9-4633-8bde-b1be1a221b99"/>
  </w:docVars>
  <w:rsids>
    <w:rsidRoot w:val="5BA419F7"/>
    <w:rsid w:val="000C2D70"/>
    <w:rsid w:val="00193C35"/>
    <w:rsid w:val="0032134F"/>
    <w:rsid w:val="006B3149"/>
    <w:rsid w:val="009216D8"/>
    <w:rsid w:val="00C36E7B"/>
    <w:rsid w:val="00C74F72"/>
    <w:rsid w:val="00D707FE"/>
    <w:rsid w:val="00E058E8"/>
    <w:rsid w:val="00EF5DF4"/>
    <w:rsid w:val="00FF2F08"/>
    <w:rsid w:val="010A478A"/>
    <w:rsid w:val="02B83402"/>
    <w:rsid w:val="042774DD"/>
    <w:rsid w:val="048D2705"/>
    <w:rsid w:val="04CD463F"/>
    <w:rsid w:val="04FA4431"/>
    <w:rsid w:val="05C51508"/>
    <w:rsid w:val="06476E0A"/>
    <w:rsid w:val="06BAE61F"/>
    <w:rsid w:val="071C7669"/>
    <w:rsid w:val="07580619"/>
    <w:rsid w:val="0776795A"/>
    <w:rsid w:val="07DA78EE"/>
    <w:rsid w:val="08365B64"/>
    <w:rsid w:val="087864F3"/>
    <w:rsid w:val="090B4D3A"/>
    <w:rsid w:val="09290BEC"/>
    <w:rsid w:val="09AA7B69"/>
    <w:rsid w:val="0A2F38BD"/>
    <w:rsid w:val="0A3665F0"/>
    <w:rsid w:val="0B22091D"/>
    <w:rsid w:val="0CF71776"/>
    <w:rsid w:val="0D242541"/>
    <w:rsid w:val="0EB14497"/>
    <w:rsid w:val="0FB748D6"/>
    <w:rsid w:val="103E22C5"/>
    <w:rsid w:val="11524677"/>
    <w:rsid w:val="115320F9"/>
    <w:rsid w:val="119E3BCA"/>
    <w:rsid w:val="1350279A"/>
    <w:rsid w:val="14203063"/>
    <w:rsid w:val="143E1E38"/>
    <w:rsid w:val="1490670C"/>
    <w:rsid w:val="152E563E"/>
    <w:rsid w:val="15B93156"/>
    <w:rsid w:val="16D23D7F"/>
    <w:rsid w:val="18325353"/>
    <w:rsid w:val="188449CB"/>
    <w:rsid w:val="18B229B2"/>
    <w:rsid w:val="19FE4517"/>
    <w:rsid w:val="1AE345F4"/>
    <w:rsid w:val="1B37398D"/>
    <w:rsid w:val="1C7339BB"/>
    <w:rsid w:val="1C7A5BA8"/>
    <w:rsid w:val="1E664711"/>
    <w:rsid w:val="1E707A25"/>
    <w:rsid w:val="1E9D0594"/>
    <w:rsid w:val="1EC222D9"/>
    <w:rsid w:val="1F2B5D07"/>
    <w:rsid w:val="1FC004DE"/>
    <w:rsid w:val="1FD31F15"/>
    <w:rsid w:val="212E3259"/>
    <w:rsid w:val="22287087"/>
    <w:rsid w:val="22BB548D"/>
    <w:rsid w:val="237778B4"/>
    <w:rsid w:val="23F5677C"/>
    <w:rsid w:val="24626694"/>
    <w:rsid w:val="258D6CE0"/>
    <w:rsid w:val="27A45517"/>
    <w:rsid w:val="2B1B3EFC"/>
    <w:rsid w:val="2CEA3815"/>
    <w:rsid w:val="2DE10173"/>
    <w:rsid w:val="2F327E79"/>
    <w:rsid w:val="2F7CE1EF"/>
    <w:rsid w:val="2F8A6913"/>
    <w:rsid w:val="30DB5683"/>
    <w:rsid w:val="30FA2F6D"/>
    <w:rsid w:val="31562B39"/>
    <w:rsid w:val="31BE0AF5"/>
    <w:rsid w:val="32CE76E8"/>
    <w:rsid w:val="3334290F"/>
    <w:rsid w:val="33740640"/>
    <w:rsid w:val="3585615B"/>
    <w:rsid w:val="363C12E3"/>
    <w:rsid w:val="368E5656"/>
    <w:rsid w:val="377FBB27"/>
    <w:rsid w:val="37F16547"/>
    <w:rsid w:val="38B63DA7"/>
    <w:rsid w:val="3930619F"/>
    <w:rsid w:val="3A4E178D"/>
    <w:rsid w:val="3B8C57C0"/>
    <w:rsid w:val="3BF97ECA"/>
    <w:rsid w:val="3C2965F0"/>
    <w:rsid w:val="3D624A2B"/>
    <w:rsid w:val="3D6B1177"/>
    <w:rsid w:val="3E5F4AE1"/>
    <w:rsid w:val="3E853745"/>
    <w:rsid w:val="3F2604DF"/>
    <w:rsid w:val="3F6783E4"/>
    <w:rsid w:val="3F842066"/>
    <w:rsid w:val="3FFF82D4"/>
    <w:rsid w:val="402E7C06"/>
    <w:rsid w:val="40FE5F8F"/>
    <w:rsid w:val="425049CE"/>
    <w:rsid w:val="442B16EC"/>
    <w:rsid w:val="458F64B9"/>
    <w:rsid w:val="45C51FFB"/>
    <w:rsid w:val="46157ACD"/>
    <w:rsid w:val="47243FC5"/>
    <w:rsid w:val="48C10000"/>
    <w:rsid w:val="4A555101"/>
    <w:rsid w:val="4ADF49AE"/>
    <w:rsid w:val="4B8F0B22"/>
    <w:rsid w:val="4C02380F"/>
    <w:rsid w:val="4C7C04B3"/>
    <w:rsid w:val="4CC8271B"/>
    <w:rsid w:val="4D9306AE"/>
    <w:rsid w:val="4E8950D9"/>
    <w:rsid w:val="4F4A3571"/>
    <w:rsid w:val="4F722566"/>
    <w:rsid w:val="4F93378A"/>
    <w:rsid w:val="503F09B5"/>
    <w:rsid w:val="50B64B0F"/>
    <w:rsid w:val="516D5500"/>
    <w:rsid w:val="521C11F4"/>
    <w:rsid w:val="52802336"/>
    <w:rsid w:val="53A0483E"/>
    <w:rsid w:val="53A70F92"/>
    <w:rsid w:val="547C0750"/>
    <w:rsid w:val="55FE5622"/>
    <w:rsid w:val="57503162"/>
    <w:rsid w:val="58A4140A"/>
    <w:rsid w:val="591F0542"/>
    <w:rsid w:val="59A10938"/>
    <w:rsid w:val="5BA419F7"/>
    <w:rsid w:val="5BEF1DBF"/>
    <w:rsid w:val="5BF91583"/>
    <w:rsid w:val="5BFB2E57"/>
    <w:rsid w:val="5C5D2BD9"/>
    <w:rsid w:val="5DD7483B"/>
    <w:rsid w:val="5E5D6E1D"/>
    <w:rsid w:val="5E5FAB03"/>
    <w:rsid w:val="5E605C94"/>
    <w:rsid w:val="5EA00CBE"/>
    <w:rsid w:val="5F9FEDD5"/>
    <w:rsid w:val="5FBEF003"/>
    <w:rsid w:val="5FE33914"/>
    <w:rsid w:val="5FFA4D85"/>
    <w:rsid w:val="602422E6"/>
    <w:rsid w:val="60B635F2"/>
    <w:rsid w:val="60C16F3B"/>
    <w:rsid w:val="612E7E8C"/>
    <w:rsid w:val="617678F3"/>
    <w:rsid w:val="61DC2B1A"/>
    <w:rsid w:val="623B7475"/>
    <w:rsid w:val="636955DE"/>
    <w:rsid w:val="646E5E05"/>
    <w:rsid w:val="64E43803"/>
    <w:rsid w:val="657F58CB"/>
    <w:rsid w:val="66934D57"/>
    <w:rsid w:val="6AD7030F"/>
    <w:rsid w:val="6BA277B7"/>
    <w:rsid w:val="6BCC1BB9"/>
    <w:rsid w:val="6C00528B"/>
    <w:rsid w:val="6C6723F1"/>
    <w:rsid w:val="6CA517CF"/>
    <w:rsid w:val="6D064CEC"/>
    <w:rsid w:val="6D6C7F13"/>
    <w:rsid w:val="6D923254"/>
    <w:rsid w:val="6DD2313B"/>
    <w:rsid w:val="6E04767D"/>
    <w:rsid w:val="6E355D52"/>
    <w:rsid w:val="6E6950E9"/>
    <w:rsid w:val="6ED952C0"/>
    <w:rsid w:val="6F013B3F"/>
    <w:rsid w:val="6F732ABB"/>
    <w:rsid w:val="6FF58B64"/>
    <w:rsid w:val="6FF8F863"/>
    <w:rsid w:val="70CF02CA"/>
    <w:rsid w:val="70F532B7"/>
    <w:rsid w:val="71013020"/>
    <w:rsid w:val="710D7C3E"/>
    <w:rsid w:val="71FC56E7"/>
    <w:rsid w:val="737427E7"/>
    <w:rsid w:val="7376089F"/>
    <w:rsid w:val="74E06ABE"/>
    <w:rsid w:val="75B2DA43"/>
    <w:rsid w:val="75BD90DB"/>
    <w:rsid w:val="75CC41D0"/>
    <w:rsid w:val="75F8119D"/>
    <w:rsid w:val="76222141"/>
    <w:rsid w:val="76704CDE"/>
    <w:rsid w:val="76D869B3"/>
    <w:rsid w:val="76FD0A98"/>
    <w:rsid w:val="77DF8BD4"/>
    <w:rsid w:val="77EFD5CC"/>
    <w:rsid w:val="77FFADAC"/>
    <w:rsid w:val="7835649C"/>
    <w:rsid w:val="789620E4"/>
    <w:rsid w:val="78FD530C"/>
    <w:rsid w:val="7AFB4DD2"/>
    <w:rsid w:val="7B0F6E9A"/>
    <w:rsid w:val="7BA46A39"/>
    <w:rsid w:val="7BFD6076"/>
    <w:rsid w:val="7C8E43D6"/>
    <w:rsid w:val="7DA813EB"/>
    <w:rsid w:val="7DFF108F"/>
    <w:rsid w:val="7EED8AE6"/>
    <w:rsid w:val="7F5A6980"/>
    <w:rsid w:val="7FEADF5C"/>
    <w:rsid w:val="91BF8AB9"/>
    <w:rsid w:val="9FF1B21D"/>
    <w:rsid w:val="B7BFD803"/>
    <w:rsid w:val="BD5EB179"/>
    <w:rsid w:val="BD7F788E"/>
    <w:rsid w:val="DEFF1EB3"/>
    <w:rsid w:val="DF3F4C88"/>
    <w:rsid w:val="DF7A9960"/>
    <w:rsid w:val="DFBF15D5"/>
    <w:rsid w:val="DFD70EC8"/>
    <w:rsid w:val="DFFE6C63"/>
    <w:rsid w:val="E53DE605"/>
    <w:rsid w:val="E775D448"/>
    <w:rsid w:val="ECC7B000"/>
    <w:rsid w:val="F0ED2927"/>
    <w:rsid w:val="F3EF5848"/>
    <w:rsid w:val="F5A28C7E"/>
    <w:rsid w:val="F9BF6AE4"/>
    <w:rsid w:val="FB57F652"/>
    <w:rsid w:val="FBBF88F6"/>
    <w:rsid w:val="FBFEBC90"/>
    <w:rsid w:val="FCF69F69"/>
    <w:rsid w:val="FD7BEF22"/>
    <w:rsid w:val="FD8BB826"/>
    <w:rsid w:val="FD9199D6"/>
    <w:rsid w:val="FDAC17BA"/>
    <w:rsid w:val="FDDF4064"/>
    <w:rsid w:val="FDF46C9E"/>
    <w:rsid w:val="FEAFF630"/>
    <w:rsid w:val="FEDEBCAC"/>
    <w:rsid w:val="FF7F62AA"/>
    <w:rsid w:val="FFDBA3A8"/>
    <w:rsid w:val="FFDF073B"/>
    <w:rsid w:val="FFFE0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numPr>
        <w:ilvl w:val="0"/>
        <w:numId w:val="1"/>
      </w:numPr>
      <w:spacing w:before="240" w:after="120"/>
      <w:jc w:val="left"/>
      <w:outlineLvl w:val="0"/>
    </w:pPr>
    <w:rPr>
      <w:rFonts w:ascii="Times New Roman" w:hAnsi="Times New Roman" w:cs="Mangal"/>
      <w:color w:val="00000A"/>
      <w:sz w:val="24"/>
      <w:lang w:val="zh-CN" w:bidi="hi-IN"/>
    </w:rPr>
  </w:style>
  <w:style w:type="character" w:default="1" w:styleId="9">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Body Text"/>
    <w:basedOn w:val="1"/>
    <w:qFormat/>
    <w:uiPriority w:val="1"/>
    <w:pPr>
      <w:autoSpaceDE w:val="0"/>
      <w:autoSpaceDN w:val="0"/>
      <w:adjustRightInd w:val="0"/>
      <w:jc w:val="left"/>
    </w:pPr>
    <w:rPr>
      <w:rFonts w:ascii="Arial Unicode MS" w:hAnsi="Times New Roman" w:eastAsia="Arial Unicode MS"/>
      <w:kern w:val="0"/>
      <w:sz w:val="32"/>
      <w:szCs w:val="32"/>
    </w:rPr>
  </w:style>
  <w:style w:type="paragraph" w:styleId="4">
    <w:name w:val="Date"/>
    <w:basedOn w:val="1"/>
    <w:next w:val="1"/>
    <w:link w:val="10"/>
    <w:qFormat/>
    <w:uiPriority w:val="0"/>
    <w:pPr>
      <w:ind w:left="100" w:leftChars="2500"/>
    </w:p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Autospacing="1" w:afterAutospacing="1"/>
      <w:jc w:val="left"/>
    </w:pPr>
    <w:rPr>
      <w:kern w:val="0"/>
      <w:sz w:val="24"/>
    </w:rPr>
  </w:style>
  <w:style w:type="character" w:customStyle="1" w:styleId="10">
    <w:name w:val="日期 字符"/>
    <w:basedOn w:val="9"/>
    <w:link w:val="4"/>
    <w:qFormat/>
    <w:uiPriority w:val="0"/>
    <w:rPr>
      <w:rFonts w:ascii="Calibri" w:hAnsi="Calibri"/>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1913</Words>
  <Characters>2172</Characters>
  <Lines>18</Lines>
  <Paragraphs>5</Paragraphs>
  <TotalTime>7</TotalTime>
  <ScaleCrop>false</ScaleCrop>
  <LinksUpToDate>false</LinksUpToDate>
  <CharactersWithSpaces>2589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2024-10-30T01:25:00Z</dcterms:created>
  <dc:creator>胖林宝宝噜啦噜～</dc:creator>
  <cp:lastModifiedBy>Administrator</cp:lastModifiedBy>
  <dcterms:modified xsi:type="dcterms:W3CDTF">2024-11-22T08:10:10Z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712CD690B9AC405EAF6AA7A2D5AB2B8A_13</vt:lpwstr>
  </property>
</Properties>
</file>