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AE3458">
      <w:pPr>
        <w:numPr>
          <w:ilvl w:val="0"/>
          <w:numId w:val="2"/>
        </w:numPr>
        <w:spacing w:line="640" w:lineRule="exact"/>
        <w:jc w:val="center"/>
        <w:outlineLvl w:val="0"/>
        <w:rPr>
          <w:rFonts w:hint="eastAsia" w:ascii="方正小标宋简体" w:hAnsi="方正小标宋简体" w:eastAsia="方正小标宋简体" w:cs="方正小标宋简体"/>
          <w:sz w:val="44"/>
          <w:szCs w:val="44"/>
        </w:rPr>
      </w:pPr>
      <w:bookmarkStart w:id="0" w:name="DYNAMIC—DWXX—tAj_dwmc"/>
      <w:r>
        <w:rPr>
          <w:rFonts w:ascii="方正小标宋简体" w:hAnsi="方正小标宋简体" w:eastAsia="方正小标宋简体" w:cs="方正小标宋简体"/>
          <w:color w:val="000000"/>
          <w:sz w:val="44"/>
        </w:rPr>
        <w:t>洛阳市偃师区市场监督管理局</w:t>
      </w:r>
      <w:bookmarkEnd w:id="0"/>
    </w:p>
    <w:p w14:paraId="581ADB13">
      <w:pPr>
        <w:pStyle w:val="2"/>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hint="eastAsia" w:hAnsi="方正小标宋简体" w:eastAsia="方正小标宋简体" w:cs="方正小标宋简体"/>
          <w:color w:val="000000"/>
          <w:sz w:val="44"/>
          <w:szCs w:val="44"/>
          <w:lang w:val="en-US"/>
        </w:rPr>
        <w:t>行政处罚</w:t>
      </w:r>
      <w:r>
        <w:rPr>
          <w:rFonts w:hint="eastAsia" w:hAnsi="方正小标宋简体" w:eastAsia="方正小标宋简体" w:cs="方正小标宋简体"/>
          <w:color w:val="000000"/>
          <w:sz w:val="44"/>
          <w:szCs w:val="44"/>
          <w:lang w:val="en-US" w:eastAsia="zh-Hans"/>
        </w:rPr>
        <w:t>决定</w:t>
      </w:r>
      <w:r>
        <w:rPr>
          <w:rFonts w:hint="eastAsia" w:hAnsi="方正小标宋简体" w:eastAsia="方正小标宋简体" w:cs="方正小标宋简体"/>
          <w:color w:val="000000"/>
          <w:sz w:val="44"/>
          <w:szCs w:val="44"/>
          <w:lang w:val="en-US"/>
        </w:rPr>
        <w:t>书</w:t>
      </w:r>
      <w:bookmarkEnd w:id="1"/>
    </w:p>
    <w:p w14:paraId="19535035">
      <w:pPr>
        <w:widowControl/>
        <w:snapToGrid w:val="0"/>
        <w:spacing w:line="560" w:lineRule="exact"/>
        <w:ind w:right="55"/>
        <w:jc w:val="center"/>
        <w:outlineLvl w:val="1"/>
        <w:rPr>
          <w:rFonts w:hint="eastAsia" w:ascii="Times New Roman" w:hAnsi="仿宋_GB2312" w:eastAsia="仿宋_GB2312" w:cs="仿宋_GB2312"/>
          <w:bCs/>
          <w:sz w:val="32"/>
          <w:szCs w:val="32"/>
        </w:rPr>
      </w:pPr>
      <w:bookmarkStart w:id="2" w:name="tAj_wh"/>
      <w:r>
        <w:rPr>
          <w:rFonts w:hint="eastAsia" w:ascii="Times New Roman" w:hAnsi="Times New Roman" w:eastAsia="仿宋_GB2312" w:cs="Mongolian Baiti"/>
          <w:color w:val="000000"/>
          <w:sz w:val="32"/>
        </w:rPr>
        <w:t>偃市监处罚〔2024〕82号</w:t>
      </w:r>
      <w:bookmarkEnd w:id="2"/>
    </w:p>
    <w:p w14:paraId="2C38AEBD">
      <w:pPr>
        <w:spacing w:before="312" w:beforeLines="100" w:line="560" w:lineRule="exact"/>
        <w:ind w:left="142" w:hanging="142"/>
        <w:rPr>
          <w:rFonts w:hint="eastAsia" w:ascii="仿宋" w:hAnsi="仿宋" w:eastAsia="仿宋" w:cs="仿宋"/>
          <w:bCs/>
          <w:sz w:val="32"/>
          <w:szCs w:val="32"/>
        </w:rPr>
      </w:pPr>
      <w:r>
        <w:rPr>
          <w:rFonts w:hint="eastAsia" w:ascii="仿宋" w:hAnsi="仿宋" w:eastAsia="仿宋" w:cs="仿宋"/>
          <w:bCs/>
          <w:kern w:val="1"/>
          <w:sz w:val="32"/>
          <w:szCs w:val="32"/>
        </w:rPr>
        <w:t>当事人：</w:t>
      </w:r>
      <w:bookmarkStart w:id="3" w:name="CALCULATE—DSR—tAjDsrs_cMc"/>
      <w:r>
        <w:rPr>
          <w:rFonts w:hint="eastAsia" w:ascii="仿宋" w:hAnsi="仿宋" w:eastAsia="仿宋" w:cs="仿宋"/>
          <w:sz w:val="32"/>
          <w:szCs w:val="32"/>
          <w:u w:val="single"/>
        </w:rPr>
        <w:t>偃师市邙岭镇多乐福购物超市</w:t>
      </w:r>
      <w:bookmarkEnd w:id="3"/>
      <w:r>
        <w:rPr>
          <w:rFonts w:hint="eastAsia" w:ascii="仿宋" w:hAnsi="仿宋" w:eastAsia="仿宋" w:cs="仿宋"/>
          <w:bCs/>
          <w:kern w:val="1"/>
          <w:sz w:val="32"/>
          <w:szCs w:val="32"/>
          <w:u w:val="single"/>
        </w:rPr>
        <w:t xml:space="preserve">                                            </w:t>
      </w:r>
    </w:p>
    <w:p w14:paraId="159445F4">
      <w:pPr>
        <w:spacing w:line="560" w:lineRule="exact"/>
        <w:ind w:left="140" w:hanging="140"/>
        <w:rPr>
          <w:rFonts w:hint="eastAsia" w:ascii="仿宋" w:hAnsi="仿宋" w:eastAsia="仿宋" w:cs="仿宋"/>
          <w:bCs/>
          <w:kern w:val="1"/>
          <w:sz w:val="32"/>
          <w:szCs w:val="32"/>
          <w:u w:val="single"/>
        </w:rPr>
      </w:pPr>
      <w:r>
        <w:rPr>
          <w:rFonts w:hint="eastAsia" w:ascii="仿宋" w:hAnsi="仿宋" w:eastAsia="仿宋" w:cs="仿宋"/>
          <w:bCs/>
          <w:kern w:val="1"/>
          <w:sz w:val="32"/>
          <w:szCs w:val="32"/>
        </w:rPr>
        <w:t>主体资格证照名称：</w:t>
      </w:r>
      <w:bookmarkStart w:id="4" w:name="CALCULATE—DSR—tAjDsrs_cZtzgzzmc"/>
      <w:r>
        <w:rPr>
          <w:rFonts w:hint="eastAsia" w:ascii="仿宋" w:hAnsi="仿宋" w:eastAsia="仿宋" w:cs="仿宋"/>
          <w:sz w:val="32"/>
          <w:szCs w:val="32"/>
          <w:u w:val="single"/>
        </w:rPr>
        <w:t>营业执照</w:t>
      </w:r>
      <w:bookmarkEnd w:id="4"/>
      <w:r>
        <w:rPr>
          <w:rFonts w:hint="eastAsia" w:ascii="仿宋" w:hAnsi="仿宋" w:eastAsia="仿宋" w:cs="仿宋"/>
          <w:bCs/>
          <w:kern w:val="1"/>
          <w:sz w:val="32"/>
          <w:szCs w:val="32"/>
          <w:u w:val="single"/>
        </w:rPr>
        <w:t xml:space="preserve">                                  </w:t>
      </w:r>
    </w:p>
    <w:p w14:paraId="744C6B71">
      <w:pPr>
        <w:spacing w:line="560" w:lineRule="exact"/>
        <w:ind w:left="140" w:hanging="140"/>
        <w:rPr>
          <w:rFonts w:hint="eastAsia" w:ascii="仿宋" w:hAnsi="仿宋" w:eastAsia="仿宋" w:cs="仿宋"/>
          <w:bCs/>
          <w:kern w:val="1"/>
          <w:sz w:val="32"/>
          <w:szCs w:val="32"/>
          <w:u w:val="single"/>
        </w:rPr>
      </w:pPr>
      <w:r>
        <w:rPr>
          <w:rFonts w:hint="eastAsia" w:ascii="仿宋" w:hAnsi="仿宋" w:eastAsia="仿宋" w:cs="仿宋"/>
          <w:bCs/>
          <w:kern w:val="1"/>
          <w:sz w:val="32"/>
          <w:szCs w:val="32"/>
        </w:rPr>
        <w:t>统一社会信用代码：</w:t>
      </w:r>
      <w:bookmarkStart w:id="5" w:name="CALCULATE—DSR—tAjDsrs_cTzshxydm"/>
      <w:r>
        <w:rPr>
          <w:rFonts w:hint="eastAsia" w:ascii="仿宋" w:hAnsi="仿宋" w:eastAsia="仿宋" w:cs="仿宋"/>
          <w:sz w:val="32"/>
          <w:szCs w:val="32"/>
          <w:u w:val="single"/>
        </w:rPr>
        <w:t>92410381MA9GFFRR3Y</w:t>
      </w:r>
      <w:bookmarkEnd w:id="5"/>
      <w:r>
        <w:rPr>
          <w:rFonts w:hint="eastAsia" w:ascii="仿宋" w:hAnsi="仿宋" w:eastAsia="仿宋" w:cs="仿宋"/>
          <w:bCs/>
          <w:kern w:val="1"/>
          <w:sz w:val="32"/>
          <w:szCs w:val="32"/>
          <w:u w:val="single"/>
        </w:rPr>
        <w:t xml:space="preserve">                                  </w:t>
      </w:r>
    </w:p>
    <w:p w14:paraId="32C2CB08">
      <w:pPr>
        <w:spacing w:line="560" w:lineRule="exact"/>
        <w:ind w:left="140" w:hanging="140"/>
        <w:rPr>
          <w:rFonts w:hint="eastAsia" w:ascii="仿宋" w:hAnsi="仿宋" w:eastAsia="仿宋" w:cs="仿宋"/>
          <w:bCs/>
          <w:kern w:val="1"/>
          <w:sz w:val="32"/>
          <w:szCs w:val="32"/>
        </w:rPr>
      </w:pPr>
      <w:r>
        <w:rPr>
          <w:rFonts w:hint="eastAsia" w:ascii="仿宋" w:hAnsi="仿宋" w:eastAsia="仿宋" w:cs="仿宋"/>
          <w:bCs/>
          <w:kern w:val="1"/>
          <w:sz w:val="32"/>
          <w:szCs w:val="32"/>
        </w:rPr>
        <w:t>住所：</w:t>
      </w:r>
      <w:bookmarkStart w:id="6" w:name="CALCULATE—DSR—tAjDsrs_cLxdzSheng"/>
      <w:r>
        <w:rPr>
          <w:rFonts w:hint="eastAsia" w:ascii="仿宋" w:hAnsi="仿宋" w:eastAsia="仿宋" w:cs="仿宋"/>
          <w:sz w:val="32"/>
          <w:szCs w:val="32"/>
          <w:u w:val="single"/>
        </w:rPr>
        <w:t>河南省洛阳市偃师市邙岭镇杨庄村光上路3组</w:t>
      </w:r>
      <w:bookmarkEnd w:id="6"/>
      <w:r>
        <w:rPr>
          <w:rFonts w:hint="eastAsia" w:ascii="仿宋" w:hAnsi="仿宋" w:eastAsia="仿宋" w:cs="仿宋"/>
          <w:bCs/>
          <w:kern w:val="1"/>
          <w:sz w:val="32"/>
          <w:szCs w:val="32"/>
          <w:u w:val="single"/>
        </w:rPr>
        <w:t xml:space="preserve">                                                 </w:t>
      </w:r>
    </w:p>
    <w:p w14:paraId="24B9B19D">
      <w:pPr>
        <w:spacing w:line="560" w:lineRule="exact"/>
        <w:rPr>
          <w:rFonts w:hint="eastAsia" w:ascii="仿宋" w:hAnsi="仿宋" w:eastAsia="仿宋" w:cs="仿宋"/>
          <w:bCs/>
          <w:sz w:val="32"/>
          <w:szCs w:val="32"/>
          <w:u w:val="single" w:color="231F20"/>
        </w:rPr>
      </w:pPr>
      <w:r>
        <w:rPr>
          <w:rFonts w:hint="eastAsia" w:ascii="仿宋" w:hAnsi="仿宋" w:eastAsia="仿宋" w:cs="仿宋"/>
          <w:bCs/>
          <w:kern w:val="1"/>
          <w:sz w:val="32"/>
          <w:szCs w:val="32"/>
        </w:rPr>
        <w:t>法定代表人（负责人、经营者）：</w:t>
      </w:r>
      <w:bookmarkStart w:id="7" w:name="CALCULATE—DSR—tAjDsrs_cFddbr"/>
      <w:r>
        <w:rPr>
          <w:rFonts w:hint="eastAsia" w:ascii="仿宋" w:hAnsi="仿宋" w:eastAsia="仿宋" w:cs="仿宋"/>
          <w:sz w:val="32"/>
          <w:szCs w:val="32"/>
          <w:u w:val="single"/>
        </w:rPr>
        <w:t>刘玉锋</w:t>
      </w:r>
      <w:bookmarkEnd w:id="7"/>
      <w:r>
        <w:rPr>
          <w:rFonts w:hint="eastAsia" w:ascii="仿宋" w:hAnsi="仿宋" w:eastAsia="仿宋" w:cs="仿宋"/>
          <w:bCs/>
          <w:kern w:val="1"/>
          <w:sz w:val="32"/>
          <w:szCs w:val="32"/>
          <w:u w:val="single"/>
        </w:rPr>
        <w:t xml:space="preserve">                       </w:t>
      </w:r>
      <w:bookmarkStart w:id="15" w:name="_GoBack"/>
      <w:bookmarkEnd w:id="15"/>
    </w:p>
    <w:p w14:paraId="02DF924E">
      <w:pPr>
        <w:pStyle w:val="3"/>
        <w:tabs>
          <w:tab w:val="left" w:pos="8240"/>
        </w:tabs>
        <w:spacing w:line="560" w:lineRule="exact"/>
        <w:ind w:firstLine="640" w:firstLineChars="200"/>
        <w:rPr>
          <w:rFonts w:hint="eastAsia" w:ascii="仿宋" w:hAnsi="仿宋" w:eastAsia="仿宋" w:cs="仿宋"/>
          <w:u w:val="single" w:color="231F20"/>
        </w:rPr>
      </w:pPr>
      <w:r>
        <w:rPr>
          <w:rFonts w:hint="eastAsia" w:ascii="仿宋" w:hAnsi="仿宋" w:eastAsia="仿宋" w:cs="仿宋"/>
          <w:bCs/>
          <w:kern w:val="1"/>
          <w:u w:val="single"/>
        </w:rPr>
        <w:t>经查，</w:t>
      </w:r>
      <w:bookmarkStart w:id="8" w:name="CALCULATE—AJCF—tAjCfes_cAjss"/>
      <w:r>
        <w:rPr>
          <w:rFonts w:hint="eastAsia" w:ascii="仿宋" w:hAnsi="仿宋" w:eastAsia="仿宋" w:cs="仿宋"/>
          <w:u w:val="single" w:color="231F20"/>
        </w:rPr>
        <w:t>2024年6月17日，当事人从偃师市槐新街道办事处冬梅蔬菜摊购进大葱20.4斤，每斤购进价格1元，售价每斤1.58元，已全部销售，违法所得32.2元。上述大葱经河南省广电计量检测有限公司检验，其出具的（No：FZZ20240611626）检验报告显示：经抽样检验，噻虫嗪项目</w:t>
      </w:r>
      <w:r>
        <w:rPr>
          <w:rFonts w:hint="eastAsia" w:ascii="仿宋" w:hAnsi="仿宋" w:eastAsia="仿宋" w:cs="仿宋"/>
          <w:u w:val="single"/>
        </w:rPr>
        <w:t>不符合GB 2763-2021《食品安全国家标准食品中农药最大残留限量》要求，检验结论为</w:t>
      </w:r>
      <w:r>
        <w:rPr>
          <w:rFonts w:hint="eastAsia" w:ascii="仿宋" w:hAnsi="仿宋" w:eastAsia="仿宋" w:cs="仿宋"/>
          <w:u w:val="single" w:color="231F20"/>
        </w:rPr>
        <w:t xml:space="preserve">不合格。当事人对检验结果无异议。                                                      </w:t>
      </w:r>
      <w:r>
        <w:rPr>
          <w:rFonts w:hint="eastAsia" w:ascii="仿宋" w:hAnsi="仿宋" w:eastAsia="仿宋" w:cs="仿宋"/>
          <w:u w:val="single" w:color="231F20"/>
        </w:rPr>
        <w:br w:type="textWrapping"/>
      </w:r>
      <w:r>
        <w:rPr>
          <w:rFonts w:hint="eastAsia" w:ascii="仿宋" w:hAnsi="仿宋" w:eastAsia="仿宋" w:cs="仿宋"/>
        </w:rPr>
        <w:t xml:space="preserve">   </w:t>
      </w:r>
      <w:r>
        <w:rPr>
          <w:rFonts w:hint="eastAsia" w:ascii="仿宋" w:hAnsi="仿宋" w:eastAsia="仿宋" w:cs="仿宋"/>
          <w:u w:val="single" w:color="231F20"/>
        </w:rPr>
        <w:t xml:space="preserve">上述事实，有以下证据证明：                               </w:t>
      </w:r>
      <w:r>
        <w:rPr>
          <w:rFonts w:hint="eastAsia" w:ascii="仿宋" w:hAnsi="仿宋" w:eastAsia="仿宋" w:cs="仿宋"/>
          <w:u w:val="single" w:color="231F20"/>
        </w:rPr>
        <w:br w:type="textWrapping"/>
      </w:r>
      <w:r>
        <w:rPr>
          <w:rFonts w:hint="eastAsia" w:ascii="仿宋" w:hAnsi="仿宋" w:eastAsia="仿宋" w:cs="仿宋"/>
        </w:rPr>
        <w:t xml:space="preserve">   </w:t>
      </w:r>
      <w:r>
        <w:rPr>
          <w:rFonts w:hint="eastAsia" w:ascii="仿宋" w:hAnsi="仿宋" w:eastAsia="仿宋" w:cs="仿宋"/>
          <w:u w:val="single" w:color="231F20"/>
        </w:rPr>
        <w:t xml:space="preserve">1、当事人身份证复印件及委托书；营业执照、食品经营许可证复印件，证明当事人身份及委托事项及和办理营业执照、食品经营许可证的核准登记内容；                        </w:t>
      </w:r>
      <w:r>
        <w:rPr>
          <w:rFonts w:hint="eastAsia" w:ascii="仿宋" w:hAnsi="仿宋" w:eastAsia="仿宋" w:cs="仿宋"/>
          <w:u w:val="single" w:color="231F20"/>
        </w:rPr>
        <w:br w:type="textWrapping"/>
      </w:r>
      <w:r>
        <w:rPr>
          <w:rFonts w:hint="eastAsia" w:ascii="仿宋" w:hAnsi="仿宋" w:eastAsia="仿宋" w:cs="仿宋"/>
        </w:rPr>
        <w:t xml:space="preserve">    </w:t>
      </w:r>
      <w:r>
        <w:rPr>
          <w:rFonts w:hint="eastAsia" w:ascii="仿宋" w:hAnsi="仿宋" w:eastAsia="仿宋" w:cs="仿宋"/>
          <w:u w:val="single" w:color="231F20"/>
        </w:rPr>
        <w:t xml:space="preserve">2.检验报告（No：FZZ20240611626）及食品安全抽样检验结果通知书，证明当事人经营的大葱，噻虫嗪项目抽检为不合格；                                                </w:t>
      </w:r>
      <w:r>
        <w:rPr>
          <w:rFonts w:hint="eastAsia" w:ascii="仿宋" w:hAnsi="仿宋" w:eastAsia="仿宋" w:cs="仿宋"/>
          <w:u w:val="single" w:color="231F20"/>
        </w:rPr>
        <w:br w:type="textWrapping"/>
      </w:r>
      <w:r>
        <w:rPr>
          <w:rFonts w:hint="eastAsia" w:ascii="仿宋" w:hAnsi="仿宋" w:eastAsia="仿宋" w:cs="仿宋"/>
        </w:rPr>
        <w:t xml:space="preserve">    </w:t>
      </w:r>
      <w:r>
        <w:rPr>
          <w:rFonts w:hint="eastAsia" w:ascii="仿宋" w:hAnsi="仿宋" w:eastAsia="仿宋" w:cs="仿宋"/>
          <w:u w:val="single" w:color="231F20"/>
        </w:rPr>
        <w:t xml:space="preserve">3.现场检查笔录及询问笔录，证明当事人经营不合格大葱的现场检查情况及违法事实。                          </w:t>
      </w:r>
    </w:p>
    <w:p w14:paraId="55FC6BA3">
      <w:pPr>
        <w:pStyle w:val="3"/>
        <w:tabs>
          <w:tab w:val="left" w:pos="8240"/>
        </w:tabs>
        <w:spacing w:line="560" w:lineRule="exact"/>
        <w:ind w:firstLine="640" w:firstLineChars="200"/>
        <w:rPr>
          <w:rFonts w:hint="eastAsia" w:ascii="仿宋" w:hAnsi="仿宋" w:eastAsia="仿宋" w:cs="仿宋"/>
          <w:u w:val="single" w:color="231F20"/>
        </w:rPr>
      </w:pPr>
      <w:r>
        <w:rPr>
          <w:rFonts w:hint="eastAsia" w:ascii="仿宋" w:hAnsi="仿宋" w:eastAsia="仿宋" w:cs="仿宋"/>
          <w:u w:val="single" w:color="231F20"/>
        </w:rPr>
        <w:t xml:space="preserve">4.供货商的营业执照及食品经营许可证，证明当事人购进大葱情况；                                                 </w:t>
      </w:r>
    </w:p>
    <w:p w14:paraId="4FBA39FD">
      <w:pPr>
        <w:pStyle w:val="3"/>
        <w:tabs>
          <w:tab w:val="left" w:pos="8240"/>
        </w:tabs>
        <w:spacing w:line="560" w:lineRule="exact"/>
        <w:ind w:firstLine="640" w:firstLineChars="200"/>
        <w:rPr>
          <w:rFonts w:hint="eastAsia" w:ascii="仿宋" w:hAnsi="仿宋" w:eastAsia="仿宋" w:cs="仿宋"/>
          <w:bCs/>
          <w:kern w:val="1"/>
          <w:u w:val="single"/>
        </w:rPr>
      </w:pPr>
      <w:r>
        <w:rPr>
          <w:rFonts w:hint="eastAsia" w:ascii="仿宋" w:hAnsi="仿宋" w:eastAsia="仿宋" w:cs="仿宋"/>
          <w:u w:val="single" w:color="231F20"/>
        </w:rPr>
        <w:t>5.召回公告及照片，证明当事人</w:t>
      </w:r>
      <w:bookmarkEnd w:id="8"/>
      <w:r>
        <w:rPr>
          <w:rFonts w:hint="eastAsia" w:ascii="仿宋" w:hAnsi="仿宋" w:eastAsia="仿宋" w:cs="仿宋"/>
          <w:u w:val="single" w:color="231F20"/>
        </w:rPr>
        <w:t xml:space="preserve">履行了召回义务。        </w:t>
      </w:r>
    </w:p>
    <w:p w14:paraId="364F6D5C">
      <w:pPr>
        <w:pStyle w:val="3"/>
        <w:tabs>
          <w:tab w:val="left" w:pos="9060"/>
        </w:tabs>
        <w:spacing w:line="560" w:lineRule="exact"/>
        <w:rPr>
          <w:rFonts w:hint="eastAsia" w:ascii="仿宋" w:hAnsi="仿宋" w:eastAsia="仿宋" w:cs="仿宋"/>
          <w:u w:val="single"/>
        </w:rPr>
      </w:pPr>
      <w:r>
        <w:rPr>
          <w:rFonts w:hint="eastAsia" w:ascii="仿宋" w:hAnsi="仿宋" w:eastAsia="仿宋" w:cs="仿宋"/>
          <w:bCs/>
        </w:rPr>
        <w:t xml:space="preserve">   </w:t>
      </w:r>
      <w:r>
        <w:rPr>
          <w:rFonts w:hint="eastAsia" w:ascii="仿宋" w:hAnsi="仿宋" w:eastAsia="仿宋" w:cs="仿宋"/>
          <w:kern w:val="1"/>
        </w:rPr>
        <w:t>当事人的上述行为违反了</w:t>
      </w:r>
      <w:bookmarkStart w:id="9" w:name="CALCULATE—XZCFJDS—xzcfjdswfxx"/>
      <w:r>
        <w:rPr>
          <w:rFonts w:hint="eastAsia" w:ascii="仿宋" w:hAnsi="仿宋" w:eastAsia="仿宋" w:cs="仿宋"/>
          <w:u w:val="single"/>
        </w:rPr>
        <w:t>《中华人民共和国食品安全法》第三十四条</w:t>
      </w:r>
      <w:bookmarkEnd w:id="9"/>
      <w:r>
        <w:rPr>
          <w:rFonts w:hint="eastAsia" w:ascii="仿宋" w:hAnsi="仿宋" w:eastAsia="仿宋" w:cs="仿宋"/>
          <w:bCs/>
          <w:spacing w:val="-2"/>
          <w:u w:val="single"/>
        </w:rPr>
        <w:t>“禁止生产经营下列食品、食品添加剂、食品相关产品：（二）致病性微生物，农药残留、兽药残留、生物毒素、重金属等污染物质以及其他危害人体健康的物质含量超过食品安全标准限量的食品、食品添加剂、食品相关产品”</w:t>
      </w:r>
      <w:r>
        <w:rPr>
          <w:rFonts w:hint="eastAsia" w:ascii="仿宋" w:hAnsi="仿宋" w:eastAsia="仿宋" w:cs="仿宋"/>
          <w:spacing w:val="-2"/>
          <w:u w:val="single"/>
        </w:rPr>
        <w:t>的规定。因当事人能</w:t>
      </w:r>
      <w:r>
        <w:rPr>
          <w:rFonts w:hint="eastAsia" w:ascii="仿宋" w:hAnsi="仿宋" w:eastAsia="仿宋" w:cs="仿宋"/>
          <w:color w:val="231F20"/>
          <w:u w:val="single"/>
        </w:rPr>
        <w:t xml:space="preserve">积极配合调查，并如实陈述违法事实并主动提供证据材料，参照《河南省市场监督管理行政处罚裁量权适用通则》第十条“有下列情形之一的，可以依法从轻或者减轻行政处罚：（二）积极配合市场监管部门调查，并主动提供证据材料的；”的规定，根据其违法的事实、性质、情节及危害后果，可以依法对其减轻行政处罚。                </w:t>
      </w:r>
    </w:p>
    <w:p w14:paraId="20234315">
      <w:pPr>
        <w:pStyle w:val="3"/>
        <w:tabs>
          <w:tab w:val="left" w:pos="9060"/>
        </w:tabs>
        <w:spacing w:line="560" w:lineRule="exact"/>
        <w:rPr>
          <w:rFonts w:hint="eastAsia" w:ascii="仿宋" w:hAnsi="仿宋" w:eastAsia="仿宋" w:cs="仿宋"/>
          <w:bCs/>
          <w:u w:val="single"/>
        </w:rPr>
      </w:pPr>
      <w:r>
        <w:rPr>
          <w:rFonts w:hint="eastAsia" w:ascii="仿宋" w:hAnsi="仿宋" w:eastAsia="仿宋" w:cs="仿宋"/>
          <w:bCs/>
        </w:rPr>
        <w:t xml:space="preserve"> </w:t>
      </w:r>
      <w:bookmarkStart w:id="10" w:name="CALCULATE—XZCFJDS—cCfgzwsSdrq"/>
      <w:r>
        <w:rPr>
          <w:rFonts w:hint="eastAsia" w:ascii="仿宋" w:hAnsi="仿宋" w:eastAsia="仿宋" w:cs="仿宋"/>
          <w:bCs/>
        </w:rPr>
        <w:t xml:space="preserve">  </w:t>
      </w:r>
      <w:r>
        <w:rPr>
          <w:rFonts w:hint="eastAsia" w:ascii="仿宋" w:hAnsi="仿宋" w:eastAsia="仿宋" w:cs="仿宋"/>
          <w:bCs/>
          <w:u w:val="single"/>
        </w:rPr>
        <w:t>我局于</w:t>
      </w:r>
      <w:r>
        <w:rPr>
          <w:rFonts w:hint="eastAsia" w:ascii="仿宋" w:hAnsi="仿宋" w:eastAsia="仿宋" w:cs="仿宋"/>
          <w:u w:val="single"/>
        </w:rPr>
        <w:t>2024年10月11日</w:t>
      </w:r>
      <w:bookmarkEnd w:id="10"/>
      <w:r>
        <w:rPr>
          <w:rFonts w:hint="eastAsia" w:ascii="仿宋" w:hAnsi="仿宋" w:eastAsia="仿宋" w:cs="仿宋"/>
          <w:bCs/>
          <w:u w:val="single"/>
        </w:rPr>
        <w:t>向当事人送达了《洛阳市偃师区市场监督管理局行政处罚告知书》(</w:t>
      </w:r>
      <w:bookmarkStart w:id="11" w:name="CALCULATE—XZCFJDS—cCfgzSdwswh"/>
      <w:r>
        <w:rPr>
          <w:rFonts w:hint="eastAsia" w:ascii="仿宋" w:hAnsi="仿宋" w:eastAsia="仿宋" w:cs="仿宋"/>
          <w:u w:val="single"/>
        </w:rPr>
        <w:t>偃市监罚告〔2024〕81号</w:t>
      </w:r>
      <w:bookmarkEnd w:id="11"/>
      <w:r>
        <w:rPr>
          <w:rFonts w:hint="eastAsia" w:ascii="仿宋" w:hAnsi="仿宋" w:eastAsia="仿宋" w:cs="仿宋"/>
          <w:bCs/>
          <w:u w:val="single"/>
        </w:rPr>
        <w:t>)，</w:t>
      </w:r>
      <w:bookmarkStart w:id="12" w:name="CALCULATE—XZCFJDS—nTccssb"/>
      <w:r>
        <w:rPr>
          <w:rFonts w:hint="eastAsia" w:ascii="仿宋" w:hAnsi="仿宋" w:eastAsia="仿宋" w:cs="仿宋"/>
          <w:bCs/>
          <w:u w:val="single"/>
        </w:rPr>
        <w:t>告知</w:t>
      </w:r>
      <w:r>
        <w:rPr>
          <w:rFonts w:hint="eastAsia" w:ascii="仿宋" w:hAnsi="仿宋" w:eastAsia="仿宋" w:cs="仿宋"/>
          <w:u w:val="single"/>
        </w:rPr>
        <w:t>当事人</w:t>
      </w:r>
      <w:bookmarkEnd w:id="12"/>
      <w:r>
        <w:rPr>
          <w:rFonts w:hint="eastAsia" w:ascii="仿宋" w:hAnsi="仿宋" w:eastAsia="仿宋" w:cs="仿宋"/>
          <w:u w:val="single"/>
        </w:rPr>
        <w:t>我局拟作出行政处罚决定的事实、理由、依据、内容及当事人有权进行陈述、申辩，并可以要求听证。当事人在法定期限内未行使陈述、申辩权，亦未要求听证。</w:t>
      </w:r>
      <w:r>
        <w:rPr>
          <w:rFonts w:hint="eastAsia" w:ascii="仿宋" w:hAnsi="仿宋" w:eastAsia="仿宋" w:cs="仿宋"/>
          <w:bCs/>
          <w:u w:val="single"/>
        </w:rPr>
        <w:t xml:space="preserve">                                 </w:t>
      </w:r>
    </w:p>
    <w:p w14:paraId="03D13C3F">
      <w:pPr>
        <w:widowControl/>
        <w:shd w:val="clear" w:color="auto" w:fill="FFFFFF"/>
        <w:wordWrap w:val="0"/>
        <w:spacing w:line="560" w:lineRule="exact"/>
        <w:ind w:firstLine="640" w:firstLineChars="200"/>
        <w:rPr>
          <w:rFonts w:hint="eastAsia" w:ascii="仿宋" w:hAnsi="仿宋" w:eastAsia="仿宋" w:cs="仿宋"/>
          <w:sz w:val="32"/>
          <w:szCs w:val="32"/>
          <w:u w:val="single"/>
        </w:rPr>
      </w:pPr>
      <w:r>
        <w:rPr>
          <w:rFonts w:hint="eastAsia" w:ascii="仿宋" w:hAnsi="仿宋" w:eastAsia="仿宋" w:cs="仿宋"/>
          <w:bCs/>
          <w:kern w:val="1"/>
          <w:sz w:val="32"/>
          <w:szCs w:val="32"/>
          <w:u w:val="single"/>
        </w:rPr>
        <w:t>依</w:t>
      </w:r>
      <w:r>
        <w:rPr>
          <w:rFonts w:hint="eastAsia" w:ascii="仿宋" w:hAnsi="仿宋" w:eastAsia="仿宋" w:cs="仿宋"/>
          <w:bCs/>
          <w:kern w:val="1"/>
          <w:sz w:val="32"/>
          <w:szCs w:val="32"/>
          <w:u w:val="single"/>
          <w:lang w:eastAsia="zh-Hans"/>
        </w:rPr>
        <w:t>据</w:t>
      </w:r>
      <w:r>
        <w:rPr>
          <w:rFonts w:hint="eastAsia" w:ascii="仿宋" w:hAnsi="仿宋" w:eastAsia="仿宋" w:cs="仿宋"/>
          <w:color w:val="231F20"/>
          <w:sz w:val="32"/>
          <w:szCs w:val="32"/>
          <w:u w:val="single"/>
        </w:rPr>
        <w:t>《中华人民共和国食品安全法》第一百二十四条</w:t>
      </w:r>
      <w:r>
        <w:rPr>
          <w:rFonts w:hint="eastAsia" w:ascii="仿宋" w:hAnsi="仿宋" w:eastAsia="仿宋" w:cs="仿宋"/>
          <w:spacing w:val="-2"/>
          <w:sz w:val="32"/>
          <w:szCs w:val="32"/>
          <w:u w:val="single"/>
        </w:rPr>
        <w:t>“</w:t>
      </w:r>
      <w:r>
        <w:rPr>
          <w:rFonts w:hint="eastAsia" w:ascii="仿宋" w:hAnsi="仿宋" w:eastAsia="仿宋" w:cs="仿宋"/>
          <w:color w:val="333333"/>
          <w:kern w:val="0"/>
          <w:sz w:val="32"/>
          <w:szCs w:val="32"/>
          <w:u w:val="single"/>
        </w:rPr>
        <w:t>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w:t>
      </w:r>
      <w:r>
        <w:rPr>
          <w:rFonts w:hint="eastAsia" w:ascii="仿宋" w:hAnsi="仿宋" w:eastAsia="仿宋" w:cs="仿宋"/>
          <w:color w:val="3E3E3E"/>
          <w:kern w:val="0"/>
          <w:sz w:val="32"/>
          <w:szCs w:val="32"/>
          <w:u w:val="single"/>
        </w:rPr>
        <w:t>”之规定，经研究决定，对</w:t>
      </w:r>
      <w:r>
        <w:rPr>
          <w:rFonts w:hint="eastAsia" w:ascii="仿宋" w:hAnsi="仿宋" w:eastAsia="仿宋" w:cs="仿宋"/>
          <w:sz w:val="32"/>
          <w:szCs w:val="32"/>
          <w:u w:val="single"/>
        </w:rPr>
        <w:t xml:space="preserve">偃师市邙岭镇多乐福购物超市处罚如下：                      </w:t>
      </w:r>
    </w:p>
    <w:p w14:paraId="0D00F888">
      <w:pPr>
        <w:widowControl/>
        <w:numPr>
          <w:ilvl w:val="0"/>
          <w:numId w:val="3"/>
        </w:numPr>
        <w:shd w:val="clear" w:color="auto" w:fill="FFFFFF"/>
        <w:wordWrap w:val="0"/>
        <w:spacing w:line="560" w:lineRule="exact"/>
        <w:ind w:firstLine="640" w:firstLineChars="200"/>
        <w:rPr>
          <w:rFonts w:hint="eastAsia" w:ascii="仿宋" w:hAnsi="仿宋" w:eastAsia="仿宋" w:cs="仿宋"/>
          <w:color w:val="3E3E3E"/>
          <w:kern w:val="0"/>
          <w:sz w:val="32"/>
          <w:szCs w:val="32"/>
          <w:u w:val="single"/>
        </w:rPr>
      </w:pPr>
      <w:r>
        <w:rPr>
          <w:rFonts w:hint="eastAsia" w:ascii="仿宋" w:hAnsi="仿宋" w:eastAsia="仿宋" w:cs="仿宋"/>
          <w:color w:val="3E3E3E"/>
          <w:kern w:val="0"/>
          <w:sz w:val="32"/>
          <w:szCs w:val="32"/>
          <w:u w:val="single"/>
        </w:rPr>
        <w:t xml:space="preserve">没收违法所得32.20元；                       </w:t>
      </w:r>
    </w:p>
    <w:p w14:paraId="794B435B">
      <w:pPr>
        <w:widowControl/>
        <w:numPr>
          <w:ilvl w:val="0"/>
          <w:numId w:val="3"/>
        </w:numPr>
        <w:shd w:val="clear" w:color="auto" w:fill="FFFFFF"/>
        <w:wordWrap w:val="0"/>
        <w:spacing w:line="560" w:lineRule="exact"/>
        <w:ind w:firstLine="640" w:firstLineChars="200"/>
        <w:rPr>
          <w:rFonts w:hint="eastAsia" w:ascii="仿宋" w:hAnsi="仿宋" w:eastAsia="仿宋" w:cs="仿宋"/>
          <w:color w:val="3E3E3E"/>
          <w:kern w:val="0"/>
          <w:sz w:val="32"/>
          <w:szCs w:val="32"/>
          <w:u w:val="single"/>
        </w:rPr>
      </w:pPr>
      <w:r>
        <w:rPr>
          <w:rFonts w:hint="eastAsia" w:ascii="仿宋" w:hAnsi="仿宋" w:eastAsia="仿宋" w:cs="仿宋"/>
          <w:color w:val="3E3E3E"/>
          <w:kern w:val="0"/>
          <w:sz w:val="32"/>
          <w:szCs w:val="32"/>
          <w:u w:val="single"/>
        </w:rPr>
        <w:t xml:space="preserve">罚款3000元。                                </w:t>
      </w:r>
    </w:p>
    <w:p w14:paraId="576404F9">
      <w:pPr>
        <w:widowControl/>
        <w:shd w:val="clear" w:color="auto" w:fill="FFFFFF"/>
        <w:wordWrap w:val="0"/>
        <w:spacing w:line="560" w:lineRule="exact"/>
        <w:ind w:left="420" w:leftChars="200" w:firstLine="320" w:firstLineChars="100"/>
        <w:rPr>
          <w:rFonts w:hint="eastAsia" w:ascii="仿宋" w:hAnsi="仿宋" w:eastAsia="仿宋" w:cs="仿宋"/>
          <w:color w:val="3E3E3E"/>
          <w:kern w:val="0"/>
          <w:sz w:val="32"/>
          <w:szCs w:val="32"/>
        </w:rPr>
      </w:pPr>
      <w:r>
        <w:rPr>
          <w:rFonts w:hint="eastAsia" w:ascii="仿宋" w:hAnsi="仿宋" w:eastAsia="仿宋" w:cs="仿宋"/>
          <w:color w:val="3E3E3E"/>
          <w:kern w:val="0"/>
          <w:sz w:val="32"/>
          <w:szCs w:val="32"/>
          <w:u w:val="single"/>
        </w:rPr>
        <w:t>以上两项</w:t>
      </w:r>
      <w:r>
        <w:rPr>
          <w:rFonts w:hint="eastAsia" w:ascii="仿宋" w:hAnsi="仿宋" w:eastAsia="仿宋" w:cs="仿宋"/>
          <w:sz w:val="32"/>
          <w:szCs w:val="32"/>
          <w:u w:val="single"/>
        </w:rPr>
        <w:t>合计罚、没款</w:t>
      </w:r>
      <w:r>
        <w:rPr>
          <w:rFonts w:hint="eastAsia" w:ascii="仿宋" w:hAnsi="仿宋" w:eastAsia="仿宋" w:cs="仿宋"/>
          <w:color w:val="3E3E3E"/>
          <w:kern w:val="0"/>
          <w:sz w:val="32"/>
          <w:szCs w:val="32"/>
          <w:u w:val="single"/>
        </w:rPr>
        <w:t xml:space="preserve">3032.20元。                </w:t>
      </w:r>
    </w:p>
    <w:p w14:paraId="331FBBAB">
      <w:pPr>
        <w:spacing w:line="560" w:lineRule="exact"/>
        <w:ind w:firstLine="640" w:firstLineChars="200"/>
        <w:rPr>
          <w:rFonts w:hint="eastAsia" w:ascii="仿宋" w:hAnsi="仿宋" w:eastAsia="仿宋" w:cs="仿宋"/>
          <w:bCs/>
          <w:sz w:val="32"/>
          <w:szCs w:val="32"/>
          <w:u w:val="single"/>
        </w:rPr>
      </w:pPr>
      <w:r>
        <w:rPr>
          <w:rFonts w:hint="eastAsia" w:ascii="仿宋" w:hAnsi="仿宋" w:eastAsia="仿宋" w:cs="仿宋"/>
          <w:bCs/>
          <w:sz w:val="32"/>
          <w:szCs w:val="32"/>
          <w:u w:val="single"/>
        </w:rPr>
        <w:t xml:space="preserve">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中原银行偃师市支行，户名：洛阳市偃师区财政局财政专户，账号：671610090000000753。7.邮储银行偃师市支行，户名：洛阳市偃师区财政局财政专户，账号：100216664840019999）。                               </w:t>
      </w:r>
    </w:p>
    <w:p w14:paraId="636F6895">
      <w:pPr>
        <w:spacing w:line="560" w:lineRule="exact"/>
        <w:ind w:firstLine="640" w:firstLineChars="200"/>
        <w:rPr>
          <w:rFonts w:hint="eastAsia" w:ascii="仿宋" w:hAnsi="仿宋" w:eastAsia="仿宋" w:cs="仿宋"/>
          <w:bCs/>
          <w:sz w:val="32"/>
          <w:szCs w:val="32"/>
          <w:u w:val="single"/>
        </w:rPr>
      </w:pPr>
      <w:r>
        <w:rPr>
          <w:rFonts w:hint="eastAsia" w:ascii="仿宋" w:hAnsi="仿宋" w:eastAsia="仿宋" w:cs="仿宋"/>
          <w:bCs/>
          <w:sz w:val="32"/>
          <w:szCs w:val="32"/>
          <w:u w:val="single"/>
        </w:rPr>
        <w:t>根据《中华人民共和国行政处罚法》第七十二条规定，当事人逾期不履行行政处罚决定的，本机关可以采取以下措施：（一）到期不缴纳罚款的，每日按罚款数额的百分之三加处罚款；（二）申请人民法院强制执行。</w:t>
      </w:r>
      <w:r>
        <w:rPr>
          <w:rFonts w:hint="eastAsia" w:ascii="仿宋" w:hAnsi="仿宋" w:eastAsia="仿宋" w:cs="仿宋"/>
          <w:bCs/>
          <w:sz w:val="32"/>
          <w:szCs w:val="32"/>
          <w:u w:val="single" w:color="231F20"/>
        </w:rPr>
        <w:t xml:space="preserve">                    </w:t>
      </w:r>
      <w:r>
        <w:rPr>
          <w:rFonts w:hint="eastAsia" w:ascii="仿宋" w:hAnsi="仿宋" w:eastAsia="仿宋" w:cs="仿宋"/>
          <w:bCs/>
          <w:sz w:val="32"/>
          <w:szCs w:val="32"/>
          <w:u w:val="single"/>
        </w:rPr>
        <w:t xml:space="preserve">                           </w:t>
      </w:r>
    </w:p>
    <w:p w14:paraId="440C17B0">
      <w:pPr>
        <w:pStyle w:val="3"/>
        <w:tabs>
          <w:tab w:val="left" w:pos="8395"/>
        </w:tabs>
        <w:wordWrap w:val="0"/>
        <w:spacing w:line="560" w:lineRule="exact"/>
        <w:ind w:firstLine="640" w:firstLineChars="200"/>
        <w:rPr>
          <w:rFonts w:hint="eastAsia" w:ascii="仿宋" w:hAnsi="仿宋" w:eastAsia="仿宋" w:cs="仿宋"/>
          <w:bCs/>
          <w:u w:val="single"/>
        </w:rPr>
      </w:pPr>
      <w:r>
        <w:rPr>
          <w:rFonts w:hint="eastAsia" w:ascii="仿宋" w:hAnsi="仿宋" w:eastAsia="仿宋" w:cs="仿宋"/>
          <w:bCs/>
          <w:kern w:val="2"/>
          <w:u w:val="single"/>
        </w:rPr>
        <w:t xml:space="preserve">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                          </w:t>
      </w:r>
    </w:p>
    <w:p w14:paraId="1EF58292">
      <w:pPr>
        <w:widowControl/>
        <w:snapToGrid w:val="0"/>
        <w:spacing w:line="600" w:lineRule="exact"/>
        <w:jc w:val="left"/>
        <w:rPr>
          <w:rFonts w:ascii="仿宋" w:hAnsi="仿宋" w:eastAsia="仿宋" w:cs="仿宋"/>
          <w:sz w:val="32"/>
          <w:szCs w:val="32"/>
        </w:rPr>
      </w:pPr>
    </w:p>
    <w:p w14:paraId="3564719D">
      <w:pPr>
        <w:widowControl/>
        <w:snapToGrid w:val="0"/>
        <w:spacing w:line="600" w:lineRule="exact"/>
        <w:jc w:val="left"/>
        <w:rPr>
          <w:rFonts w:hint="eastAsia" w:ascii="仿宋" w:hAnsi="仿宋" w:eastAsia="仿宋" w:cs="仿宋"/>
          <w:sz w:val="32"/>
          <w:szCs w:val="32"/>
        </w:rPr>
      </w:pPr>
    </w:p>
    <w:p w14:paraId="4B9EE764">
      <w:pPr>
        <w:widowControl/>
        <w:snapToGrid w:val="0"/>
        <w:spacing w:line="600" w:lineRule="exact"/>
        <w:ind w:firstLine="6240" w:firstLineChars="1950"/>
        <w:jc w:val="left"/>
        <w:rPr>
          <w:rFonts w:hint="eastAsia" w:ascii="仿宋" w:hAnsi="仿宋" w:eastAsia="仿宋" w:cs="仿宋"/>
          <w:sz w:val="32"/>
          <w:szCs w:val="32"/>
          <w:lang w:eastAsia="zh-Hans"/>
        </w:rPr>
      </w:pPr>
    </w:p>
    <w:p w14:paraId="2A1FC4B1">
      <w:pPr>
        <w:spacing w:line="600" w:lineRule="exact"/>
        <w:ind w:right="640" w:firstLine="601"/>
        <w:jc w:val="right"/>
        <w:rPr>
          <w:rFonts w:hint="eastAsia" w:ascii="仿宋" w:hAnsi="仿宋" w:eastAsia="仿宋" w:cs="仿宋"/>
          <w:sz w:val="32"/>
          <w:szCs w:val="32"/>
        </w:rPr>
      </w:pPr>
      <w:bookmarkStart w:id="13" w:name="DYNAMIC—DWXX—tAj_dwmc—2"/>
      <w:r>
        <w:rPr>
          <w:rFonts w:hint="eastAsia" w:ascii="仿宋" w:hAnsi="仿宋" w:eastAsia="仿宋" w:cs="仿宋"/>
          <w:sz w:val="32"/>
          <w:szCs w:val="32"/>
        </w:rPr>
        <w:t>洛阳市偃师区市场监督管理局</w:t>
      </w:r>
      <w:bookmarkEnd w:id="13"/>
      <w:r>
        <w:rPr>
          <w:rFonts w:hint="eastAsia" w:ascii="仿宋" w:hAnsi="仿宋" w:eastAsia="仿宋" w:cs="仿宋"/>
          <w:sz w:val="32"/>
          <w:szCs w:val="32"/>
        </w:rPr>
        <w:t xml:space="preserve">    </w:t>
      </w:r>
    </w:p>
    <w:p w14:paraId="1FC97A38">
      <w:pPr>
        <w:spacing w:line="600" w:lineRule="exact"/>
        <w:ind w:right="640" w:firstLine="601"/>
        <w:jc w:val="right"/>
        <w:outlineLvl w:val="1"/>
        <w:rPr>
          <w:rFonts w:hint="eastAsia" w:ascii="仿宋" w:hAnsi="仿宋" w:eastAsia="仿宋" w:cs="仿宋"/>
          <w:sz w:val="32"/>
          <w:szCs w:val="32"/>
        </w:rPr>
      </w:pPr>
      <w:r>
        <w:rPr>
          <w:rFonts w:hint="eastAsia" w:ascii="仿宋" w:hAnsi="仿宋" w:eastAsia="仿宋" w:cs="仿宋"/>
          <w:sz w:val="32"/>
          <w:szCs w:val="32"/>
        </w:rPr>
        <w:t>（印 章）</w:t>
      </w:r>
    </w:p>
    <w:p w14:paraId="0F626780">
      <w:pPr>
        <w:spacing w:line="600" w:lineRule="exact"/>
        <w:ind w:right="630" w:rightChars="300" w:firstLine="600"/>
        <w:jc w:val="right"/>
        <w:rPr>
          <w:rFonts w:hint="eastAsia" w:ascii="仿宋" w:hAnsi="仿宋" w:eastAsia="仿宋" w:cs="仿宋"/>
          <w:sz w:val="32"/>
          <w:szCs w:val="32"/>
        </w:rPr>
      </w:pPr>
      <w:bookmarkStart w:id="14" w:name="CALCULATE—TIME—NOW"/>
      <w:r>
        <w:rPr>
          <w:rFonts w:hint="eastAsia" w:ascii="仿宋" w:hAnsi="仿宋" w:eastAsia="仿宋" w:cs="仿宋"/>
          <w:sz w:val="32"/>
          <w:szCs w:val="32"/>
        </w:rPr>
        <w:t>2024年10月18日</w:t>
      </w:r>
      <w:bookmarkEnd w:id="14"/>
      <w:r>
        <w:rPr>
          <w:rFonts w:hint="eastAsia" w:ascii="仿宋" w:hAnsi="仿宋" w:eastAsia="仿宋" w:cs="仿宋"/>
          <w:sz w:val="32"/>
          <w:szCs w:val="32"/>
        </w:rPr>
        <w:t xml:space="preserve">  </w:t>
      </w:r>
    </w:p>
    <w:p w14:paraId="4D2952F8">
      <w:pPr>
        <w:widowControl/>
        <w:snapToGrid w:val="0"/>
        <w:spacing w:line="520" w:lineRule="exact"/>
        <w:jc w:val="right"/>
        <w:rPr>
          <w:rFonts w:ascii="Times New Roman" w:hAnsi="Times New Roman" w:eastAsia="仿宋_GB2312" w:cs="Mongolian Baiti"/>
          <w:sz w:val="32"/>
          <w:szCs w:val="32"/>
        </w:rPr>
      </w:pPr>
    </w:p>
    <w:p w14:paraId="4560DA25">
      <w:pPr>
        <w:widowControl/>
        <w:snapToGrid w:val="0"/>
        <w:spacing w:line="520" w:lineRule="exact"/>
        <w:jc w:val="right"/>
        <w:rPr>
          <w:rFonts w:ascii="Times New Roman" w:hAnsi="Times New Roman" w:eastAsia="仿宋_GB2312" w:cs="Mongolian Baiti"/>
          <w:sz w:val="32"/>
          <w:szCs w:val="32"/>
        </w:rPr>
      </w:pPr>
    </w:p>
    <w:p w14:paraId="2F9DA66B">
      <w:pPr>
        <w:widowControl/>
        <w:snapToGrid w:val="0"/>
        <w:spacing w:line="520" w:lineRule="exact"/>
        <w:jc w:val="right"/>
        <w:rPr>
          <w:rFonts w:ascii="Times New Roman" w:hAnsi="Times New Roman" w:eastAsia="仿宋_GB2312" w:cs="Mongolian Baiti"/>
          <w:sz w:val="32"/>
          <w:szCs w:val="32"/>
        </w:rPr>
      </w:pPr>
    </w:p>
    <w:p w14:paraId="4E061CB4">
      <w:pPr>
        <w:widowControl/>
        <w:snapToGrid w:val="0"/>
        <w:spacing w:line="520" w:lineRule="exact"/>
        <w:jc w:val="right"/>
        <w:rPr>
          <w:rFonts w:ascii="Times New Roman" w:hAnsi="Times New Roman" w:eastAsia="仿宋_GB2312" w:cs="Mongolian Baiti"/>
          <w:sz w:val="32"/>
          <w:szCs w:val="32"/>
        </w:rPr>
      </w:pPr>
    </w:p>
    <w:p w14:paraId="0D00B8F8">
      <w:pPr>
        <w:pStyle w:val="3"/>
        <w:spacing w:before="1"/>
        <w:ind w:left="163"/>
        <w:rPr>
          <w:rFonts w:ascii="Times New Roman" w:eastAsia="仿宋_GB2312" w:cs="仿宋"/>
          <w:bCs/>
          <w:sz w:val="44"/>
          <w:szCs w:val="44"/>
        </w:rPr>
      </w:pPr>
      <w:r>
        <w:rPr>
          <w:rFonts w:ascii="Times New Roman" w:eastAsia="仿宋_GB2312"/>
        </w:rPr>
        <mc:AlternateContent>
          <mc:Choice Requires="wps">
            <w:drawing>
              <wp:anchor distT="0" distB="0" distL="114300" distR="114300" simplePos="0" relativeHeight="251661312" behindDoc="0" locked="0" layoutInCell="1" allowOverlap="1">
                <wp:simplePos x="0" y="0"/>
                <wp:positionH relativeFrom="column">
                  <wp:posOffset>27305</wp:posOffset>
                </wp:positionH>
                <wp:positionV relativeFrom="paragraph">
                  <wp:posOffset>396875</wp:posOffset>
                </wp:positionV>
                <wp:extent cx="5550535" cy="635"/>
                <wp:effectExtent l="0" t="7620" r="12065" b="14605"/>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15pt;margin-top:31.25pt;height:0.05pt;width:437.05pt;z-index:251661312;mso-width-relative:page;mso-height-relative:page;" filled="f" stroked="t" coordsize="21600,21600" o:gfxdata="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d&#10;1F2Z1gAAAAcBAAAPAAAAAAAAAAEAIAAAACIAAABkcnMvZG93bnJldi54bWxQSwECFAAUAAAACACH&#10;TuJAlk3HAe0BAADdAwAADgAAAAAAAAABACAAAAAlAQAAZHJzL2Uyb0RvYy54bWxQSwUGAAAAAAYA&#10;BgBZAQAAhAUAAAAA&#10;">
                <v:fill on="f" focussize="0,0"/>
                <v:stroke weight="1.25pt" color="#000000" joinstyle="round"/>
                <v:imagedata o:title=""/>
                <o:lock v:ext="edit" aspectratio="f"/>
              </v:line>
            </w:pict>
          </mc:Fallback>
        </mc:AlternateContent>
      </w:r>
      <w:r>
        <w:rPr>
          <w:rFonts w:hint="eastAsia" w:ascii="黑体" w:hAnsi="黑体" w:eastAsia="黑体"/>
          <w:spacing w:val="-16"/>
        </w:rPr>
        <w:t>（市场监督管理部门将依法向社会公开行政处罚决定信息）</w:t>
      </w:r>
    </w:p>
    <w:p w14:paraId="68FAADC2">
      <w:pPr>
        <w:spacing w:line="500" w:lineRule="exact"/>
        <w:rPr>
          <w:rFonts w:hint="eastAsia"/>
        </w:rPr>
      </w:pPr>
      <w:r>
        <w:rPr>
          <w:rFonts w:ascii="Times New Roman" w:hAnsi="Times New Roman" w:eastAsia="仿宋_GB2312" w:cs="仿宋"/>
          <w:bCs/>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vv85HXAAAACgEAAA8AAAAAAAAAAQAgAAAAIgAAAGRycy9kb3ducmV2LnhtbFBLAQIUABQA&#10;AAAIAIdO4kAJ1svO8QEAANsDAAAOAAAAAAAAAAEAIAAAACYBAABkcnMvZTJvRG9jLnhtbFBLBQYA&#10;AAAABgAGAFkBAACJ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一</w:t>
      </w:r>
      <w:r>
        <w:rPr>
          <w:rFonts w:hint="eastAsia" w:ascii="Times New Roman" w:hAnsi="Times New Roman" w:eastAsia="仿宋_GB2312" w:cs="仿宋"/>
          <w:sz w:val="32"/>
          <w:szCs w:val="32"/>
        </w:rPr>
        <w:t>份送达，</w:t>
      </w:r>
      <w:r>
        <w:rPr>
          <w:rFonts w:hint="eastAsia" w:ascii="Times New Roman" w:hAnsi="Times New Roman" w:eastAsia="仿宋_GB2312" w:cs="仿宋"/>
          <w:sz w:val="32"/>
          <w:szCs w:val="32"/>
          <w:u w:val="single"/>
        </w:rPr>
        <w:t>一</w:t>
      </w:r>
      <w:r>
        <w:rPr>
          <w:rFonts w:hint="eastAsia" w:ascii="Times New Roman" w:hAnsi="Times New Roman" w:eastAsia="仿宋_GB2312" w:cs="仿宋"/>
          <w:sz w:val="32"/>
          <w:szCs w:val="32"/>
        </w:rPr>
        <w:t>份归档，</w:t>
      </w:r>
      <w:r>
        <w:rPr>
          <w:rFonts w:hint="eastAsia" w:ascii="Times New Roman" w:hAnsi="Times New Roman" w:eastAsia="仿宋_GB2312" w:cs="仿宋"/>
          <w:sz w:val="32"/>
          <w:szCs w:val="32"/>
          <w:u w:val="single"/>
        </w:rPr>
        <w:t>一</w:t>
      </w:r>
      <w:r>
        <w:rPr>
          <w:rFonts w:hint="eastAsia" w:ascii="Times New Roman" w:hAnsi="Times New Roman" w:eastAsia="仿宋_GB2312" w:cs="仿宋"/>
          <w:sz w:val="32"/>
          <w:szCs w:val="32"/>
        </w:rPr>
        <w:t>份办案机构留存。</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E375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16144C">
                          <w:pPr>
                            <w:pStyle w:val="4"/>
                            <w:rPr>
                              <w:rFonts w:hint="eastAsia" w:ascii="宋体" w:hAnsi="宋体" w:cs="宋体"/>
                              <w:sz w:val="28"/>
                              <w:szCs w:val="28"/>
                            </w:rPr>
                          </w:pPr>
                          <w:r>
                            <w:rPr>
                              <w:rFonts w:hint="eastAsia" w:ascii="宋体" w:hAnsi="宋体" w:cs="宋体"/>
                              <w:sz w:val="28"/>
                              <w:szCs w:val="28"/>
                            </w:rPr>
                            <w:t xml:space="preserve">第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页 共 </w:t>
                          </w:r>
                          <w:r>
                            <w:rPr>
                              <w:rFonts w:hint="eastAsia" w:ascii="宋体" w:hAnsi="宋体" w:cs="宋体"/>
                              <w:sz w:val="28"/>
                              <w:szCs w:val="28"/>
                            </w:rPr>
                            <w:fldChar w:fldCharType="begin"/>
                          </w:r>
                          <w:r>
                            <w:rPr>
                              <w:rFonts w:hint="eastAsia" w:ascii="宋体" w:hAnsi="宋体" w:cs="宋体"/>
                              <w:sz w:val="28"/>
                              <w:szCs w:val="28"/>
                            </w:rPr>
                            <w:instrText xml:space="preserve"> NUMPAGES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16144C">
                    <w:pPr>
                      <w:pStyle w:val="4"/>
                      <w:rPr>
                        <w:rFonts w:hint="eastAsia" w:ascii="宋体" w:hAnsi="宋体" w:cs="宋体"/>
                        <w:sz w:val="28"/>
                        <w:szCs w:val="28"/>
                      </w:rPr>
                    </w:pPr>
                    <w:r>
                      <w:rPr>
                        <w:rFonts w:hint="eastAsia" w:ascii="宋体" w:hAnsi="宋体" w:cs="宋体"/>
                        <w:sz w:val="28"/>
                        <w:szCs w:val="28"/>
                      </w:rPr>
                      <w:t xml:space="preserve">第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页 共 </w:t>
                    </w:r>
                    <w:r>
                      <w:rPr>
                        <w:rFonts w:hint="eastAsia" w:ascii="宋体" w:hAnsi="宋体" w:cs="宋体"/>
                        <w:sz w:val="28"/>
                        <w:szCs w:val="28"/>
                      </w:rPr>
                      <w:fldChar w:fldCharType="begin"/>
                    </w:r>
                    <w:r>
                      <w:rPr>
                        <w:rFonts w:hint="eastAsia" w:ascii="宋体" w:hAnsi="宋体" w:cs="宋体"/>
                        <w:sz w:val="28"/>
                        <w:szCs w:val="28"/>
                      </w:rPr>
                      <w:instrText xml:space="preserve"> NUMPAGES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1FAC1BA4"/>
    <w:multiLevelType w:val="singleLevel"/>
    <w:tmpl w:val="1FAC1BA4"/>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lYjgxOTI2OGJlMzhkOTBjY2NhZWZhZDllZDVjYTAifQ=="/>
    <w:docVar w:name="KSO_WPS_MARK_KEY" w:val="3a570657-d4b9-4633-8bde-b1be1a221b99"/>
  </w:docVars>
  <w:rsids>
    <w:rsidRoot w:val="5BA419F7"/>
    <w:rsid w:val="00193C35"/>
    <w:rsid w:val="0032134F"/>
    <w:rsid w:val="00377C2D"/>
    <w:rsid w:val="004960D7"/>
    <w:rsid w:val="0091078F"/>
    <w:rsid w:val="00AA451A"/>
    <w:rsid w:val="00EE5A4B"/>
    <w:rsid w:val="010A478A"/>
    <w:rsid w:val="02B83402"/>
    <w:rsid w:val="042774DD"/>
    <w:rsid w:val="048D2705"/>
    <w:rsid w:val="04CD463F"/>
    <w:rsid w:val="04FA4431"/>
    <w:rsid w:val="05C51508"/>
    <w:rsid w:val="06476E0A"/>
    <w:rsid w:val="06B71F77"/>
    <w:rsid w:val="06BAE61F"/>
    <w:rsid w:val="071C7669"/>
    <w:rsid w:val="07580619"/>
    <w:rsid w:val="0776795A"/>
    <w:rsid w:val="07DA78EE"/>
    <w:rsid w:val="08365B64"/>
    <w:rsid w:val="087864F3"/>
    <w:rsid w:val="090B4D3A"/>
    <w:rsid w:val="09290BEC"/>
    <w:rsid w:val="09AA7B69"/>
    <w:rsid w:val="0A2F38BD"/>
    <w:rsid w:val="0A3665F0"/>
    <w:rsid w:val="0B22091D"/>
    <w:rsid w:val="0CF71776"/>
    <w:rsid w:val="0D242541"/>
    <w:rsid w:val="0FB748D6"/>
    <w:rsid w:val="103E22C5"/>
    <w:rsid w:val="11524677"/>
    <w:rsid w:val="115320F9"/>
    <w:rsid w:val="119E3BCA"/>
    <w:rsid w:val="1350279A"/>
    <w:rsid w:val="14203063"/>
    <w:rsid w:val="143E1E38"/>
    <w:rsid w:val="1490670C"/>
    <w:rsid w:val="152E563E"/>
    <w:rsid w:val="15B93156"/>
    <w:rsid w:val="16D23D7F"/>
    <w:rsid w:val="18325353"/>
    <w:rsid w:val="188449CB"/>
    <w:rsid w:val="18B229B2"/>
    <w:rsid w:val="19FE4517"/>
    <w:rsid w:val="1AE345F4"/>
    <w:rsid w:val="1B37398D"/>
    <w:rsid w:val="1C7339BB"/>
    <w:rsid w:val="1C7A5BA8"/>
    <w:rsid w:val="1E664711"/>
    <w:rsid w:val="1EC222D9"/>
    <w:rsid w:val="1EF849DE"/>
    <w:rsid w:val="1F2B5D07"/>
    <w:rsid w:val="1FC004DE"/>
    <w:rsid w:val="1FD31F15"/>
    <w:rsid w:val="212E3259"/>
    <w:rsid w:val="22287087"/>
    <w:rsid w:val="237778B4"/>
    <w:rsid w:val="23F5677C"/>
    <w:rsid w:val="24626694"/>
    <w:rsid w:val="258D6CE0"/>
    <w:rsid w:val="27A45517"/>
    <w:rsid w:val="2B1B3EFC"/>
    <w:rsid w:val="2CEA3815"/>
    <w:rsid w:val="2DE10173"/>
    <w:rsid w:val="2E9A689E"/>
    <w:rsid w:val="2F327E79"/>
    <w:rsid w:val="2F7CE1EF"/>
    <w:rsid w:val="2F8A6913"/>
    <w:rsid w:val="30DB5683"/>
    <w:rsid w:val="30FA2F6D"/>
    <w:rsid w:val="31562B39"/>
    <w:rsid w:val="31BE0AF5"/>
    <w:rsid w:val="32986FD1"/>
    <w:rsid w:val="32CE76E8"/>
    <w:rsid w:val="3334290F"/>
    <w:rsid w:val="33740640"/>
    <w:rsid w:val="3585615B"/>
    <w:rsid w:val="363C12E3"/>
    <w:rsid w:val="365E4655"/>
    <w:rsid w:val="368E5656"/>
    <w:rsid w:val="36DF3716"/>
    <w:rsid w:val="377FBB27"/>
    <w:rsid w:val="37F16547"/>
    <w:rsid w:val="38B63DA7"/>
    <w:rsid w:val="3930619F"/>
    <w:rsid w:val="3A4E178D"/>
    <w:rsid w:val="3ACD172E"/>
    <w:rsid w:val="3BF97ECA"/>
    <w:rsid w:val="3C2965F0"/>
    <w:rsid w:val="3D6B1177"/>
    <w:rsid w:val="3E5F4AE1"/>
    <w:rsid w:val="3E853745"/>
    <w:rsid w:val="3F2604DF"/>
    <w:rsid w:val="3F6783E4"/>
    <w:rsid w:val="3F842066"/>
    <w:rsid w:val="3FFF82D4"/>
    <w:rsid w:val="402E7C06"/>
    <w:rsid w:val="40FE5F8F"/>
    <w:rsid w:val="425049CE"/>
    <w:rsid w:val="43DF1079"/>
    <w:rsid w:val="442B16EC"/>
    <w:rsid w:val="458F64B9"/>
    <w:rsid w:val="45C51FFB"/>
    <w:rsid w:val="46157ACD"/>
    <w:rsid w:val="47243FC5"/>
    <w:rsid w:val="48C10000"/>
    <w:rsid w:val="4A555101"/>
    <w:rsid w:val="4ADF49AE"/>
    <w:rsid w:val="4B8F0B22"/>
    <w:rsid w:val="4C02380F"/>
    <w:rsid w:val="4C7C04B3"/>
    <w:rsid w:val="4CC8271B"/>
    <w:rsid w:val="4D9306AE"/>
    <w:rsid w:val="4E8950D9"/>
    <w:rsid w:val="4F722566"/>
    <w:rsid w:val="4F93378A"/>
    <w:rsid w:val="503F09B5"/>
    <w:rsid w:val="514A5AAA"/>
    <w:rsid w:val="516D5500"/>
    <w:rsid w:val="52802336"/>
    <w:rsid w:val="53A0483E"/>
    <w:rsid w:val="547C0750"/>
    <w:rsid w:val="55FE5622"/>
    <w:rsid w:val="57503162"/>
    <w:rsid w:val="58A4140A"/>
    <w:rsid w:val="591F0542"/>
    <w:rsid w:val="59A10938"/>
    <w:rsid w:val="5BA419F7"/>
    <w:rsid w:val="5BEF1DBF"/>
    <w:rsid w:val="5BF91583"/>
    <w:rsid w:val="5BFB2E57"/>
    <w:rsid w:val="5C5D2BD9"/>
    <w:rsid w:val="5DD7483B"/>
    <w:rsid w:val="5E5FAB03"/>
    <w:rsid w:val="5E605C94"/>
    <w:rsid w:val="5EA00CBE"/>
    <w:rsid w:val="5F9FEDD5"/>
    <w:rsid w:val="5FBEF003"/>
    <w:rsid w:val="5FDE3F8D"/>
    <w:rsid w:val="5FE33914"/>
    <w:rsid w:val="5FFA4D85"/>
    <w:rsid w:val="602422E6"/>
    <w:rsid w:val="60B635F2"/>
    <w:rsid w:val="60C16F3B"/>
    <w:rsid w:val="612E7E8C"/>
    <w:rsid w:val="617678F3"/>
    <w:rsid w:val="61DC2B1A"/>
    <w:rsid w:val="636955DE"/>
    <w:rsid w:val="646E5E05"/>
    <w:rsid w:val="64E43803"/>
    <w:rsid w:val="657F58CB"/>
    <w:rsid w:val="66934D57"/>
    <w:rsid w:val="6AD7030F"/>
    <w:rsid w:val="6BA277B7"/>
    <w:rsid w:val="6BCC1BB9"/>
    <w:rsid w:val="6C6723F1"/>
    <w:rsid w:val="6C966FB6"/>
    <w:rsid w:val="6CA517CF"/>
    <w:rsid w:val="6D064CEC"/>
    <w:rsid w:val="6D513FF0"/>
    <w:rsid w:val="6D6C7F13"/>
    <w:rsid w:val="6D923254"/>
    <w:rsid w:val="6DD2313B"/>
    <w:rsid w:val="6DD469CF"/>
    <w:rsid w:val="6E04767D"/>
    <w:rsid w:val="6E355D52"/>
    <w:rsid w:val="6E6950E9"/>
    <w:rsid w:val="6ED952C0"/>
    <w:rsid w:val="6F013B3F"/>
    <w:rsid w:val="6F732ABB"/>
    <w:rsid w:val="6FF58B64"/>
    <w:rsid w:val="6FF8F863"/>
    <w:rsid w:val="70CF02CA"/>
    <w:rsid w:val="70F532B7"/>
    <w:rsid w:val="71013020"/>
    <w:rsid w:val="710D7C3E"/>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A46A39"/>
    <w:rsid w:val="7BFD6076"/>
    <w:rsid w:val="7C8E43D6"/>
    <w:rsid w:val="7DA813EB"/>
    <w:rsid w:val="7DFF108F"/>
    <w:rsid w:val="7EED8AE6"/>
    <w:rsid w:val="7F5A6980"/>
    <w:rsid w:val="7FEADF5C"/>
    <w:rsid w:val="91BF8AB9"/>
    <w:rsid w:val="9FF1B21D"/>
    <w:rsid w:val="B7BFD803"/>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1807</Words>
  <Characters>2074</Characters>
  <Lines>20</Lines>
  <Paragraphs>5</Paragraphs>
  <TotalTime>5</TotalTime>
  <ScaleCrop>false</ScaleCrop>
  <LinksUpToDate>false</LinksUpToDate>
  <CharactersWithSpaces>2810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2024-10-22T06:50:00Z</dcterms:created>
  <dc:creator>胖林宝宝噜啦噜～</dc:creator>
  <cp:lastModifiedBy>Administrator</cp:lastModifiedBy>
  <dcterms:modified xsi:type="dcterms:W3CDTF">2024-11-22T08:10:20Z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93755DC7CB1547FCBB9DDB22ADFC201F_13</vt:lpwstr>
  </property>
</Properties>
</file>