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7A613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2618C2BB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0D35BE9D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偃市监处罚〔2025〕62号</w:t>
      </w:r>
      <w:bookmarkEnd w:id="2"/>
    </w:p>
    <w:p w14:paraId="1EF58E74">
      <w:pPr>
        <w:spacing w:before="315" w:beforeLines="100" w:line="540" w:lineRule="exact"/>
        <w:ind w:left="142" w:hanging="142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当事人：</w:t>
      </w:r>
      <w:bookmarkStart w:id="3" w:name="CALCULATE—DSR—tAjDsrs_c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偃师市邙岭镇国浩苗圃</w:t>
      </w:r>
      <w:bookmarkEnd w:id="3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       </w:t>
      </w:r>
    </w:p>
    <w:p w14:paraId="7FA91521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主体资格证照名称：</w:t>
      </w:r>
      <w:bookmarkStart w:id="4" w:name="CALCULATE—DSR—tAjDsrs_cZtzgzz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营业执照</w:t>
      </w:r>
      <w:bookmarkEnd w:id="4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</w:t>
      </w:r>
      <w:bookmarkStart w:id="15" w:name="_GoBack"/>
      <w:bookmarkEnd w:id="15"/>
    </w:p>
    <w:p w14:paraId="39C8B6AF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统一社会信用代码：</w:t>
      </w:r>
      <w:bookmarkStart w:id="5" w:name="CALCULATE—DSR—tAjDsrs_cTzshxydm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92410381MA45183R61</w:t>
      </w:r>
      <w:bookmarkEnd w:id="5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</w:t>
      </w:r>
    </w:p>
    <w:p w14:paraId="52813AD3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eastAsia="zh-CN"/>
        </w:rPr>
        <w:t>经营场所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：</w:t>
      </w:r>
      <w:bookmarkStart w:id="6" w:name="CALCULATE—DSR—tAjDsrs_cLxdzSheng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河南省偃师市邙岭镇西蔡庄村</w:t>
      </w:r>
      <w:bookmarkEnd w:id="6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val="en-US" w:eastAsia="zh-CN"/>
        </w:rPr>
        <w:t xml:space="preserve"> </w:t>
      </w:r>
    </w:p>
    <w:p w14:paraId="4D7F52A6">
      <w:pPr>
        <w:spacing w:line="540" w:lineRule="exact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  <w:lang w:eastAsia="zh-CN"/>
        </w:rPr>
        <w:t>经营者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>：</w:t>
      </w:r>
      <w:bookmarkStart w:id="7" w:name="CALCULATE—DSR—tAjDsrs_cFddbr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王顶飞</w:t>
      </w:r>
      <w:bookmarkEnd w:id="7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</w:t>
      </w:r>
    </w:p>
    <w:p w14:paraId="3AFA5D99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 w:color="auto"/>
        </w:rPr>
        <w:t xml:space="preserve">                                     </w:t>
      </w:r>
    </w:p>
    <w:p w14:paraId="053CAB5F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bookmarkStart w:id="8" w:name="CALCULATE—AJCF—tAjCfes_cAjss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经查，偃师市邙岭镇国浩苗圃于2018年03月27日核准登记注册，由于经营者王顶飞忙于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经营，未按照规定报送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>2021、2022、2023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年度报告和社会公示，分别于2022年7月13日、2023年7月10日和2024年7月9日，被我局列入经营异常名录信息。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上述事实，主要有以下证据证明：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1、营业执照、经营者身份证复印件，证明当事人主体资格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和经营者的身份证明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；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2、现场笔录、异常名录信息查询等，证明当事人未按规定时间通过国家企业信用信息公示系统报送2021、2022、2023年度报告，并向社会公示；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3、询问笔录，证明当事人未按规定时间通过国家企业信用信息公示系统报送2021、2022、2023年度报告并向社会公示的事实。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4、国家企业信用信息公示系统（河南）截图：证明当事人通过国家企业信用信息公示系统对2021、2022、2023年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eastAsia="zh-CN"/>
        </w:rPr>
        <w:t>度报告进行补录，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积极改正违法行为。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  <w:lang w:val="en-US" w:eastAsia="zh-CN"/>
        </w:rPr>
        <w:t xml:space="preserve">   </w:t>
      </w:r>
      <w:bookmarkEnd w:id="8"/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 w:color="auto"/>
        </w:rPr>
        <w:t>当事人上述行为违反了</w:t>
      </w:r>
      <w:bookmarkStart w:id="9" w:name="CALCULATE—XZCFJDS—xzcfjdswfxx"/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《中华人民共和国市场主体登记管理条例实施细则》第六十三条第一款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市场主体应当于每年1月1日至6月30日，通过国家企业信用信息公示系统报送上一年度年度报告，并向社会公示。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的规定，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其行为属于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未规定报送年度报告的行为。</w:t>
      </w:r>
      <w:bookmarkStart w:id="10" w:name="CALCULATE—AJCF—tAjCfes_cZyclsshly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参照《河南省市场监督管理行政处罚裁量权适用通则》第十条“有下列情形之一的，可以依法从轻或者减轻行政处罚：（二）积极配合市场监管部门调查，并主动提供证据材料的；”。因当事人积极主动配合市场监管部门调查，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2025年5月27日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对2021、2022、2023年度报告进行补录并向社会公示。根据其违法的事实、性质、情节，属于轻微违法，可以依法给予当事人从轻行政处罚。</w:t>
      </w:r>
      <w:bookmarkEnd w:id="10"/>
    </w:p>
    <w:p w14:paraId="433DA89E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我局于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2025年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月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向当事人送达了《洛阳市偃师区市场监督管理局行政处罚告知书》(</w:t>
      </w:r>
      <w:bookmarkStart w:id="11" w:name="CALCULATE—XZCFJDS—cCfgzSdwswh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偃市监罚告〔202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号</w:t>
      </w:r>
      <w:bookmarkEnd w:id="11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)，</w:t>
      </w:r>
      <w:bookmarkStart w:id="12" w:name="CALCULATE—XZCFJDS—nTccssb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 w:color="auto"/>
        </w:rPr>
        <w:t>告知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当事人</w:t>
      </w:r>
      <w:bookmarkEnd w:id="12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我局拟作出行政处罚决定的事实、理由、依据、内容及当事人有权进行陈述、申辩，并可以要求听证。当事人在法定期限内未行使陈述、申辩权，亦未要求听证。</w:t>
      </w:r>
    </w:p>
    <w:bookmarkEnd w:id="9"/>
    <w:p w14:paraId="01FC8C50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依据《市场主体登记管理条例实施细则》第七十条：“市场主体未按照法律、行政法规规定的期限公示或者报送年度报告的，由登记机关列入经营异常名录，可以处1万元以下的罚款。”的规定。参照《河南省市场监督管理行政处罚裁量基准（2023 版）》1.6.1依据《市场主体登记管理条例实施细则》第七十条实施的行政处罚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裁量等级：从轻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违法情形：逾期60日以内；或者具有《通则》规定的其他从轻处罚情形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。裁量基准：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可以处3000元以下的罚款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之规定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对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 w:color="auto"/>
        </w:rPr>
        <w:t>偃师市邙岭镇国浩苗圃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>罚款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</w:rPr>
        <w:t xml:space="preserve">00元。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val="en-US" w:eastAsia="zh-CN"/>
        </w:rPr>
        <w:t xml:space="preserve">                             </w:t>
      </w:r>
    </w:p>
    <w:p w14:paraId="5A5AEEF0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）。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  <w:lang w:val="en-US" w:eastAsia="zh-CN"/>
        </w:rPr>
        <w:t xml:space="preserve">                    </w:t>
      </w:r>
    </w:p>
    <w:p w14:paraId="163F8FC6">
      <w:pPr>
        <w:pStyle w:val="3"/>
        <w:keepNext w:val="0"/>
        <w:keepLines w:val="0"/>
        <w:pageBreakBefore w:val="0"/>
        <w:tabs>
          <w:tab w:val="left" w:pos="8395"/>
        </w:tabs>
        <w:kinsoku/>
        <w:wordWrap w:val="0"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  <w:lang w:val="en-US" w:eastAsia="zh-CN"/>
        </w:rPr>
        <w:t xml:space="preserve"> </w:t>
      </w:r>
    </w:p>
    <w:p w14:paraId="05410103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u w:val="none" w:color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u w:val="none" w:color="auto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 w14:paraId="24C276CC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default" w:ascii="Times New Roman" w:eastAsia="仿宋_GB2312" w:cs="仿宋_GB2312"/>
          <w:b w:val="0"/>
          <w:bCs/>
          <w:color w:val="auto"/>
          <w:u w:val="single"/>
          <w:lang w:val="en-US" w:eastAsia="zh-CN"/>
        </w:rPr>
      </w:pPr>
    </w:p>
    <w:p w14:paraId="0DA44986">
      <w:pPr>
        <w:widowControl/>
        <w:snapToGrid w:val="0"/>
        <w:spacing w:line="520" w:lineRule="exact"/>
        <w:jc w:val="left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6FA486D2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Hans"/>
        </w:rPr>
      </w:pPr>
    </w:p>
    <w:p w14:paraId="41956CB8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</w:rPr>
      </w:pPr>
      <w:bookmarkStart w:id="13" w:name="DYNAMIC—DWXX—tAj_dwmc—2"/>
      <w:r>
        <w:rPr>
          <w:rFonts w:hint="eastAsia" w:ascii="Times New Roman" w:hAnsi="Times New Roman" w:eastAsia="仿宋_GB2312" w:cs="仿宋"/>
          <w:color w:val="000000"/>
          <w:sz w:val="32"/>
          <w:u w:val="none"/>
        </w:rPr>
        <w:t>洛阳市偃师区市场监督管理局</w:t>
      </w:r>
      <w:bookmarkEnd w:id="13"/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 xml:space="preserve">    </w:t>
      </w:r>
    </w:p>
    <w:p w14:paraId="2D71BBAE">
      <w:pPr>
        <w:spacing w:line="560" w:lineRule="exact"/>
        <w:ind w:right="640" w:firstLine="601"/>
        <w:jc w:val="right"/>
        <w:outlineLvl w:val="1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（印 章）</w:t>
      </w:r>
    </w:p>
    <w:p w14:paraId="13E12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</w:rPr>
      </w:pPr>
      <w:bookmarkStart w:id="14" w:name="CALCULATE—TIME—NOW"/>
      <w:r>
        <w:rPr>
          <w:rFonts w:ascii="仿宋_GB2312" w:hAnsi="仿宋_GB2312" w:eastAsia="仿宋_GB2312" w:cs="仿宋_GB2312"/>
          <w:sz w:val="32"/>
        </w:rPr>
        <w:t>2025年06月11日</w:t>
      </w:r>
      <w:bookmarkEnd w:id="14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u w:val="none"/>
        </w:rPr>
        <w:t xml:space="preserve">  </w:t>
      </w:r>
    </w:p>
    <w:p w14:paraId="46700A17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441E9A99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4F1D4AC3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    份，    份送达，一份归档，           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E52C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7BED49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7BED49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0344D2A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7FD30D0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70A775C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0C95670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54752A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8254A8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E47944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1620</Words>
  <Characters>1899</Characters>
  <Lines>0</Lines>
  <Paragraphs>0</Paragraphs>
  <TotalTime>0</TotalTime>
  <ScaleCrop>false</ScaleCrop>
  <LinksUpToDate>false</LinksUpToDate>
  <CharactersWithSpaces>2222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2025-08-14T09:19:51Z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BA06C51C1111449787F7990D8234D368_13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