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14BA9">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01974824">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19B8BE59">
      <w:pPr>
        <w:widowControl/>
        <w:snapToGrid w:val="0"/>
        <w:spacing w:line="560" w:lineRule="exact"/>
        <w:ind w:right="55"/>
        <w:jc w:val="center"/>
        <w:outlineLvl w:val="1"/>
        <w:rPr>
          <w:rFonts w:hint="eastAsia" w:ascii="Times New Roman" w:hAnsi="Times New Roman" w:eastAsia="仿宋_GB2312" w:cs="Mongolian Baiti"/>
          <w:color w:val="auto"/>
          <w:sz w:val="32"/>
        </w:rPr>
      </w:pPr>
      <w:bookmarkStart w:id="2" w:name="tAj_wh"/>
      <w:r>
        <w:rPr>
          <w:rFonts w:hint="eastAsia" w:ascii="Times New Roman" w:hAnsi="Times New Roman" w:eastAsia="仿宋_GB2312" w:cs="Mongolian Baiti"/>
          <w:color w:val="000000"/>
          <w:sz w:val="32"/>
          <w:u w:val="none"/>
        </w:rPr>
        <w:t>偃市监处罚〔2025〕67号</w:t>
      </w:r>
      <w:bookmarkEnd w:id="2"/>
    </w:p>
    <w:p w14:paraId="0F3A8081">
      <w:pPr>
        <w:widowControl/>
        <w:snapToGrid w:val="0"/>
        <w:spacing w:line="560" w:lineRule="exact"/>
        <w:ind w:right="55"/>
        <w:jc w:val="center"/>
        <w:outlineLvl w:val="1"/>
        <w:rPr>
          <w:rFonts w:hint="eastAsia" w:ascii="Times New Roman" w:hAnsi="Times New Roman" w:eastAsia="仿宋_GB2312" w:cs="Mongolian Baiti"/>
          <w:color w:val="auto"/>
          <w:sz w:val="32"/>
        </w:rPr>
      </w:pPr>
    </w:p>
    <w:p w14:paraId="2B1934EF">
      <w:pPr>
        <w:pStyle w:val="3"/>
        <w:keepNext w:val="0"/>
        <w:keepLines w:val="0"/>
        <w:pageBreakBefore w:val="0"/>
        <w:tabs>
          <w:tab w:val="left" w:pos="4440"/>
          <w:tab w:val="left" w:pos="8920"/>
        </w:tabs>
        <w:kinsoku/>
        <w:overflowPunct/>
        <w:topLinePunct w:val="0"/>
        <w:bidi w:val="0"/>
        <w:spacing w:line="540" w:lineRule="exact"/>
        <w:ind w:left="0" w:right="118"/>
        <w:jc w:val="both"/>
        <w:textAlignment w:val="auto"/>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u w:val="none"/>
          <w:lang w:eastAsia="zh-CN"/>
        </w:rPr>
        <w:t>事人：偃师市伊洛街道办事处建宾商店</w:t>
      </w:r>
      <w:r>
        <w:rPr>
          <w:rFonts w:hint="eastAsia" w:ascii="仿宋_GB2312" w:hAnsi="仿宋_GB2312" w:eastAsia="仿宋_GB2312" w:cs="仿宋_GB2312"/>
          <w:color w:val="000000"/>
          <w:u w:val="none" w:color="auto"/>
          <w:lang w:val="en-US" w:eastAsia="zh-CN"/>
        </w:rPr>
        <w:t xml:space="preserve"> </w:t>
      </w:r>
    </w:p>
    <w:p w14:paraId="03D04E9D">
      <w:pPr>
        <w:pStyle w:val="3"/>
        <w:keepNext w:val="0"/>
        <w:keepLines w:val="0"/>
        <w:pageBreakBefore w:val="0"/>
        <w:tabs>
          <w:tab w:val="left" w:pos="4440"/>
          <w:tab w:val="left" w:pos="8920"/>
        </w:tabs>
        <w:kinsoku/>
        <w:overflowPunct/>
        <w:topLinePunct w:val="0"/>
        <w:bidi w:val="0"/>
        <w:spacing w:line="540" w:lineRule="exact"/>
        <w:ind w:left="0" w:right="118"/>
        <w:jc w:val="both"/>
        <w:textAlignment w:val="auto"/>
        <w:rPr>
          <w:rFonts w:hint="eastAsia" w:ascii="仿宋_GB2312" w:hAnsi="仿宋_GB2312" w:eastAsia="仿宋_GB2312" w:cs="仿宋_GB2312"/>
          <w:lang w:eastAsia="zh-CN"/>
        </w:rPr>
      </w:pPr>
      <w:r>
        <w:rPr>
          <w:rFonts w:hint="eastAsia" w:ascii="仿宋_GB2312" w:hAnsi="仿宋_GB2312" w:eastAsia="仿宋_GB2312" w:cs="仿宋_GB2312"/>
          <w:color w:val="000000"/>
          <w:u w:val="none"/>
          <w:lang w:eastAsia="zh-CN"/>
        </w:rPr>
        <w:t>主体资格证照名称：营业执照</w:t>
      </w:r>
    </w:p>
    <w:p w14:paraId="68641F6F">
      <w:pPr>
        <w:pStyle w:val="3"/>
        <w:keepNext w:val="0"/>
        <w:keepLines w:val="0"/>
        <w:pageBreakBefore w:val="0"/>
        <w:tabs>
          <w:tab w:val="left" w:pos="3785"/>
          <w:tab w:val="left" w:pos="8920"/>
        </w:tabs>
        <w:kinsoku/>
        <w:overflowPunct/>
        <w:topLinePunct w:val="0"/>
        <w:bidi w:val="0"/>
        <w:spacing w:line="540" w:lineRule="exact"/>
        <w:ind w:left="0" w:right="118"/>
        <w:jc w:val="both"/>
        <w:textAlignment w:val="auto"/>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u w:val="none"/>
          <w:lang w:eastAsia="zh-CN"/>
        </w:rPr>
        <w:t>统一社会信用代码：</w:t>
      </w:r>
      <w:r>
        <w:rPr>
          <w:rFonts w:hint="eastAsia" w:ascii="仿宋_GB2312" w:hAnsi="仿宋_GB2312" w:eastAsia="仿宋_GB2312" w:cs="仿宋_GB2312"/>
          <w:color w:val="000000"/>
          <w:u w:val="none" w:color="auto"/>
        </w:rPr>
        <w:t>92410381MA</w:t>
      </w:r>
      <w:r>
        <w:rPr>
          <w:rFonts w:hint="eastAsia" w:ascii="仿宋_GB2312" w:hAnsi="仿宋_GB2312" w:eastAsia="仿宋_GB2312" w:cs="仿宋_GB2312"/>
          <w:color w:val="000000"/>
          <w:u w:val="none" w:color="auto"/>
          <w:lang w:val="en-US" w:eastAsia="zh-CN"/>
        </w:rPr>
        <w:t>44E72T3X</w:t>
      </w:r>
    </w:p>
    <w:p w14:paraId="05C781EA">
      <w:pPr>
        <w:pStyle w:val="3"/>
        <w:keepNext w:val="0"/>
        <w:keepLines w:val="0"/>
        <w:pageBreakBefore w:val="0"/>
        <w:tabs>
          <w:tab w:val="left" w:pos="8964"/>
        </w:tabs>
        <w:kinsoku/>
        <w:overflowPunct/>
        <w:topLinePunct w:val="0"/>
        <w:bidi w:val="0"/>
        <w:spacing w:line="540" w:lineRule="exact"/>
        <w:ind w:left="0"/>
        <w:jc w:val="both"/>
        <w:textAlignment w:val="auto"/>
        <w:rPr>
          <w:rFonts w:hint="eastAsia" w:ascii="仿宋_GB2312" w:hAnsi="仿宋_GB2312" w:eastAsia="仿宋_GB2312" w:cs="仿宋_GB2312"/>
          <w:u w:val="none" w:color="auto"/>
          <w:lang w:val="en-US" w:eastAsia="zh-CN"/>
        </w:rPr>
      </w:pPr>
      <w:r>
        <w:rPr>
          <w:rFonts w:hint="eastAsia" w:ascii="仿宋_GB2312" w:hAnsi="仿宋_GB2312" w:eastAsia="仿宋_GB2312" w:cs="仿宋_GB2312"/>
          <w:color w:val="000000"/>
          <w:u w:val="none"/>
          <w:lang w:eastAsia="zh-CN"/>
        </w:rPr>
        <w:t xml:space="preserve">经营场所: </w:t>
      </w:r>
      <w:r>
        <w:rPr>
          <w:rFonts w:hint="eastAsia" w:ascii="仿宋_GB2312" w:hAnsi="仿宋_GB2312" w:eastAsia="仿宋_GB2312" w:cs="仿宋_GB2312"/>
          <w:color w:val="000000"/>
          <w:u w:val="none" w:color="auto"/>
          <w:lang w:eastAsia="zh-CN"/>
        </w:rPr>
        <w:t>偃师市伊洛街道办事处西寺庄</w:t>
      </w:r>
      <w:r>
        <w:rPr>
          <w:rFonts w:hint="eastAsia" w:ascii="仿宋_GB2312" w:hAnsi="仿宋_GB2312" w:eastAsia="仿宋_GB2312" w:cs="仿宋_GB2312"/>
          <w:color w:val="000000"/>
          <w:u w:val="none" w:color="auto"/>
          <w:lang w:val="en-US" w:eastAsia="zh-CN"/>
        </w:rPr>
        <w:t>9号楼101室</w:t>
      </w:r>
    </w:p>
    <w:p w14:paraId="2C36D2BD">
      <w:pPr>
        <w:pStyle w:val="3"/>
        <w:keepNext w:val="0"/>
        <w:keepLines w:val="0"/>
        <w:pageBreakBefore w:val="0"/>
        <w:tabs>
          <w:tab w:val="left" w:pos="8964"/>
        </w:tabs>
        <w:kinsoku/>
        <w:overflowPunct/>
        <w:topLinePunct w:val="0"/>
        <w:bidi w:val="0"/>
        <w:spacing w:line="540" w:lineRule="exact"/>
        <w:ind w:left="0"/>
        <w:jc w:val="both"/>
        <w:textAlignment w:val="auto"/>
        <w:rPr>
          <w:rFonts w:hint="eastAsia" w:ascii="仿宋_GB2312" w:hAnsi="仿宋_GB2312" w:eastAsia="仿宋_GB2312" w:cs="仿宋_GB2312"/>
          <w:lang w:eastAsia="zh-CN"/>
        </w:rPr>
      </w:pPr>
      <w:r>
        <w:rPr>
          <w:rFonts w:hint="eastAsia" w:ascii="仿宋_GB2312" w:hAnsi="仿宋_GB2312" w:eastAsia="仿宋_GB2312" w:cs="仿宋_GB2312"/>
          <w:color w:val="000000"/>
          <w:u w:val="none"/>
          <w:lang w:eastAsia="zh-CN"/>
        </w:rPr>
        <w:t>经营者：</w:t>
      </w:r>
      <w:r>
        <w:rPr>
          <w:rFonts w:hint="eastAsia" w:ascii="仿宋_GB2312" w:hAnsi="仿宋_GB2312" w:eastAsia="仿宋_GB2312" w:cs="仿宋_GB2312"/>
          <w:color w:val="000000"/>
          <w:u w:val="none" w:color="auto"/>
          <w:lang w:eastAsia="zh-CN"/>
        </w:rPr>
        <w:t>杨建宾</w:t>
      </w:r>
    </w:p>
    <w:p w14:paraId="2A0F8EED">
      <w:pPr>
        <w:pStyle w:val="3"/>
        <w:keepNext w:val="0"/>
        <w:keepLines w:val="0"/>
        <w:pageBreakBefore w:val="0"/>
        <w:tabs>
          <w:tab w:val="left" w:pos="8964"/>
        </w:tabs>
        <w:kinsoku/>
        <w:overflowPunct/>
        <w:topLinePunct w:val="0"/>
        <w:bidi w:val="0"/>
        <w:spacing w:line="540" w:lineRule="exact"/>
        <w:ind w:left="0" w:firstLine="640" w:firstLineChars="200"/>
        <w:jc w:val="both"/>
        <w:textAlignment w:val="auto"/>
        <w:rPr>
          <w:rFonts w:hint="eastAsia" w:ascii="仿宋_GB2312" w:hAnsi="仿宋_GB2312" w:eastAsia="仿宋_GB2312" w:cs="仿宋_GB2312"/>
          <w:lang w:eastAsia="zh-CN"/>
        </w:rPr>
      </w:pPr>
      <w:bookmarkStart w:id="5" w:name="_GoBack"/>
      <w:bookmarkEnd w:id="5"/>
      <w:r>
        <w:rPr>
          <w:rFonts w:hint="eastAsia" w:ascii="仿宋_GB2312" w:hAnsi="仿宋_GB2312" w:eastAsia="仿宋_GB2312" w:cs="仿宋_GB2312"/>
          <w:color w:val="000000"/>
          <w:u w:val="none"/>
          <w:lang w:eastAsia="zh-CN"/>
        </w:rPr>
        <w:t>2025年</w:t>
      </w:r>
      <w:r>
        <w:rPr>
          <w:rFonts w:hint="eastAsia" w:ascii="仿宋_GB2312" w:hAnsi="仿宋_GB2312" w:eastAsia="仿宋_GB2312" w:cs="仿宋_GB2312"/>
          <w:color w:val="000000"/>
          <w:u w:val="none"/>
          <w:lang w:val="en-US" w:eastAsia="zh-CN"/>
        </w:rPr>
        <w:t>5</w:t>
      </w:r>
      <w:r>
        <w:rPr>
          <w:rFonts w:hint="eastAsia" w:ascii="仿宋_GB2312" w:hAnsi="仿宋_GB2312" w:eastAsia="仿宋_GB2312" w:cs="仿宋_GB2312"/>
          <w:color w:val="000000"/>
          <w:u w:val="none"/>
          <w:lang w:eastAsia="zh-CN"/>
        </w:rPr>
        <w:t>月1</w:t>
      </w:r>
      <w:r>
        <w:rPr>
          <w:rFonts w:hint="eastAsia" w:ascii="仿宋_GB2312" w:hAnsi="仿宋_GB2312" w:eastAsia="仿宋_GB2312" w:cs="仿宋_GB2312"/>
          <w:color w:val="000000"/>
          <w:u w:val="none"/>
          <w:lang w:val="en-US" w:eastAsia="zh-CN"/>
        </w:rPr>
        <w:t>6</w:t>
      </w:r>
      <w:r>
        <w:rPr>
          <w:rFonts w:hint="eastAsia" w:ascii="仿宋_GB2312" w:hAnsi="仿宋_GB2312" w:eastAsia="仿宋_GB2312" w:cs="仿宋_GB2312"/>
          <w:color w:val="000000"/>
          <w:u w:val="none"/>
          <w:lang w:eastAsia="zh-CN"/>
        </w:rPr>
        <w:t>日，我局收到洛阳市偃师区烟草专卖局关于“对杨建宾涉嫌无烟草专卖零售许可证经营烟草制品零售业务”案件的移送函（偃烟移〔2025〕第</w:t>
      </w:r>
      <w:r>
        <w:rPr>
          <w:rFonts w:hint="eastAsia" w:ascii="仿宋_GB2312" w:hAnsi="仿宋_GB2312" w:eastAsia="仿宋_GB2312" w:cs="仿宋_GB2312"/>
          <w:color w:val="000000"/>
          <w:u w:val="none"/>
          <w:lang w:val="en-US" w:eastAsia="zh-CN"/>
        </w:rPr>
        <w:t>042</w:t>
      </w:r>
      <w:r>
        <w:rPr>
          <w:rFonts w:hint="eastAsia" w:ascii="仿宋_GB2312" w:hAnsi="仿宋_GB2312" w:eastAsia="仿宋_GB2312" w:cs="仿宋_GB2312"/>
          <w:color w:val="000000"/>
          <w:u w:val="none"/>
          <w:lang w:eastAsia="zh-CN"/>
        </w:rPr>
        <w:t>号），洛阳市偃师区烟草专卖局对现场销售的烟草制品采取了先行登记保存措施。我局于2025年</w:t>
      </w:r>
      <w:r>
        <w:rPr>
          <w:rFonts w:hint="eastAsia" w:ascii="仿宋_GB2312" w:hAnsi="仿宋_GB2312" w:eastAsia="仿宋_GB2312" w:cs="仿宋_GB2312"/>
          <w:color w:val="000000"/>
          <w:u w:val="none"/>
          <w:lang w:val="en-US" w:eastAsia="zh-CN"/>
        </w:rPr>
        <w:t>5</w:t>
      </w:r>
      <w:r>
        <w:rPr>
          <w:rFonts w:hint="eastAsia" w:ascii="仿宋_GB2312" w:hAnsi="仿宋_GB2312" w:eastAsia="仿宋_GB2312" w:cs="仿宋_GB2312"/>
          <w:color w:val="000000"/>
          <w:u w:val="none"/>
          <w:lang w:eastAsia="zh-CN"/>
        </w:rPr>
        <w:t>月1</w:t>
      </w:r>
      <w:r>
        <w:rPr>
          <w:rFonts w:hint="eastAsia" w:ascii="仿宋_GB2312" w:hAnsi="仿宋_GB2312" w:eastAsia="仿宋_GB2312" w:cs="仿宋_GB2312"/>
          <w:color w:val="000000"/>
          <w:u w:val="none"/>
          <w:lang w:val="en-US" w:eastAsia="zh-CN"/>
        </w:rPr>
        <w:t>9</w:t>
      </w:r>
      <w:r>
        <w:rPr>
          <w:rFonts w:hint="eastAsia" w:ascii="仿宋_GB2312" w:hAnsi="仿宋_GB2312" w:eastAsia="仿宋_GB2312" w:cs="仿宋_GB2312"/>
          <w:color w:val="000000"/>
          <w:u w:val="none"/>
          <w:lang w:eastAsia="zh-CN"/>
        </w:rPr>
        <w:t xml:space="preserve">日报经领导批准立案，通过核实移送材料、对当事人进行询问和调取相关登记材料等方式进行了案件调查。                         </w:t>
      </w:r>
    </w:p>
    <w:p w14:paraId="5D417480">
      <w:pPr>
        <w:pStyle w:val="3"/>
        <w:keepNext w:val="0"/>
        <w:keepLines w:val="0"/>
        <w:pageBreakBefore w:val="0"/>
        <w:kinsoku/>
        <w:overflowPunct/>
        <w:topLinePunct w:val="0"/>
        <w:autoSpaceDE w:val="0"/>
        <w:bidi w:val="0"/>
        <w:spacing w:before="0" w:beforeAutospacing="0" w:line="540" w:lineRule="exact"/>
        <w:ind w:left="0" w:leftChars="0" w:firstLine="640" w:firstLineChars="200"/>
        <w:textAlignment w:val="auto"/>
        <w:rPr>
          <w:rFonts w:hint="eastAsia" w:ascii="仿宋_GB2312" w:hAnsi="仿宋_GB2312" w:eastAsia="仿宋_GB2312" w:cs="仿宋_GB2312"/>
          <w:u w:val="none" w:color="auto"/>
          <w:lang w:eastAsia="zh-CN"/>
        </w:rPr>
      </w:pPr>
      <w:r>
        <w:rPr>
          <w:rFonts w:hint="eastAsia" w:ascii="仿宋_GB2312" w:hAnsi="仿宋_GB2312" w:eastAsia="仿宋_GB2312" w:cs="仿宋_GB2312"/>
          <w:color w:val="000000"/>
          <w:u w:val="none"/>
          <w:lang w:eastAsia="zh-CN"/>
        </w:rPr>
        <w:t>经查，杨建宾办理有营业执照，名称为偃师市伊洛街道办事处建宾商店，其妻子胡利桃为</w:t>
      </w:r>
      <w:r>
        <w:rPr>
          <w:rFonts w:hint="eastAsia" w:ascii="仿宋_GB2312" w:hAnsi="仿宋_GB2312" w:eastAsia="仿宋_GB2312" w:cs="仿宋_GB2312"/>
          <w:color w:val="000000"/>
          <w:u w:val="none"/>
          <w:lang w:val="en-US" w:eastAsia="zh-CN"/>
        </w:rPr>
        <w:t>2025年5月14日洛阳市偃师区烟草专卖局在其点检查时的</w:t>
      </w:r>
      <w:r>
        <w:rPr>
          <w:rFonts w:hint="eastAsia" w:ascii="仿宋_GB2312" w:hAnsi="仿宋_GB2312" w:eastAsia="仿宋_GB2312" w:cs="仿宋_GB2312"/>
          <w:color w:val="000000"/>
          <w:u w:val="none"/>
          <w:lang w:eastAsia="zh-CN"/>
        </w:rPr>
        <w:t>现场负责人。当事人</w:t>
      </w:r>
      <w:r>
        <w:rPr>
          <w:rFonts w:hint="eastAsia" w:ascii="仿宋_GB2312" w:hAnsi="仿宋_GB2312" w:eastAsia="仿宋_GB2312" w:cs="仿宋_GB2312"/>
          <w:color w:val="000000"/>
          <w:u w:val="none" w:color="auto"/>
          <w:lang w:eastAsia="zh-CN"/>
        </w:rPr>
        <w:t>承认其店的烟草专卖零售许可证于</w:t>
      </w:r>
      <w:r>
        <w:rPr>
          <w:rFonts w:hint="eastAsia" w:ascii="仿宋_GB2312" w:hAnsi="仿宋_GB2312" w:eastAsia="仿宋_GB2312" w:cs="仿宋_GB2312"/>
          <w:color w:val="000000"/>
          <w:u w:val="none" w:color="auto"/>
          <w:lang w:val="en-US" w:eastAsia="zh-CN"/>
        </w:rPr>
        <w:t>2023年9月25日到期，到期后有很多烟还未销售完，未再办理</w:t>
      </w:r>
      <w:r>
        <w:rPr>
          <w:rFonts w:hint="eastAsia" w:ascii="仿宋_GB2312" w:hAnsi="仿宋_GB2312" w:eastAsia="仿宋_GB2312" w:cs="仿宋_GB2312"/>
          <w:color w:val="000000"/>
          <w:u w:val="none" w:color="auto"/>
          <w:lang w:eastAsia="zh-CN"/>
        </w:rPr>
        <w:t>烟草专卖零售许可证，店内香烟</w:t>
      </w:r>
      <w:r>
        <w:rPr>
          <w:rFonts w:hint="eastAsia" w:ascii="仿宋_GB2312" w:hAnsi="仿宋_GB2312" w:eastAsia="仿宋_GB2312" w:cs="仿宋_GB2312"/>
          <w:color w:val="000000"/>
          <w:u w:val="none" w:color="auto"/>
          <w:lang w:val="en-US" w:eastAsia="zh-CN"/>
        </w:rPr>
        <w:t>存货卖了一年。2024年10月，当事人开始从烟草交流群别的商户手里收购一些香烟搭配着卖，2025年5月14日被</w:t>
      </w:r>
      <w:r>
        <w:rPr>
          <w:rFonts w:hint="eastAsia" w:ascii="仿宋_GB2312" w:hAnsi="仿宋_GB2312" w:eastAsia="仿宋_GB2312" w:cs="仿宋_GB2312"/>
          <w:color w:val="000000"/>
          <w:u w:val="none"/>
          <w:lang w:val="en-US" w:eastAsia="zh-CN"/>
        </w:rPr>
        <w:t>洛阳市偃师区烟草专卖局查获，现场查获</w:t>
      </w:r>
      <w:r>
        <w:rPr>
          <w:rFonts w:hint="eastAsia" w:ascii="仿宋_GB2312" w:hAnsi="仿宋_GB2312" w:eastAsia="仿宋_GB2312" w:cs="仿宋_GB2312"/>
          <w:color w:val="000000"/>
          <w:u w:val="none" w:color="auto"/>
          <w:lang w:val="en-US" w:eastAsia="zh-CN"/>
        </w:rPr>
        <w:t>的香烟有长白山(777)5条、金圣(滕王阁·紫光)3条、贵烟(跨越)5条、兰州(细支珍品)2条、利群(新版)1条、钻石(金玉兰)2条、利群(软红长嘴)3条、利群(软蓝)9条、黄金叶(黄金眼)11条、黄金叶(小目标)14条、黄金叶(乐途)27条、黄金叶(硬红旗渠)25条、黄金叶(红南阳)11条、兰州(硬精品)5条、黄鹤楼(软蓝)10条、黄金叶(硬帝豪)5条、白沙(硬精品三代)6条、黄金叶(爱尚)4条、红旗渠(芒果)3条、贵烟(萃)3条、南京(梦都)10条、黄金叶(软盛世金典)3条、红旗渠(天行健)1条、玉溪(软)1条、苏烟(五星红杉树)1条、利群(软阳光)1条、好猫(细支长乐)3条、娇子(时代阳光)1条、好猫(金丝猴)1条、钻石(荷花)1条、南京(炫赫门)2条、泰山(青秀)1条、七匹狼(纯境)1条、云烟(软珍品)1条、芙蓉王(硬细支)2条、白沙(硬天天向上细支)1条、黄山(红方印细支)1条、南京(十二钗烤烟)2条、芙蓉王(硬)1条、娇子(格调细支)2条、云烟(细支云龙)2条、南京(十二钗薄荷)1条,合计42个品种197条</w:t>
      </w:r>
      <w:r>
        <w:rPr>
          <w:rFonts w:hint="eastAsia" w:ascii="仿宋_GB2312" w:hAnsi="仿宋_GB2312" w:eastAsia="仿宋_GB2312" w:cs="仿宋_GB2312"/>
          <w:color w:val="000000"/>
          <w:u w:val="none" w:color="auto"/>
          <w:lang w:eastAsia="zh-CN"/>
        </w:rPr>
        <w:t>。</w:t>
      </w:r>
    </w:p>
    <w:p w14:paraId="5A810597">
      <w:pPr>
        <w:pStyle w:val="3"/>
        <w:keepNext w:val="0"/>
        <w:keepLines w:val="0"/>
        <w:pageBreakBefore w:val="0"/>
        <w:kinsoku/>
        <w:overflowPunct/>
        <w:topLinePunct w:val="0"/>
        <w:autoSpaceDE w:val="0"/>
        <w:bidi w:val="0"/>
        <w:spacing w:before="0" w:beforeAutospacing="0" w:line="540" w:lineRule="exact"/>
        <w:ind w:left="0" w:leftChars="0" w:firstLine="640" w:firstLineChars="200"/>
        <w:textAlignment w:val="auto"/>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u w:val="none" w:color="auto"/>
          <w:lang w:eastAsia="zh-CN"/>
        </w:rPr>
        <w:t>调查认定的事实，当事人未办理《烟草专卖零售许可证》，进销香烟未建立账目。依据洛阳市偃师区烟草专卖局出具的《涉案物品核价表》，认定当事人无证经营烟草制品的违法经营总额为</w:t>
      </w:r>
      <w:r>
        <w:rPr>
          <w:rFonts w:hint="eastAsia" w:ascii="仿宋_GB2312" w:hAnsi="仿宋_GB2312" w:eastAsia="仿宋_GB2312" w:cs="仿宋_GB2312"/>
          <w:color w:val="000000"/>
          <w:u w:val="none" w:color="auto"/>
          <w:lang w:val="en-US" w:eastAsia="zh-CN"/>
        </w:rPr>
        <w:t>30765</w:t>
      </w:r>
      <w:r>
        <w:rPr>
          <w:rFonts w:hint="eastAsia" w:ascii="仿宋_GB2312" w:hAnsi="仿宋_GB2312" w:eastAsia="仿宋_GB2312" w:cs="仿宋_GB2312"/>
          <w:color w:val="000000"/>
          <w:u w:val="none" w:color="auto"/>
          <w:lang w:eastAsia="zh-CN"/>
        </w:rPr>
        <w:t>元。</w:t>
      </w:r>
      <w:r>
        <w:rPr>
          <w:rFonts w:hint="eastAsia" w:ascii="仿宋_GB2312" w:hAnsi="仿宋_GB2312" w:eastAsia="仿宋_GB2312" w:cs="仿宋_GB2312"/>
          <w:color w:val="000000"/>
          <w:u w:val="none"/>
          <w:lang w:eastAsia="zh-CN"/>
        </w:rPr>
        <w:t xml:space="preserve">                        </w:t>
      </w:r>
    </w:p>
    <w:p w14:paraId="467AE61E">
      <w:pPr>
        <w:pStyle w:val="3"/>
        <w:keepNext w:val="0"/>
        <w:keepLines w:val="0"/>
        <w:pageBreakBefore w:val="0"/>
        <w:kinsoku/>
        <w:overflowPunct/>
        <w:topLinePunct w:val="0"/>
        <w:autoSpaceDE w:val="0"/>
        <w:bidi w:val="0"/>
        <w:spacing w:line="540" w:lineRule="exact"/>
        <w:ind w:left="0" w:firstLine="707" w:firstLineChars="221"/>
        <w:jc w:val="both"/>
        <w:textAlignment w:val="auto"/>
        <w:rPr>
          <w:rFonts w:hint="eastAsia" w:ascii="仿宋_GB2312" w:hAnsi="仿宋_GB2312" w:eastAsia="仿宋_GB2312" w:cs="仿宋_GB2312"/>
          <w:lang w:eastAsia="zh-CN"/>
        </w:rPr>
      </w:pPr>
      <w:r>
        <w:rPr>
          <w:rFonts w:hint="eastAsia" w:ascii="仿宋_GB2312" w:hAnsi="仿宋_GB2312" w:eastAsia="仿宋_GB2312" w:cs="仿宋_GB2312"/>
          <w:color w:val="000000"/>
          <w:u w:val="none"/>
          <w:lang w:eastAsia="zh-CN"/>
        </w:rPr>
        <w:t>上述事实，主要有以下证据证明：</w:t>
      </w:r>
    </w:p>
    <w:p w14:paraId="08F093DB">
      <w:pPr>
        <w:keepNext w:val="0"/>
        <w:keepLines w:val="0"/>
        <w:pageBreakBefore w:val="0"/>
        <w:tabs>
          <w:tab w:val="left" w:pos="2440"/>
          <w:tab w:val="left" w:pos="8964"/>
        </w:tabs>
        <w:kinsoku/>
        <w:overflowPunct/>
        <w:topLinePunct w:val="0"/>
        <w:bidi w:val="0"/>
        <w:spacing w:line="540" w:lineRule="exact"/>
        <w:ind w:firstLine="64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1.洛阳市偃师区烟草专卖局案件移送函（偃烟移〔2025〕第0</w:t>
      </w:r>
      <w:r>
        <w:rPr>
          <w:rFonts w:hint="eastAsia" w:ascii="仿宋_GB2312" w:hAnsi="仿宋_GB2312" w:eastAsia="仿宋_GB2312" w:cs="仿宋_GB2312"/>
          <w:color w:val="000000"/>
          <w:sz w:val="32"/>
          <w:szCs w:val="32"/>
          <w:u w:val="none"/>
          <w:lang w:val="en-US" w:eastAsia="zh-CN"/>
        </w:rPr>
        <w:t>42</w:t>
      </w:r>
      <w:r>
        <w:rPr>
          <w:rFonts w:hint="eastAsia" w:ascii="仿宋_GB2312" w:hAnsi="仿宋_GB2312" w:eastAsia="仿宋_GB2312" w:cs="仿宋_GB2312"/>
          <w:color w:val="000000"/>
          <w:sz w:val="32"/>
          <w:szCs w:val="32"/>
          <w:u w:val="none"/>
          <w:lang w:eastAsia="zh-CN"/>
        </w:rPr>
        <w:t>号），证明案件来源情况；</w:t>
      </w:r>
    </w:p>
    <w:p w14:paraId="5378B0F7">
      <w:pPr>
        <w:keepNext w:val="0"/>
        <w:keepLines w:val="0"/>
        <w:pageBreakBefore w:val="0"/>
        <w:tabs>
          <w:tab w:val="left" w:pos="9040"/>
          <w:tab w:val="left" w:pos="9130"/>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2.洛阳市偃师区烟草专卖局现场笔录，证明现场检查情况；</w:t>
      </w:r>
    </w:p>
    <w:p w14:paraId="5AA5B8AF">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3.洛阳市偃师区烟草专卖局《证据先行登记保存通知书》（偃烟存通〔2025〕第</w:t>
      </w:r>
      <w:r>
        <w:rPr>
          <w:rFonts w:hint="eastAsia" w:ascii="仿宋_GB2312" w:hAnsi="仿宋_GB2312" w:eastAsia="仿宋_GB2312" w:cs="仿宋_GB2312"/>
          <w:color w:val="000000"/>
          <w:sz w:val="32"/>
          <w:szCs w:val="32"/>
          <w:u w:val="none"/>
          <w:lang w:val="en-US" w:eastAsia="zh-CN"/>
        </w:rPr>
        <w:t>42</w:t>
      </w:r>
      <w:r>
        <w:rPr>
          <w:rFonts w:hint="eastAsia" w:ascii="仿宋_GB2312" w:hAnsi="仿宋_GB2312" w:eastAsia="仿宋_GB2312" w:cs="仿宋_GB2312"/>
          <w:color w:val="000000"/>
          <w:sz w:val="32"/>
          <w:szCs w:val="32"/>
          <w:u w:val="none"/>
          <w:lang w:eastAsia="zh-CN"/>
        </w:rPr>
        <w:t>号），证明采取行政强制措施情况及涉案物品数量；</w:t>
      </w:r>
    </w:p>
    <w:p w14:paraId="1BDC8DD7">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4.洛阳市偃师区烟草专卖局《涉案物品核价表》，证明烟草制品经营总额；</w:t>
      </w:r>
    </w:p>
    <w:p w14:paraId="316ED587">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5.洛阳市偃师区烟草专卖局《证明》，证明当事人在事发经营位置未办理烟草专卖零售许可证；</w:t>
      </w:r>
    </w:p>
    <w:p w14:paraId="3AF3768F">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6.洛阳市偃师区市场监督管理局询问笔录，证明当事人对无证经营烟草制品情况确认事实；</w:t>
      </w:r>
    </w:p>
    <w:p w14:paraId="05D3DAD1">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7.当事人营业执照及身份证件复印件，证明当事人主体经营资格和经营者的身份证明。</w:t>
      </w:r>
    </w:p>
    <w:p w14:paraId="51F8E39B">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已构成无证经营烟草制品行为。参照《河南省市场监督管理行政处罚裁量权适用通则》第十八条“当事人不具备不予行政处罚、减轻、从轻或者从重行政处罚情形的，应当给予一般行政处罚。”的规定，应当给予其一般行政处罚。</w:t>
      </w:r>
    </w:p>
    <w:p w14:paraId="1B5093F0">
      <w:pPr>
        <w:pStyle w:val="3"/>
        <w:keepNext w:val="0"/>
        <w:keepLines w:val="0"/>
        <w:pageBreakBefore w:val="0"/>
        <w:tabs>
          <w:tab w:val="left" w:pos="6724"/>
          <w:tab w:val="left" w:pos="7684"/>
          <w:tab w:val="left" w:pos="8644"/>
        </w:tabs>
        <w:kinsoku/>
        <w:overflowPunct/>
        <w:topLinePunct w:val="0"/>
        <w:bidi w:val="0"/>
        <w:spacing w:line="540" w:lineRule="exact"/>
        <w:ind w:left="0" w:right="105" w:rightChars="50" w:firstLine="707" w:firstLineChars="221"/>
        <w:jc w:val="both"/>
        <w:textAlignment w:val="auto"/>
        <w:rPr>
          <w:rFonts w:hint="eastAsia" w:ascii="仿宋_GB2312" w:hAnsi="仿宋_GB2312" w:eastAsia="仿宋_GB2312" w:cs="仿宋_GB2312"/>
          <w:lang w:eastAsia="zh-CN"/>
        </w:rPr>
      </w:pPr>
      <w:r>
        <w:rPr>
          <w:rFonts w:hint="eastAsia" w:ascii="仿宋_GB2312" w:hAnsi="仿宋_GB2312" w:eastAsia="仿宋_GB2312" w:cs="仿宋_GB2312"/>
          <w:color w:val="000000"/>
          <w:u w:val="none"/>
          <w:lang w:eastAsia="zh-CN"/>
        </w:rPr>
        <w:t>我局于2025年</w:t>
      </w:r>
      <w:r>
        <w:rPr>
          <w:rFonts w:hint="eastAsia" w:ascii="仿宋_GB2312" w:hAnsi="仿宋_GB2312" w:eastAsia="仿宋_GB2312" w:cs="仿宋_GB2312"/>
          <w:color w:val="000000"/>
          <w:u w:val="none"/>
          <w:lang w:val="en-US" w:eastAsia="zh-CN"/>
        </w:rPr>
        <w:t>6</w:t>
      </w:r>
      <w:r>
        <w:rPr>
          <w:rFonts w:hint="eastAsia" w:ascii="仿宋_GB2312" w:hAnsi="仿宋_GB2312" w:eastAsia="仿宋_GB2312" w:cs="仿宋_GB2312"/>
          <w:color w:val="000000"/>
          <w:u w:val="none"/>
          <w:lang w:eastAsia="zh-CN"/>
        </w:rPr>
        <w:t>月</w:t>
      </w:r>
      <w:r>
        <w:rPr>
          <w:rFonts w:hint="eastAsia" w:ascii="仿宋_GB2312" w:hAnsi="仿宋_GB2312" w:eastAsia="仿宋_GB2312" w:cs="仿宋_GB2312"/>
          <w:color w:val="000000"/>
          <w:u w:val="none"/>
          <w:lang w:val="en-US" w:eastAsia="zh-CN"/>
        </w:rPr>
        <w:t>4</w:t>
      </w:r>
      <w:r>
        <w:rPr>
          <w:rFonts w:hint="eastAsia" w:ascii="仿宋_GB2312" w:hAnsi="仿宋_GB2312" w:eastAsia="仿宋_GB2312" w:cs="仿宋_GB2312"/>
          <w:color w:val="000000"/>
          <w:u w:val="none"/>
          <w:lang w:eastAsia="zh-CN"/>
        </w:rPr>
        <w:t>日向当事人送达了偃市监罚告〔2025〕</w:t>
      </w:r>
      <w:r>
        <w:rPr>
          <w:rFonts w:hint="eastAsia" w:ascii="仿宋_GB2312" w:hAnsi="仿宋_GB2312" w:eastAsia="仿宋_GB2312" w:cs="仿宋_GB2312"/>
          <w:color w:val="000000"/>
          <w:u w:val="none"/>
          <w:lang w:val="en-US" w:eastAsia="zh-CN"/>
        </w:rPr>
        <w:t>63</w:t>
      </w:r>
      <w:r>
        <w:rPr>
          <w:rFonts w:hint="eastAsia" w:ascii="仿宋_GB2312" w:hAnsi="仿宋_GB2312" w:eastAsia="仿宋_GB2312" w:cs="仿宋_GB2312"/>
          <w:color w:val="000000"/>
          <w:u w:val="none"/>
          <w:lang w:eastAsia="zh-CN"/>
        </w:rPr>
        <w:t xml:space="preserve">号《洛阳市偃师区市场监督管理局行政处罚告知书》，告知当事人依据《中华人民共和国行政处罚法》第四十四条、第四十五条的规定，以及《市场监督管理行政处罚程序规定》第五十七条的规定，有权进行陈述、申辩。当事人在法定期限内未行使陈述、申辩权。                                                                                                      </w:t>
      </w:r>
    </w:p>
    <w:p w14:paraId="069198E2">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参照《河南省市场监督管理行政处罚裁量基准》（2023版）10.14.1“依据《烟草专卖法实施条例》第五十七条实施的处罚 裁量等级</w:t>
      </w:r>
      <w:r>
        <w:rPr>
          <w:rFonts w:hint="eastAsia" w:ascii="仿宋_GB2312" w:hAnsi="仿宋_GB2312" w:eastAsia="仿宋_GB2312" w:cs="仿宋_GB2312"/>
          <w:color w:val="000000"/>
          <w:sz w:val="32"/>
          <w:szCs w:val="32"/>
          <w:u w:val="none"/>
          <w:lang w:val="en-US" w:eastAsia="zh-CN"/>
        </w:rPr>
        <w:t xml:space="preserve">  一般  违法情形  不具有从轻、从重处罚情形。  </w:t>
      </w:r>
      <w:r>
        <w:rPr>
          <w:rFonts w:hint="eastAsia" w:ascii="仿宋_GB2312" w:hAnsi="仿宋_GB2312" w:eastAsia="仿宋_GB2312" w:cs="仿宋_GB2312"/>
          <w:color w:val="000000"/>
          <w:sz w:val="32"/>
          <w:szCs w:val="32"/>
          <w:u w:val="none"/>
          <w:lang w:eastAsia="zh-CN"/>
        </w:rPr>
        <w:t>裁量基准 责令停止经营烟草制品零售业务，没收违法所得，处以违法经营总额29%以上41%以下的罚款。”之规定。决定对</w:t>
      </w:r>
      <w:r>
        <w:rPr>
          <w:rFonts w:hint="eastAsia" w:ascii="仿宋_GB2312" w:hAnsi="仿宋_GB2312" w:eastAsia="仿宋_GB2312" w:cs="仿宋_GB2312"/>
          <w:color w:val="000000"/>
          <w:sz w:val="32"/>
          <w:szCs w:val="32"/>
          <w:u w:val="none" w:color="auto"/>
          <w:lang w:eastAsia="zh-CN"/>
        </w:rPr>
        <w:t>偃师市伊洛街道办事处建宾商店</w:t>
      </w:r>
      <w:r>
        <w:rPr>
          <w:rFonts w:hint="eastAsia" w:ascii="仿宋_GB2312" w:hAnsi="仿宋_GB2312" w:eastAsia="仿宋_GB2312" w:cs="仿宋_GB2312"/>
          <w:color w:val="000000"/>
          <w:sz w:val="32"/>
          <w:szCs w:val="32"/>
          <w:u w:val="none"/>
          <w:lang w:eastAsia="zh-CN"/>
        </w:rPr>
        <w:t>责令停止经营烟草制品零售业务，处</w:t>
      </w:r>
      <w:r>
        <w:rPr>
          <w:rFonts w:hint="eastAsia" w:ascii="仿宋_GB2312" w:hAnsi="仿宋_GB2312" w:eastAsia="仿宋_GB2312" w:cs="仿宋_GB2312"/>
          <w:color w:val="000000"/>
          <w:sz w:val="32"/>
          <w:szCs w:val="32"/>
          <w:u w:val="none"/>
          <w:lang w:val="en-US" w:eastAsia="zh-CN"/>
        </w:rPr>
        <w:t>9000</w:t>
      </w:r>
      <w:r>
        <w:rPr>
          <w:rFonts w:hint="eastAsia" w:ascii="仿宋_GB2312" w:hAnsi="仿宋_GB2312" w:eastAsia="仿宋_GB2312" w:cs="仿宋_GB2312"/>
          <w:color w:val="000000"/>
          <w:sz w:val="32"/>
          <w:szCs w:val="32"/>
          <w:u w:val="none"/>
          <w:lang w:eastAsia="zh-CN"/>
        </w:rPr>
        <w:t xml:space="preserve">元罚款。                                   </w:t>
      </w:r>
    </w:p>
    <w:p w14:paraId="5DCB99FB">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p>
    <w:p w14:paraId="58137592">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2611EB2F">
      <w:pPr>
        <w:keepNext w:val="0"/>
        <w:keepLines w:val="0"/>
        <w:pageBreakBefore w:val="0"/>
        <w:tabs>
          <w:tab w:val="left" w:pos="2440"/>
          <w:tab w:val="left" w:pos="8964"/>
        </w:tabs>
        <w:kinsoku/>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5093F9E2">
      <w:pPr>
        <w:keepNext w:val="0"/>
        <w:keepLines w:val="0"/>
        <w:pageBreakBefore w:val="0"/>
        <w:widowControl/>
        <w:kinsoku/>
        <w:overflowPunct/>
        <w:topLinePunct w:val="0"/>
        <w:bidi w:val="0"/>
        <w:snapToGrid w:val="0"/>
        <w:spacing w:line="540" w:lineRule="exact"/>
        <w:ind w:firstLine="6240" w:firstLineChars="1950"/>
        <w:jc w:val="left"/>
        <w:textAlignment w:val="auto"/>
        <w:rPr>
          <w:rFonts w:hint="eastAsia" w:ascii="仿宋_GB2312" w:hAnsi="仿宋_GB2312" w:eastAsia="仿宋_GB2312" w:cs="仿宋_GB2312"/>
          <w:color w:val="auto"/>
          <w:sz w:val="32"/>
          <w:szCs w:val="32"/>
          <w:lang w:val="en-US" w:eastAsia="zh-Hans"/>
        </w:rPr>
      </w:pPr>
    </w:p>
    <w:p w14:paraId="42FE9395">
      <w:pPr>
        <w:keepNext w:val="0"/>
        <w:keepLines w:val="0"/>
        <w:pageBreakBefore w:val="0"/>
        <w:kinsoku/>
        <w:overflowPunct/>
        <w:topLinePunct w:val="0"/>
        <w:bidi w:val="0"/>
        <w:spacing w:line="540" w:lineRule="exact"/>
        <w:ind w:right="640" w:firstLine="601"/>
        <w:jc w:val="right"/>
        <w:textAlignment w:val="auto"/>
        <w:rPr>
          <w:rFonts w:hint="eastAsia" w:ascii="仿宋_GB2312" w:hAnsi="仿宋_GB2312" w:eastAsia="仿宋_GB2312" w:cs="仿宋_GB2312"/>
          <w:color w:val="auto"/>
          <w:sz w:val="32"/>
          <w:szCs w:val="32"/>
        </w:rPr>
      </w:pPr>
      <w:bookmarkStart w:id="3" w:name="DYNAMIC—DWXX—tAj_dwmc—2"/>
      <w:r>
        <w:rPr>
          <w:rFonts w:hint="eastAsia" w:ascii="仿宋_GB2312" w:hAnsi="仿宋_GB2312" w:eastAsia="仿宋_GB2312" w:cs="仿宋_GB2312"/>
          <w:color w:val="000000"/>
          <w:sz w:val="32"/>
          <w:u w:val="none"/>
        </w:rPr>
        <w:t>洛阳市偃师区市场监督管理局</w:t>
      </w:r>
      <w:bookmarkEnd w:id="3"/>
      <w:r>
        <w:rPr>
          <w:rFonts w:hint="eastAsia" w:ascii="仿宋_GB2312" w:hAnsi="仿宋_GB2312" w:eastAsia="仿宋_GB2312" w:cs="仿宋_GB2312"/>
          <w:color w:val="000000"/>
          <w:sz w:val="32"/>
          <w:szCs w:val="32"/>
          <w:u w:val="none"/>
        </w:rPr>
        <w:t xml:space="preserve">    </w:t>
      </w:r>
    </w:p>
    <w:p w14:paraId="2683B8D8">
      <w:pPr>
        <w:keepNext w:val="0"/>
        <w:keepLines w:val="0"/>
        <w:pageBreakBefore w:val="0"/>
        <w:widowControl w:val="0"/>
        <w:kinsoku/>
        <w:wordWrap/>
        <w:overflowPunct/>
        <w:topLinePunct w:val="0"/>
        <w:autoSpaceDE/>
        <w:autoSpaceDN/>
        <w:bidi w:val="0"/>
        <w:adjustRightInd/>
        <w:snapToGrid/>
        <w:spacing w:line="540" w:lineRule="exact"/>
        <w:ind w:left="0" w:leftChars="0" w:right="630" w:rightChars="300" w:firstLine="600" w:firstLineChars="0"/>
        <w:jc w:val="right"/>
        <w:textAlignment w:val="auto"/>
        <w:outlineLvl w:val="9"/>
        <w:rPr>
          <w:rFonts w:hint="eastAsia" w:ascii="仿宋_GB2312" w:hAnsi="仿宋_GB2312" w:eastAsia="仿宋_GB2312" w:cs="仿宋_GB2312"/>
          <w:color w:val="auto"/>
          <w:sz w:val="32"/>
        </w:rPr>
      </w:pPr>
      <w:r>
        <w:rPr>
          <w:rFonts w:ascii="仿宋_GB2312" w:hAnsi="仿宋_GB2312" w:eastAsia="仿宋_GB2312" w:cs="仿宋_GB2312"/>
          <w:sz w:val="32"/>
        </w:rPr>
        <w:t>2025年06月13日</w:t>
      </w:r>
      <w:bookmarkStart w:id="4" w:name="CALCULATE—TIME—NOW"/>
    </w:p>
    <w:p w14:paraId="21A28ED1">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Times New Roman" w:hAnsi="Times New Roman" w:eastAsia="仿宋_GB2312" w:cs="仿宋_GB2312"/>
          <w:color w:val="auto"/>
          <w:sz w:val="32"/>
          <w:szCs w:val="32"/>
        </w:rPr>
      </w:pPr>
      <w:r>
        <w:rPr>
          <w:rFonts w:hint="eastAsia" w:ascii="仿宋_GB2312" w:hAnsi="仿宋_GB2312" w:eastAsia="仿宋_GB2312" w:cs="仿宋_GB2312"/>
          <w:color w:val="000000"/>
          <w:sz w:val="32"/>
          <w:u w:val="none"/>
        </w:rPr>
        <w:t>2025年06月1</w:t>
      </w:r>
      <w:r>
        <w:rPr>
          <w:rFonts w:hint="eastAsia" w:ascii="仿宋_GB2312" w:hAnsi="仿宋_GB2312" w:eastAsia="仿宋_GB2312" w:cs="仿宋_GB2312"/>
          <w:color w:val="000000"/>
          <w:sz w:val="32"/>
          <w:u w:val="none"/>
          <w:lang w:val="en-US" w:eastAsia="zh-CN"/>
        </w:rPr>
        <w:t>3</w:t>
      </w:r>
      <w:r>
        <w:rPr>
          <w:rFonts w:hint="eastAsia" w:ascii="仿宋_GB2312" w:hAnsi="仿宋_GB2312" w:eastAsia="仿宋_GB2312" w:cs="仿宋_GB2312"/>
          <w:color w:val="000000"/>
          <w:sz w:val="32"/>
          <w:u w:val="none"/>
        </w:rPr>
        <w:t>日</w:t>
      </w:r>
      <w:bookmarkEnd w:id="4"/>
      <w:r>
        <w:rPr>
          <w:rFonts w:hint="eastAsia" w:ascii="Times New Roman" w:hAnsi="Times New Roman" w:eastAsia="仿宋_GB2312" w:cs="仿宋_GB2312"/>
          <w:color w:val="000000"/>
          <w:sz w:val="32"/>
          <w:szCs w:val="32"/>
          <w:u w:val="none"/>
        </w:rPr>
        <w:t xml:space="preserve">  </w:t>
      </w:r>
    </w:p>
    <w:p w14:paraId="63E47247">
      <w:pPr>
        <w:widowControl/>
        <w:snapToGrid w:val="0"/>
        <w:spacing w:line="520" w:lineRule="exact"/>
        <w:jc w:val="right"/>
        <w:rPr>
          <w:rFonts w:ascii="Times New Roman" w:hAnsi="Times New Roman" w:eastAsia="仿宋_GB2312" w:cs="Mongolian Baiti"/>
          <w:color w:val="auto"/>
          <w:sz w:val="32"/>
          <w:szCs w:val="32"/>
        </w:rPr>
      </w:pPr>
    </w:p>
    <w:p w14:paraId="2C176625">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751E494A">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E58D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FF622">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6FF622">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D5D5CE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DCD0665"/>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9D8012F"/>
    <w:rsid w:val="4A555101"/>
    <w:rsid w:val="4ADF49AE"/>
    <w:rsid w:val="4B8F0B22"/>
    <w:rsid w:val="4C02380F"/>
    <w:rsid w:val="4C7C04B3"/>
    <w:rsid w:val="4CC8271B"/>
    <w:rsid w:val="4D9306AE"/>
    <w:rsid w:val="4E8950D9"/>
    <w:rsid w:val="4F722566"/>
    <w:rsid w:val="4F93378A"/>
    <w:rsid w:val="503F09B5"/>
    <w:rsid w:val="514E7B6D"/>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8975621"/>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1C16BD"/>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2645</Words>
  <Characters>2975</Characters>
  <Lines>0</Lines>
  <Paragraphs>0</Paragraphs>
  <TotalTime>0</TotalTime>
  <ScaleCrop>false</ScaleCrop>
  <LinksUpToDate>false</LinksUpToDate>
  <CharactersWithSpaces>3217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2025-08-14T09:19:34Z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8E44A8C10BBE4F77BDFD43255D28E09E_13</vt:lpwstr>
  </property>
  <property fmtid="{D5CDD505-2E9C-101B-9397-08002B2CF9AE}" pid="4" name="KSOTemplateDocerSaveRecord">
    <vt:lpwstr>eyJoZGlkIjoiOTJkNzdiMWY1ZWU2ZWU3NmE4ZTUxNGRmYWVhMzdjNDQiLCJ1c2VySWQiOiI4ODA3MzMzNDYifQ==</vt:lpwstr>
  </property>
</Properties>
</file>