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1D6E5">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331B4905">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1C934FEF">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偃市监处罚〔2025〕68号</w:t>
      </w:r>
      <w:bookmarkEnd w:id="2"/>
    </w:p>
    <w:p w14:paraId="0D91ADEF">
      <w:pPr>
        <w:spacing w:before="315" w:beforeLines="100" w:line="540" w:lineRule="exact"/>
        <w:ind w:left="142" w:hanging="142"/>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000000"/>
          <w:kern w:val="1"/>
          <w:sz w:val="32"/>
          <w:szCs w:val="32"/>
          <w:u w:val="none"/>
        </w:rPr>
        <w:t>当事人：</w:t>
      </w:r>
      <w:bookmarkStart w:id="3" w:name="CALCULATE—DSR—tAjDsrs_cMc"/>
      <w:r>
        <w:rPr>
          <w:rFonts w:hint="eastAsia" w:ascii="仿宋_GB2312" w:hAnsi="仿宋_GB2312" w:eastAsia="仿宋_GB2312" w:cs="仿宋_GB2312"/>
          <w:b w:val="0"/>
          <w:color w:val="000000"/>
          <w:sz w:val="32"/>
          <w:u w:val="none"/>
        </w:rPr>
        <w:t>偃师市首阳山街道一点点文具店</w:t>
      </w:r>
      <w:bookmarkEnd w:id="3"/>
      <w:r>
        <w:rPr>
          <w:rFonts w:hint="eastAsia" w:ascii="仿宋_GB2312" w:hAnsi="仿宋_GB2312" w:eastAsia="仿宋_GB2312" w:cs="仿宋_GB2312"/>
          <w:b w:val="0"/>
          <w:bCs/>
          <w:color w:val="000000"/>
          <w:kern w:val="1"/>
          <w:sz w:val="32"/>
          <w:szCs w:val="32"/>
          <w:u w:val="none"/>
        </w:rPr>
        <w:t xml:space="preserve">                                            </w:t>
      </w:r>
    </w:p>
    <w:p w14:paraId="70AAB958">
      <w:pPr>
        <w:spacing w:line="540" w:lineRule="exact"/>
        <w:ind w:left="140" w:hanging="140"/>
        <w:rPr>
          <w:rFonts w:hint="eastAsia" w:ascii="仿宋_GB2312" w:hAnsi="仿宋_GB2312" w:eastAsia="仿宋_GB2312" w:cs="仿宋_GB2312"/>
          <w:b w:val="0"/>
          <w:bCs/>
          <w:color w:val="auto"/>
          <w:kern w:val="1"/>
          <w:sz w:val="32"/>
          <w:szCs w:val="32"/>
          <w:u w:val="single"/>
        </w:rPr>
      </w:pPr>
      <w:r>
        <w:rPr>
          <w:rFonts w:hint="eastAsia" w:ascii="仿宋_GB2312" w:hAnsi="仿宋_GB2312" w:eastAsia="仿宋_GB2312" w:cs="仿宋_GB2312"/>
          <w:b w:val="0"/>
          <w:bCs/>
          <w:color w:val="000000"/>
          <w:kern w:val="1"/>
          <w:sz w:val="32"/>
          <w:szCs w:val="32"/>
          <w:u w:val="none"/>
        </w:rPr>
        <w:t>主体资格证照名称：</w:t>
      </w:r>
      <w:bookmarkStart w:id="4" w:name="CALCULATE—DSR—tAjDsrs_cZtzgzzmc"/>
      <w:r>
        <w:rPr>
          <w:rFonts w:hint="eastAsia" w:ascii="仿宋_GB2312" w:hAnsi="仿宋_GB2312" w:eastAsia="仿宋_GB2312" w:cs="仿宋_GB2312"/>
          <w:b w:val="0"/>
          <w:color w:val="000000"/>
          <w:sz w:val="32"/>
          <w:u w:val="none"/>
        </w:rPr>
        <w:t>营业执照</w:t>
      </w:r>
      <w:bookmarkEnd w:id="4"/>
      <w:r>
        <w:rPr>
          <w:rFonts w:hint="eastAsia" w:ascii="仿宋_GB2312" w:hAnsi="仿宋_GB2312" w:eastAsia="仿宋_GB2312" w:cs="仿宋_GB2312"/>
          <w:b w:val="0"/>
          <w:bCs/>
          <w:color w:val="000000"/>
          <w:kern w:val="1"/>
          <w:sz w:val="32"/>
          <w:szCs w:val="32"/>
          <w:u w:val="none"/>
        </w:rPr>
        <w:t xml:space="preserve">                                  </w:t>
      </w:r>
    </w:p>
    <w:p w14:paraId="4A43CB97">
      <w:pPr>
        <w:spacing w:line="540" w:lineRule="exact"/>
        <w:ind w:left="140" w:hanging="14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统一社会信用代码：</w:t>
      </w:r>
      <w:bookmarkStart w:id="5" w:name="CALCULATE—DSR—tAjDsrs_cTzshxydm"/>
      <w:r>
        <w:rPr>
          <w:rFonts w:hint="eastAsia" w:ascii="仿宋_GB2312" w:hAnsi="仿宋_GB2312" w:eastAsia="仿宋_GB2312" w:cs="仿宋_GB2312"/>
          <w:b w:val="0"/>
          <w:color w:val="000000"/>
          <w:sz w:val="32"/>
          <w:u w:val="none"/>
        </w:rPr>
        <w:t>92410381MA9G5AJB37</w:t>
      </w:r>
      <w:bookmarkEnd w:id="5"/>
      <w:r>
        <w:rPr>
          <w:rFonts w:hint="eastAsia" w:ascii="仿宋_GB2312" w:hAnsi="仿宋_GB2312" w:eastAsia="仿宋_GB2312" w:cs="仿宋_GB2312"/>
          <w:b w:val="0"/>
          <w:bCs/>
          <w:color w:val="000000"/>
          <w:kern w:val="1"/>
          <w:sz w:val="32"/>
          <w:szCs w:val="32"/>
          <w:u w:val="none"/>
        </w:rPr>
        <w:t xml:space="preserve">                                  </w:t>
      </w:r>
    </w:p>
    <w:p w14:paraId="0C0F880B">
      <w:pPr>
        <w:spacing w:line="540" w:lineRule="exact"/>
        <w:ind w:left="140" w:hanging="140"/>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rPr>
        <w:t>住所（住址）：</w:t>
      </w:r>
      <w:bookmarkStart w:id="6" w:name="CALCULATE—DSR—tAjDsrs_cLxdzSheng"/>
      <w:r>
        <w:rPr>
          <w:rFonts w:hint="eastAsia" w:ascii="仿宋_GB2312" w:hAnsi="仿宋_GB2312" w:eastAsia="仿宋_GB2312" w:cs="仿宋_GB2312"/>
          <w:b w:val="0"/>
          <w:color w:val="000000"/>
          <w:sz w:val="32"/>
          <w:u w:val="none"/>
        </w:rPr>
        <w:t>河南省偃师市首阳山街道山水人家6号楼106</w:t>
      </w:r>
      <w:bookmarkEnd w:id="6"/>
      <w:r>
        <w:rPr>
          <w:rFonts w:hint="eastAsia" w:ascii="仿宋_GB2312" w:hAnsi="仿宋_GB2312" w:eastAsia="仿宋_GB2312" w:cs="仿宋_GB2312"/>
          <w:b w:val="0"/>
          <w:bCs/>
          <w:color w:val="000000"/>
          <w:kern w:val="1"/>
          <w:sz w:val="32"/>
          <w:szCs w:val="32"/>
          <w:u w:val="none"/>
        </w:rPr>
        <w:t xml:space="preserve">                                      </w:t>
      </w:r>
      <w:r>
        <w:rPr>
          <w:rFonts w:hint="eastAsia" w:ascii="仿宋_GB2312" w:hAnsi="仿宋_GB2312" w:eastAsia="仿宋_GB2312" w:cs="仿宋_GB2312"/>
          <w:b w:val="0"/>
          <w:bCs/>
          <w:color w:val="000000"/>
          <w:kern w:val="1"/>
          <w:sz w:val="32"/>
          <w:szCs w:val="32"/>
          <w:u w:val="none"/>
          <w:lang w:val="en-US" w:eastAsia="zh-CN"/>
        </w:rPr>
        <w:t xml:space="preserve"> </w:t>
      </w:r>
    </w:p>
    <w:p w14:paraId="013163C9">
      <w:pPr>
        <w:spacing w:line="540" w:lineRule="exact"/>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rPr>
        <w:t>法定代表人（负责人</w:t>
      </w:r>
      <w:r>
        <w:rPr>
          <w:rFonts w:hint="eastAsia" w:ascii="仿宋_GB2312" w:hAnsi="仿宋_GB2312" w:eastAsia="仿宋_GB2312" w:cs="仿宋_GB2312"/>
          <w:b w:val="0"/>
          <w:bCs/>
          <w:color w:val="000000"/>
          <w:kern w:val="1"/>
          <w:sz w:val="32"/>
          <w:szCs w:val="32"/>
          <w:u w:val="none"/>
          <w:lang w:eastAsia="zh-CN"/>
        </w:rPr>
        <w:t>、经营者</w:t>
      </w:r>
      <w:r>
        <w:rPr>
          <w:rFonts w:hint="eastAsia" w:ascii="仿宋_GB2312" w:hAnsi="仿宋_GB2312" w:eastAsia="仿宋_GB2312" w:cs="仿宋_GB2312"/>
          <w:b w:val="0"/>
          <w:bCs/>
          <w:color w:val="000000"/>
          <w:kern w:val="1"/>
          <w:sz w:val="32"/>
          <w:szCs w:val="32"/>
          <w:u w:val="none"/>
        </w:rPr>
        <w:t>）：</w:t>
      </w:r>
      <w:bookmarkStart w:id="7" w:name="CALCULATE—DSR—tAjDsrs_cFddbr"/>
      <w:r>
        <w:rPr>
          <w:rFonts w:hint="eastAsia" w:ascii="仿宋_GB2312" w:hAnsi="仿宋_GB2312" w:eastAsia="仿宋_GB2312" w:cs="仿宋_GB2312"/>
          <w:b w:val="0"/>
          <w:color w:val="000000"/>
          <w:sz w:val="32"/>
          <w:u w:val="none"/>
        </w:rPr>
        <w:t>张冰洋</w:t>
      </w:r>
      <w:bookmarkEnd w:id="7"/>
      <w:r>
        <w:rPr>
          <w:rFonts w:hint="eastAsia" w:ascii="仿宋_GB2312" w:hAnsi="仿宋_GB2312" w:eastAsia="仿宋_GB2312" w:cs="仿宋_GB2312"/>
          <w:b w:val="0"/>
          <w:bCs/>
          <w:color w:val="000000"/>
          <w:kern w:val="1"/>
          <w:sz w:val="32"/>
          <w:szCs w:val="32"/>
          <w:u w:val="none"/>
        </w:rPr>
        <w:t xml:space="preserve">                       </w:t>
      </w:r>
    </w:p>
    <w:p w14:paraId="3778BCBD">
      <w:pPr>
        <w:spacing w:line="540" w:lineRule="exact"/>
        <w:ind w:left="140" w:hanging="140"/>
        <w:rPr>
          <w:rFonts w:hint="eastAsia" w:ascii="仿宋_GB2312" w:hAnsi="仿宋_GB2312" w:eastAsia="仿宋_GB2312" w:cs="仿宋_GB2312"/>
          <w:b w:val="0"/>
          <w:bCs/>
          <w:color w:val="auto"/>
          <w:sz w:val="32"/>
          <w:szCs w:val="32"/>
          <w:u w:val="single" w:color="231F20"/>
        </w:rPr>
      </w:pPr>
      <w:bookmarkStart w:id="20" w:name="_GoBack"/>
      <w:bookmarkEnd w:id="20"/>
      <w:r>
        <w:rPr>
          <w:rFonts w:hint="eastAsia" w:ascii="仿宋_GB2312" w:hAnsi="仿宋_GB2312" w:eastAsia="仿宋_GB2312" w:cs="仿宋_GB2312"/>
          <w:b w:val="0"/>
          <w:bCs/>
          <w:color w:val="000000"/>
          <w:kern w:val="1"/>
          <w:sz w:val="32"/>
          <w:szCs w:val="32"/>
          <w:u w:val="none"/>
        </w:rPr>
        <w:t xml:space="preserve">                                    </w:t>
      </w:r>
    </w:p>
    <w:p w14:paraId="3CC17EE2">
      <w:pPr>
        <w:pStyle w:val="3"/>
        <w:tabs>
          <w:tab w:val="left" w:pos="9060"/>
        </w:tabs>
        <w:spacing w:line="240" w:lineRule="auto"/>
        <w:ind w:firstLine="0" w:firstLineChars="0"/>
        <w:rPr>
          <w:rFonts w:hint="eastAsia" w:ascii="仿宋_GB2312" w:hAnsi="仿宋_GB2312" w:eastAsia="仿宋_GB2312" w:cs="仿宋_GB2312"/>
          <w:b w:val="0"/>
          <w:bCs/>
          <w:color w:val="auto"/>
          <w:sz w:val="32"/>
          <w:szCs w:val="32"/>
          <w:u w:val="single" w:color="231F20"/>
          <w:lang w:val="en-US" w:eastAsia="zh-CN"/>
        </w:rPr>
      </w:pPr>
      <w:bookmarkStart w:id="8" w:name="CALCULATE—AYHC—tAjHc_cHcqkjlaay"/>
      <w:r>
        <w:rPr>
          <w:rFonts w:hint="eastAsia" w:ascii="仿宋_GB2312" w:hAnsi="仿宋_GB2312" w:eastAsia="仿宋_GB2312" w:cs="仿宋_GB2312"/>
          <w:b w:val="0"/>
          <w:color w:val="000000"/>
          <w:sz w:val="32"/>
          <w:u w:val="none" w:color="231F20"/>
        </w:rPr>
        <w:t>2025年6月5日，偃师市首阳山街道一点点文具店来我所办理，申请取消标记经营异常状态。经我局执法人员通过综合业务系统查询，其2021、2022、2023年度未按规定时间，报送公示年度报告，被我局列入经营异常名录信息。其行为涉嫌违反《市场主体登记管理条例实施细则》第六十三条之规定，申请予以立案调查处理。</w:t>
      </w:r>
      <w:bookmarkEnd w:id="8"/>
      <w:r>
        <w:rPr>
          <w:rFonts w:hint="eastAsia" w:ascii="仿宋_GB2312" w:hAnsi="仿宋_GB2312" w:eastAsia="仿宋_GB2312" w:cs="仿宋_GB2312"/>
          <w:b w:val="0"/>
          <w:bCs/>
          <w:color w:val="000000"/>
          <w:sz w:val="32"/>
          <w:szCs w:val="32"/>
          <w:u w:val="none" w:color="231F20"/>
          <w:lang w:val="en-US" w:eastAsia="zh-CN"/>
        </w:rPr>
        <w:t xml:space="preserve"> </w:t>
      </w:r>
    </w:p>
    <w:p w14:paraId="0309508F">
      <w:pPr>
        <w:pStyle w:val="3"/>
        <w:tabs>
          <w:tab w:val="left" w:pos="8240"/>
        </w:tabs>
        <w:spacing w:line="240" w:lineRule="auto"/>
        <w:ind w:firstLine="640" w:firstLineChars="20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经查，</w:t>
      </w:r>
      <w:bookmarkStart w:id="9" w:name="CALCULATE—AJCF—tAjCfes_cAjss"/>
      <w:r>
        <w:rPr>
          <w:rFonts w:hint="eastAsia" w:ascii="仿宋_GB2312" w:hAnsi="仿宋_GB2312" w:eastAsia="仿宋_GB2312" w:cs="仿宋_GB2312"/>
          <w:b w:val="0"/>
          <w:color w:val="000000"/>
          <w:sz w:val="32"/>
          <w:u w:val="none" w:color="231F20"/>
        </w:rPr>
        <w:t>经查，偃师市首阳山街道一点点文具店于2020年12月11日核准登记注册，由于经营者张冰洋忙于生意、疏忽大意，没有在规定期限内，通过国家企业信用信息公示系统对2021、2022、2023年度的年度报告进行报送和社会公示，分别于2022年7月13日、2023年7月7日和2024年7月9日，被我局列入经营异常名录信息。</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上述事实，主要有以下证据证明：</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1、营业执照、经营者身份证复印件，证明当事人主体资格；</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2、委托书及身份证复印件，证明经营者委托事项；</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3、现场笔录、异常名录信息查询等，证明当事人未按规定时间通过国家企业信用信息公示系统报送2021、2022、2023年度报告，并向社会公示；</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4、询问笔录，证明当事人未按规定时间通过国家企业信用信息公示系统报送2021、2022、2023年度报告并向社会公示的事实。</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5、国家企业信用信息公示系统（河南）截图：证明当事人对2021、2022、2023年度报告进行补录，积极改正违法行为。</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案件性质：当事人未在规定时间内通过国家企业信用信息公示系统报送2021、2022、2023年度报告，并向社会公示的行为，违反了《中华人民共和国市场主体登记管理条例实施细则》第六十三条第一款“市场主体应当于每年1月1日至6月30日，通过国家企业信用信息公示系统报送上一年度年度报告并向社会公示。”之规定。其行为属于未按照法律、行政法规规定的期限公示或者报送年度报告的行为。</w:t>
      </w:r>
      <w:bookmarkEnd w:id="9"/>
      <w:r>
        <w:rPr>
          <w:rFonts w:hint="eastAsia" w:ascii="仿宋_GB2312" w:hAnsi="仿宋_GB2312" w:eastAsia="仿宋_GB2312" w:cs="仿宋_GB2312"/>
          <w:b w:val="0"/>
          <w:bCs/>
          <w:color w:val="000000"/>
          <w:kern w:val="1"/>
          <w:sz w:val="32"/>
          <w:szCs w:val="32"/>
          <w:u w:val="none"/>
          <w:lang w:val="en-US" w:eastAsia="zh-CN"/>
        </w:rPr>
        <w:t xml:space="preserve"> </w:t>
      </w:r>
    </w:p>
    <w:p w14:paraId="2DC4CDA9">
      <w:pPr>
        <w:pStyle w:val="3"/>
        <w:tabs>
          <w:tab w:val="left" w:pos="8285"/>
        </w:tabs>
        <w:spacing w:line="520" w:lineRule="exact"/>
        <w:ind w:firstLine="640" w:firstLineChars="200"/>
        <w:rPr>
          <w:rFonts w:hint="eastAsia" w:ascii="仿宋_GB2312" w:hAnsi="仿宋_GB2312" w:eastAsia="仿宋_GB2312" w:cs="仿宋_GB2312"/>
          <w:b w:val="0"/>
          <w:bCs/>
          <w:color w:val="auto"/>
          <w:sz w:val="32"/>
          <w:szCs w:val="32"/>
          <w:lang w:val="en-US"/>
        </w:rPr>
      </w:pPr>
      <w:r>
        <w:rPr>
          <w:rFonts w:hint="eastAsia" w:ascii="仿宋_GB2312" w:hAnsi="仿宋_GB2312" w:eastAsia="仿宋_GB2312" w:cs="仿宋_GB2312"/>
          <w:b w:val="0"/>
          <w:bCs/>
          <w:color w:val="000000"/>
          <w:kern w:val="1"/>
          <w:sz w:val="32"/>
          <w:szCs w:val="32"/>
          <w:u w:val="none"/>
        </w:rPr>
        <w:t>上述事实，主要有以下证据证明：</w:t>
      </w:r>
    </w:p>
    <w:p w14:paraId="77092D2C">
      <w:pPr>
        <w:pStyle w:val="3"/>
        <w:tabs>
          <w:tab w:val="left" w:pos="9060"/>
        </w:tabs>
        <w:spacing w:line="240" w:lineRule="auto"/>
        <w:rPr>
          <w:rFonts w:hint="eastAsia" w:ascii="仿宋_GB2312" w:hAnsi="仿宋_GB2312" w:eastAsia="仿宋_GB2312" w:cs="仿宋_GB2312"/>
          <w:b w:val="0"/>
          <w:bCs/>
          <w:color w:val="auto"/>
          <w:sz w:val="32"/>
          <w:szCs w:val="32"/>
          <w:u w:val="single"/>
          <w:lang w:val="en-US" w:eastAsia="zh-CN"/>
        </w:rPr>
      </w:pPr>
      <w:bookmarkStart w:id="10" w:name="CALCULATE—ZJCL—tajCltjes_zjclxx"/>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bookmarkEnd w:id="10"/>
      <w:r>
        <w:rPr>
          <w:rFonts w:hint="eastAsia" w:ascii="仿宋_GB2312" w:hAnsi="仿宋_GB2312" w:eastAsia="仿宋_GB2312" w:cs="仿宋_GB2312"/>
          <w:b w:val="0"/>
          <w:bCs/>
          <w:color w:val="000000"/>
          <w:sz w:val="32"/>
          <w:szCs w:val="32"/>
          <w:u w:val="none"/>
          <w:lang w:val="en-US" w:eastAsia="zh-CN"/>
        </w:rPr>
        <w:t xml:space="preserve"> </w:t>
      </w:r>
    </w:p>
    <w:p w14:paraId="2D911B3B">
      <w:pPr>
        <w:pStyle w:val="3"/>
        <w:tabs>
          <w:tab w:val="left" w:pos="9060"/>
        </w:tabs>
        <w:spacing w:line="240" w:lineRule="auto"/>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b w:val="0"/>
          <w:bCs/>
          <w:color w:val="000000"/>
          <w:sz w:val="32"/>
          <w:szCs w:val="32"/>
          <w:u w:val="none"/>
          <w:lang w:val="en-US" w:eastAsia="zh-CN"/>
        </w:rPr>
        <w:t xml:space="preserve">    </w:t>
      </w:r>
      <w:bookmarkStart w:id="11" w:name="CALCULATE—XZCFJDS—cCfgzwsSdrq"/>
      <w:r>
        <w:rPr>
          <w:rFonts w:hint="eastAsia" w:ascii="仿宋_GB2312" w:hAnsi="仿宋_GB2312" w:eastAsia="仿宋_GB2312" w:cs="仿宋_GB2312"/>
          <w:b w:val="0"/>
          <w:color w:val="000000"/>
          <w:sz w:val="32"/>
          <w:u w:val="none"/>
        </w:rPr>
        <w:t>2025年06月11日</w:t>
      </w:r>
      <w:bookmarkEnd w:id="11"/>
      <w:r>
        <w:rPr>
          <w:rFonts w:hint="eastAsia" w:ascii="仿宋_GB2312" w:hAnsi="仿宋_GB2312" w:eastAsia="仿宋_GB2312" w:cs="仿宋_GB2312"/>
          <w:b w:val="0"/>
          <w:bCs/>
          <w:color w:val="000000"/>
          <w:sz w:val="32"/>
          <w:szCs w:val="32"/>
          <w:u w:val="none"/>
        </w:rPr>
        <w:t>，本局向当事人送达了本案《行政处罚告知书》(</w:t>
      </w:r>
      <w:bookmarkStart w:id="12" w:name="CALCULATE—XZCFJDS—cCfgzSdwswh"/>
      <w:r>
        <w:rPr>
          <w:rFonts w:hint="eastAsia" w:ascii="仿宋_GB2312" w:hAnsi="仿宋_GB2312" w:eastAsia="仿宋_GB2312" w:cs="仿宋_GB2312"/>
          <w:b w:val="0"/>
          <w:color w:val="000000"/>
          <w:sz w:val="32"/>
          <w:u w:val="none"/>
        </w:rPr>
        <w:t>偃市监罚告〔2025〕64号</w:t>
      </w:r>
      <w:bookmarkEnd w:id="12"/>
      <w:r>
        <w:rPr>
          <w:rFonts w:hint="eastAsia" w:ascii="仿宋_GB2312" w:hAnsi="仿宋_GB2312" w:eastAsia="仿宋_GB2312" w:cs="仿宋_GB2312"/>
          <w:b w:val="0"/>
          <w:bCs/>
          <w:color w:val="000000"/>
          <w:sz w:val="32"/>
          <w:szCs w:val="32"/>
          <w:u w:val="none"/>
        </w:rPr>
        <w:t>)，</w:t>
      </w:r>
      <w:bookmarkStart w:id="13" w:name="CALCULATE—XZCFJDS—nTccssb"/>
      <w:r>
        <w:rPr>
          <w:rFonts w:hint="eastAsia" w:ascii="仿宋_GB2312" w:hAnsi="仿宋_GB2312" w:eastAsia="仿宋_GB2312" w:cs="仿宋_GB2312"/>
          <w:b w:val="0"/>
          <w:color w:val="000000"/>
          <w:sz w:val="32"/>
          <w:u w:val="none"/>
        </w:rPr>
        <w:t>当事人在法定期限内未提出任何陈述或申辩</w:t>
      </w:r>
      <w:bookmarkEnd w:id="13"/>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p>
    <w:p w14:paraId="0D2D00C8">
      <w:pPr>
        <w:pStyle w:val="3"/>
        <w:spacing w:line="520" w:lineRule="exact"/>
        <w:ind w:firstLine="627" w:firstLineChars="196"/>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color w:val="000000"/>
          <w:kern w:val="1"/>
          <w:sz w:val="32"/>
          <w:szCs w:val="32"/>
          <w:u w:val="none"/>
        </w:rPr>
        <w:t>本局认为，当事人的上述行为违反了</w:t>
      </w:r>
      <w:bookmarkStart w:id="14" w:name="CALCULATE—XZCFJDS—xzcfjdswfxx"/>
      <w:r>
        <w:rPr>
          <w:rFonts w:hint="eastAsia" w:ascii="仿宋_GB2312" w:hAnsi="仿宋_GB2312" w:eastAsia="仿宋_GB2312" w:cs="仿宋_GB2312"/>
          <w:b w:val="0"/>
          <w:color w:val="000000"/>
          <w:sz w:val="32"/>
          <w:u w:val="none"/>
        </w:rPr>
        <w:t>《中华人民共和国市场主体登记管理条例实施细则》 / 第六十三条 / 第一款  市场主体应当于每年1月1日至6月30日，通过国家企业信用信息公示系统报送上一年度年度报告，并向社会公示。的规定，构成市场主体未按照法律、行政法规规定的期限公示或者报送年度报告的行为。依据《中华人民共和国市场主体登记管理条例实施细则》 / 第七十条  市场主体未按照法律、行政法规规定的期限公示或者报送年度报告的，由登记机关列入经营异常名录，可以处1万元以下的罚款。的规定。本局决定给予当事人以下行政处罚：依据《中华人民共和国市场主体登记管理条例实施细则》第七十条：“市场主体未按照法律、行政法规规定的期限公示或者报送年度报告的，由登记机关列入经营异常名录，可以处1万元以下的罚款。”的规定。参照《河南省市场监督管理行政处罚裁量基准（2023 版）》1.6.1依据《市场主体登记管理条例实施细则》第七十条实施的行政处罚“裁量等级：从轻；违法情形：逾期60日以内；或者具有《通则》规定的其他从轻处罚情形。裁量基准：可以处3000元以下的罚款”之规定,对偃师市首阳山街道一点点文具店罚款1000元。</w:t>
      </w:r>
      <w:bookmarkEnd w:id="14"/>
    </w:p>
    <w:p w14:paraId="1B7BCE93">
      <w:pPr>
        <w:pStyle w:val="3"/>
        <w:tabs>
          <w:tab w:val="left" w:pos="9060"/>
        </w:tabs>
        <w:spacing w:line="520" w:lineRule="exact"/>
        <w:ind w:firstLine="640" w:firstLineChars="200"/>
        <w:rPr>
          <w:rFonts w:hint="eastAsia" w:ascii="仿宋_GB2312" w:hAnsi="仿宋_GB2312" w:eastAsia="仿宋_GB2312" w:cs="仿宋_GB2312"/>
          <w:b w:val="0"/>
          <w:bCs/>
          <w:color w:val="auto"/>
          <w:kern w:val="1"/>
          <w:sz w:val="32"/>
          <w:szCs w:val="32"/>
        </w:rPr>
      </w:pPr>
      <w:r>
        <w:rPr>
          <w:rFonts w:hint="eastAsia" w:ascii="仿宋_GB2312" w:hAnsi="仿宋_GB2312" w:eastAsia="仿宋_GB2312" w:cs="仿宋_GB2312"/>
          <w:b w:val="0"/>
          <w:bCs/>
          <w:color w:val="000000"/>
          <w:kern w:val="1"/>
          <w:sz w:val="32"/>
          <w:szCs w:val="32"/>
          <w:u w:val="none"/>
        </w:rPr>
        <w:t>综上，当事人上述行为违反了</w:t>
      </w:r>
      <w:bookmarkStart w:id="15" w:name="tAj_cAjmcZywfxw"/>
      <w:r>
        <w:rPr>
          <w:rFonts w:hint="eastAsia" w:ascii="仿宋_GB2312" w:hAnsi="仿宋_GB2312" w:eastAsia="仿宋_GB2312" w:cs="仿宋_GB2312"/>
          <w:b w:val="0"/>
          <w:color w:val="000000"/>
          <w:sz w:val="32"/>
          <w:u w:val="none"/>
        </w:rPr>
        <w:t>未按照法律、行政法规规定的期限公示或者报送年度报告的行为</w:t>
      </w:r>
      <w:bookmarkEnd w:id="15"/>
      <w:r>
        <w:rPr>
          <w:rFonts w:hint="eastAsia" w:ascii="仿宋_GB2312" w:hAnsi="仿宋_GB2312" w:eastAsia="仿宋_GB2312" w:cs="仿宋_GB2312"/>
          <w:b w:val="0"/>
          <w:bCs/>
          <w:color w:val="000000"/>
          <w:sz w:val="32"/>
          <w:szCs w:val="32"/>
          <w:u w:val="none"/>
          <w:lang w:eastAsia="zh-CN"/>
        </w:rPr>
        <w:t>，</w:t>
      </w:r>
      <w:r>
        <w:rPr>
          <w:rFonts w:hint="eastAsia" w:ascii="仿宋_GB2312" w:hAnsi="仿宋_GB2312" w:eastAsia="仿宋_GB2312" w:cs="仿宋_GB2312"/>
          <w:b w:val="0"/>
          <w:bCs/>
          <w:color w:val="000000"/>
          <w:kern w:val="1"/>
          <w:sz w:val="32"/>
          <w:szCs w:val="32"/>
          <w:u w:val="none"/>
        </w:rPr>
        <w:t>依</w:t>
      </w:r>
      <w:r>
        <w:rPr>
          <w:rFonts w:hint="eastAsia" w:ascii="仿宋_GB2312" w:hAnsi="仿宋_GB2312" w:eastAsia="仿宋_GB2312" w:cs="仿宋_GB2312"/>
          <w:b w:val="0"/>
          <w:bCs/>
          <w:color w:val="000000"/>
          <w:kern w:val="1"/>
          <w:sz w:val="32"/>
          <w:szCs w:val="32"/>
          <w:u w:val="none"/>
          <w:lang w:val="en-US" w:eastAsia="zh-Hans"/>
        </w:rPr>
        <w:t>据</w:t>
      </w:r>
      <w:bookmarkStart w:id="16" w:name="CALCULATE—XZCFJDS—xzcfjdswfflfg"/>
      <w:r>
        <w:rPr>
          <w:rFonts w:hint="eastAsia" w:ascii="仿宋_GB2312" w:hAnsi="仿宋_GB2312" w:eastAsia="仿宋_GB2312" w:cs="仿宋_GB2312"/>
          <w:b w:val="0"/>
          <w:color w:val="000000"/>
          <w:sz w:val="32"/>
          <w:u w:val="none"/>
        </w:rPr>
        <w:t>《中华人民共和国市场主体登记管理条例实施细则》 / 第六十三条 / 第一款  市场主体应当于每年1月1日至6月30日，通过国家企业信用信息公示系统报送上一年度年度报告，并向社会公示。</w:t>
      </w:r>
      <w:bookmarkEnd w:id="16"/>
      <w:r>
        <w:rPr>
          <w:rFonts w:hint="eastAsia" w:ascii="仿宋_GB2312" w:hAnsi="仿宋_GB2312" w:eastAsia="仿宋_GB2312" w:cs="仿宋_GB2312"/>
          <w:b w:val="0"/>
          <w:bCs/>
          <w:color w:val="000000"/>
          <w:kern w:val="1"/>
          <w:sz w:val="32"/>
          <w:szCs w:val="32"/>
          <w:u w:val="none"/>
        </w:rPr>
        <w:t>，[现责令当事人改正上述违法行为，并]决定处罚如下：</w:t>
      </w:r>
    </w:p>
    <w:p w14:paraId="3A148EB3">
      <w:pPr>
        <w:pStyle w:val="3"/>
        <w:tabs>
          <w:tab w:val="left" w:pos="9060"/>
        </w:tabs>
        <w:spacing w:line="520" w:lineRule="exact"/>
        <w:ind w:firstLine="640" w:firstLineChars="200"/>
        <w:rPr>
          <w:rFonts w:hint="eastAsia" w:ascii="仿宋_GB2312" w:hAnsi="仿宋_GB2312" w:eastAsia="仿宋_GB2312" w:cs="仿宋_GB2312"/>
          <w:b w:val="0"/>
          <w:bCs/>
          <w:color w:val="auto"/>
          <w:sz w:val="32"/>
          <w:szCs w:val="32"/>
          <w:u w:val="single" w:color="auto"/>
          <w:lang w:val="en-US" w:eastAsia="zh-CN"/>
        </w:rPr>
      </w:pPr>
      <w:r>
        <w:rPr>
          <w:rFonts w:hint="eastAsia" w:ascii="仿宋_GB2312" w:hAnsi="仿宋_GB2312" w:eastAsia="仿宋_GB2312" w:cs="仿宋_GB2312"/>
          <w:b w:val="0"/>
          <w:bCs/>
          <w:color w:val="000000"/>
          <w:sz w:val="32"/>
          <w:szCs w:val="32"/>
          <w:u w:val="none" w:color="auto"/>
        </w:rPr>
        <w:t>1．</w:t>
      </w:r>
      <w:bookmarkStart w:id="17" w:name="CALCULATE—XZCFJDS—cfjycxzcfnr"/>
      <w:r>
        <w:rPr>
          <w:rFonts w:hint="eastAsia" w:ascii="仿宋_GB2312" w:hAnsi="仿宋_GB2312" w:eastAsia="仿宋_GB2312" w:cs="仿宋_GB2312"/>
          <w:b w:val="0"/>
          <w:color w:val="000000"/>
          <w:sz w:val="32"/>
          <w:u w:val="none" w:color="auto"/>
        </w:rPr>
        <w:t>依据《中华人民共和国市场主体登记管理条例实施细则》第七十条：“市场主体未按照法律、行政法规规定的期限公示或者报送年度报告的，由登记机关列入经营异常名录，可以处1万元以下的罚款。”的规定。参照《河南省市场监督管理行政处罚裁量基准（2023 版）》1.6.1依据《市场主体登记管理条例实施细则》第七十条实施的行政处罚“裁量等级：从轻；违法情形：逾期60日以内；或者具有《通则》规定的其他从轻处罚情形。裁量基准：可以处3000元以下的罚款”之规定,对偃师市首阳山街道一点点文具店罚款1000元。</w:t>
      </w:r>
      <w:bookmarkEnd w:id="17"/>
      <w:r>
        <w:rPr>
          <w:rFonts w:hint="eastAsia" w:ascii="仿宋_GB2312" w:hAnsi="仿宋_GB2312" w:eastAsia="仿宋_GB2312" w:cs="仿宋_GB2312"/>
          <w:b w:val="0"/>
          <w:bCs/>
          <w:color w:val="000000"/>
          <w:sz w:val="32"/>
          <w:szCs w:val="32"/>
          <w:u w:val="none" w:color="auto"/>
          <w:lang w:val="en-US" w:eastAsia="zh-CN"/>
        </w:rPr>
        <w:t xml:space="preserve">  </w:t>
      </w:r>
    </w:p>
    <w:p w14:paraId="4951F36B">
      <w:pPr>
        <w:pStyle w:val="3"/>
        <w:tabs>
          <w:tab w:val="left" w:pos="9060"/>
        </w:tabs>
        <w:spacing w:line="520" w:lineRule="exact"/>
        <w:ind w:firstLine="627" w:firstLineChars="196"/>
        <w:rPr>
          <w:rFonts w:hint="eastAsia" w:ascii="仿宋_GB2312" w:hAnsi="仿宋_GB2312" w:eastAsia="仿宋_GB2312" w:cs="仿宋_GB2312"/>
          <w:b w:val="0"/>
          <w:bCs/>
          <w:color w:val="auto"/>
          <w:sz w:val="32"/>
          <w:szCs w:val="32"/>
          <w:u w:val="single"/>
        </w:rPr>
      </w:pPr>
      <w:r>
        <w:rPr>
          <w:rFonts w:hint="eastAsia" w:ascii="仿宋_GB2312" w:hAnsi="仿宋_GB2312" w:eastAsia="仿宋_GB2312" w:cs="仿宋_GB2312"/>
          <w:b w:val="0"/>
          <w:bCs/>
          <w:color w:val="000000"/>
          <w:sz w:val="32"/>
          <w:szCs w:val="32"/>
          <w:highlight w:val="yellow"/>
          <w:u w:val="none" w:color="231F20"/>
        </w:rPr>
        <w:t>（行政处罚的履行方式和期限</w:t>
      </w:r>
      <w:r>
        <w:rPr>
          <w:rFonts w:hint="eastAsia" w:ascii="仿宋_GB2312" w:hAnsi="仿宋_GB2312" w:eastAsia="仿宋_GB2312" w:cs="仿宋_GB2312"/>
          <w:b w:val="0"/>
          <w:bCs/>
          <w:color w:val="000000"/>
          <w:sz w:val="32"/>
          <w:szCs w:val="32"/>
          <w:highlight w:val="yellow"/>
          <w:u w:val="none" w:color="231F20"/>
          <w:lang w:eastAsia="zh-CN"/>
        </w:rPr>
        <w:t>）</w:t>
      </w:r>
      <w:r>
        <w:rPr>
          <w:rFonts w:hint="eastAsia" w:ascii="仿宋_GB2312" w:hAnsi="仿宋_GB2312" w:eastAsia="仿宋_GB2312" w:cs="仿宋_GB2312"/>
          <w:b w:val="0"/>
          <w:bCs/>
          <w:color w:val="000000"/>
          <w:kern w:val="2"/>
          <w:sz w:val="32"/>
          <w:szCs w:val="32"/>
          <w:u w:val="none"/>
          <w:lang w:val="en-US" w:eastAsia="zh-CN" w:bidi="ar-SA"/>
        </w:rPr>
        <w:t>当事人应当自收到本行政处罚决定之日起十五日内，缴纳罚款，到期不缴纳罚款的，依据《中华人民共和国行政处罚法》第</w:t>
      </w:r>
      <w:r>
        <w:rPr>
          <w:rFonts w:hint="eastAsia" w:ascii="仿宋_GB2312" w:hAnsi="仿宋_GB2312" w:eastAsia="仿宋_GB2312" w:cs="仿宋_GB2312"/>
          <w:b w:val="0"/>
          <w:bCs/>
          <w:color w:val="000000"/>
          <w:kern w:val="2"/>
          <w:sz w:val="32"/>
          <w:szCs w:val="32"/>
          <w:u w:val="none"/>
          <w:lang w:val="en-US" w:eastAsia="zh-Hans" w:bidi="ar-SA"/>
        </w:rPr>
        <w:t>七十二</w:t>
      </w:r>
      <w:r>
        <w:rPr>
          <w:rFonts w:hint="eastAsia" w:ascii="仿宋_GB2312" w:hAnsi="仿宋_GB2312" w:eastAsia="仿宋_GB2312" w:cs="仿宋_GB2312"/>
          <w:b w:val="0"/>
          <w:bCs/>
          <w:color w:val="000000"/>
          <w:kern w:val="2"/>
          <w:sz w:val="32"/>
          <w:szCs w:val="32"/>
          <w:u w:val="none"/>
          <w:lang w:val="en-US" w:eastAsia="zh-CN" w:bidi="ar-SA"/>
        </w:rPr>
        <w:t xml:space="preserve">条的规定，本局将每日按罚款数额的百分之三加处罚款，并依法申请人民法院强制执行 </w:t>
      </w:r>
      <w:r>
        <w:rPr>
          <w:rFonts w:hint="eastAsia" w:ascii="仿宋_GB2312" w:hAnsi="仿宋_GB2312" w:eastAsia="仿宋_GB2312" w:cs="仿宋_GB2312"/>
          <w:b w:val="0"/>
          <w:bCs/>
          <w:color w:val="000000"/>
          <w:sz w:val="32"/>
          <w:szCs w:val="32"/>
          <w:u w:val="none" w:color="231F20"/>
        </w:rPr>
        <w:t xml:space="preserve">                     </w:t>
      </w:r>
      <w:r>
        <w:rPr>
          <w:rFonts w:hint="eastAsia" w:ascii="仿宋_GB2312" w:hAnsi="仿宋_GB2312" w:eastAsia="仿宋_GB2312" w:cs="仿宋_GB2312"/>
          <w:b w:val="0"/>
          <w:bCs/>
          <w:color w:val="000000"/>
          <w:sz w:val="32"/>
          <w:szCs w:val="32"/>
          <w:u w:val="none"/>
        </w:rPr>
        <w:t xml:space="preserve">                           </w:t>
      </w:r>
    </w:p>
    <w:p w14:paraId="42E1C8A8">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eastAsia" w:ascii="仿宋_GB2312" w:hAnsi="仿宋_GB2312" w:eastAsia="仿宋_GB2312" w:cs="仿宋_GB2312"/>
          <w:b w:val="0"/>
          <w:bCs/>
          <w:color w:val="auto"/>
          <w:kern w:val="2"/>
          <w:sz w:val="32"/>
          <w:szCs w:val="32"/>
          <w:u w:val="single"/>
          <w:lang w:val="en-US" w:eastAsia="zh-CN" w:bidi="ar-SA"/>
        </w:rPr>
      </w:pPr>
      <w:r>
        <w:rPr>
          <w:rFonts w:hint="eastAsia" w:ascii="仿宋_GB2312" w:hAnsi="仿宋_GB2312" w:eastAsia="仿宋_GB2312" w:cs="仿宋_GB2312"/>
          <w:b w:val="0"/>
          <w:bCs/>
          <w:color w:val="000000"/>
          <w:sz w:val="32"/>
          <w:szCs w:val="32"/>
          <w:highlight w:val="yellow"/>
          <w:u w:val="none" w:color="231F20"/>
        </w:rPr>
        <w:t>（救济途径和期限</w:t>
      </w:r>
      <w:r>
        <w:rPr>
          <w:rFonts w:hint="eastAsia" w:ascii="仿宋_GB2312" w:hAnsi="仿宋_GB2312" w:eastAsia="仿宋_GB2312" w:cs="仿宋_GB2312"/>
          <w:b w:val="0"/>
          <w:bCs/>
          <w:color w:val="000000"/>
          <w:sz w:val="32"/>
          <w:szCs w:val="32"/>
          <w:highlight w:val="yellow"/>
          <w:u w:val="none" w:color="231F20"/>
          <w:lang w:eastAsia="zh-CN"/>
        </w:rPr>
        <w:t>）</w:t>
      </w:r>
      <w:r>
        <w:rPr>
          <w:rFonts w:hint="eastAsia" w:ascii="仿宋_GB2312" w:hAnsi="仿宋_GB2312" w:eastAsia="仿宋_GB2312" w:cs="仿宋_GB2312"/>
          <w:b w:val="0"/>
          <w:bCs/>
          <w:color w:val="000000"/>
          <w:kern w:val="2"/>
          <w:sz w:val="32"/>
          <w:szCs w:val="32"/>
          <w:u w:val="none"/>
          <w:lang w:val="en-US" w:eastAsia="zh-CN" w:bidi="ar-SA"/>
        </w:rPr>
        <w:t>你（单位）如不服本行政处罚决定，可以在收到本行政处罚决定书之日起六十日内向                   申请行政复议；也可以在六个月内依法向                 人民法院提起行政诉讼。申请行政复议或者提起行政诉讼期间，行政处罚不停止执行。</w:t>
      </w:r>
    </w:p>
    <w:p w14:paraId="42804FBF">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default" w:ascii="Times New Roman" w:eastAsia="仿宋_GB2312" w:cs="仿宋_GB2312"/>
          <w:b w:val="0"/>
          <w:bCs/>
          <w:color w:val="auto"/>
          <w:u w:val="single"/>
          <w:lang w:val="en-US" w:eastAsia="zh-CN"/>
        </w:rPr>
      </w:pPr>
    </w:p>
    <w:p w14:paraId="41D49AE1">
      <w:pPr>
        <w:widowControl/>
        <w:snapToGrid w:val="0"/>
        <w:spacing w:line="520" w:lineRule="exact"/>
        <w:jc w:val="left"/>
        <w:rPr>
          <w:rFonts w:ascii="Times New Roman" w:hAnsi="Times New Roman" w:eastAsia="仿宋_GB2312" w:cs="仿宋_GB2312"/>
          <w:color w:val="auto"/>
          <w:sz w:val="32"/>
          <w:szCs w:val="32"/>
        </w:rPr>
      </w:pPr>
    </w:p>
    <w:p w14:paraId="76108309">
      <w:pPr>
        <w:widowControl/>
        <w:snapToGrid w:val="0"/>
        <w:spacing w:line="520" w:lineRule="exact"/>
        <w:ind w:firstLine="6240" w:firstLineChars="1950"/>
        <w:jc w:val="left"/>
        <w:rPr>
          <w:rFonts w:hint="eastAsia" w:ascii="Times New Roman" w:hAnsi="Times New Roman" w:eastAsia="仿宋_GB2312" w:cs="仿宋_GB2312"/>
          <w:color w:val="auto"/>
          <w:sz w:val="32"/>
          <w:szCs w:val="32"/>
          <w:lang w:val="en-US" w:eastAsia="zh-Hans"/>
        </w:rPr>
      </w:pPr>
    </w:p>
    <w:p w14:paraId="72B9D09B">
      <w:pPr>
        <w:spacing w:line="560" w:lineRule="exact"/>
        <w:ind w:right="640" w:firstLine="601"/>
        <w:jc w:val="right"/>
        <w:rPr>
          <w:rFonts w:ascii="Times New Roman" w:hAnsi="Times New Roman" w:eastAsia="仿宋_GB2312" w:cs="仿宋"/>
          <w:color w:val="auto"/>
          <w:sz w:val="32"/>
          <w:szCs w:val="32"/>
        </w:rPr>
      </w:pPr>
      <w:bookmarkStart w:id="18" w:name="DYNAMIC—DWXX—tAj_dwmc—2"/>
      <w:r>
        <w:rPr>
          <w:rFonts w:hint="eastAsia" w:ascii="Times New Roman" w:hAnsi="Times New Roman" w:eastAsia="仿宋_GB2312" w:cs="仿宋"/>
          <w:color w:val="000000"/>
          <w:sz w:val="32"/>
          <w:u w:val="none"/>
        </w:rPr>
        <w:t>洛阳市偃师区市场监督管理局</w:t>
      </w:r>
      <w:bookmarkEnd w:id="18"/>
      <w:r>
        <w:rPr>
          <w:rFonts w:hint="eastAsia" w:ascii="Times New Roman" w:hAnsi="Times New Roman" w:eastAsia="仿宋_GB2312" w:cs="仿宋"/>
          <w:color w:val="000000"/>
          <w:sz w:val="32"/>
          <w:szCs w:val="32"/>
          <w:u w:val="none"/>
        </w:rPr>
        <w:t xml:space="preserve">    </w:t>
      </w:r>
    </w:p>
    <w:p w14:paraId="33C7824E">
      <w:pPr>
        <w:spacing w:line="560" w:lineRule="exact"/>
        <w:ind w:right="640" w:firstLine="601"/>
        <w:jc w:val="right"/>
        <w:outlineLvl w:val="1"/>
        <w:rPr>
          <w:rFonts w:ascii="Times New Roman" w:hAnsi="Times New Roman" w:eastAsia="仿宋_GB2312" w:cs="仿宋"/>
          <w:color w:val="auto"/>
          <w:sz w:val="32"/>
          <w:szCs w:val="32"/>
        </w:rPr>
      </w:pPr>
      <w:r>
        <w:rPr>
          <w:rFonts w:hint="eastAsia" w:ascii="Times New Roman" w:hAnsi="Times New Roman" w:eastAsia="仿宋_GB2312" w:cs="仿宋"/>
          <w:color w:val="000000"/>
          <w:sz w:val="32"/>
          <w:szCs w:val="32"/>
          <w:u w:val="none"/>
        </w:rPr>
        <w:t>（印 章）</w:t>
      </w:r>
    </w:p>
    <w:p w14:paraId="450F46FD">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ascii="Times New Roman" w:hAnsi="Times New Roman" w:eastAsia="仿宋_GB2312" w:cs="仿宋_GB2312"/>
          <w:color w:val="auto"/>
          <w:sz w:val="32"/>
          <w:szCs w:val="32"/>
        </w:rPr>
      </w:pPr>
      <w:bookmarkStart w:id="19" w:name="CALCULATE—TIME—NOW"/>
      <w:r>
        <w:rPr>
          <w:rFonts w:ascii="仿宋_GB2312" w:hAnsi="仿宋_GB2312" w:eastAsia="仿宋_GB2312" w:cs="仿宋_GB2312"/>
          <w:sz w:val="32"/>
        </w:rPr>
        <w:t>2025年06月19日</w:t>
      </w:r>
      <w:bookmarkEnd w:id="19"/>
      <w:r>
        <w:rPr>
          <w:rFonts w:hint="eastAsia" w:ascii="Times New Roman" w:hAnsi="Times New Roman" w:eastAsia="仿宋_GB2312" w:cs="仿宋_GB2312"/>
          <w:color w:val="000000"/>
          <w:sz w:val="32"/>
          <w:szCs w:val="32"/>
          <w:u w:val="none"/>
        </w:rPr>
        <w:t xml:space="preserve">  </w:t>
      </w:r>
    </w:p>
    <w:p w14:paraId="5EBC2503">
      <w:pPr>
        <w:widowControl/>
        <w:snapToGrid w:val="0"/>
        <w:spacing w:line="520" w:lineRule="exact"/>
        <w:jc w:val="right"/>
        <w:rPr>
          <w:rFonts w:ascii="Times New Roman" w:hAnsi="Times New Roman" w:eastAsia="仿宋_GB2312" w:cs="Mongolian Baiti"/>
          <w:color w:val="auto"/>
          <w:sz w:val="32"/>
          <w:szCs w:val="32"/>
        </w:rPr>
      </w:pPr>
    </w:p>
    <w:p w14:paraId="72D9403D">
      <w:pPr>
        <w:pStyle w:val="3"/>
        <w:spacing w:before="1"/>
        <w:ind w:left="163"/>
        <w:rPr>
          <w:rFonts w:ascii="Times New Roman" w:hAnsi="Times New Roman" w:eastAsia="仿宋_GB2312" w:cs="仿宋"/>
          <w:bCs/>
          <w:color w:val="auto"/>
          <w:sz w:val="44"/>
          <w:szCs w:val="44"/>
        </w:rPr>
      </w:pPr>
      <w:r>
        <w:rPr>
          <w:rFonts w:ascii="Times New Roman" w:hAnsi="Times New Roman" w:eastAsia="仿宋_GB2312"/>
          <w:color w:val="000000"/>
          <w:sz w:val="32"/>
          <w:u w:val="none"/>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396875</wp:posOffset>
                </wp:positionV>
                <wp:extent cx="555053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15pt;margin-top:31.25pt;height:0.05pt;width:437.05pt;z-index:251661312;mso-width-relative:page;mso-height-relative:page;" filled="f" stroked="t" coordsize="21600,21600" o:gfxdata="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d&#10;1F2Z1gAAAAcBAAAPAAAAAAAAAAEAIAAAACIAAABkcnMvZG93bnJldi54bWxQSwECFAAUAAAACACH&#10;TuJAlk3HAe0BAADdAwAADgAAAAAAAAABACAAAAAlAQAAZHJzL2Uyb0RvYy54bWxQSwUGAAAAAAYA&#10;BgBZAQAAhAUAAAAA&#10;">
                <v:fill on="f" focussize="0,0"/>
                <v:stroke weight="1.25pt" color="#000000" joinstyle="round"/>
                <v:imagedata o:title=""/>
                <o:lock v:ext="edit" aspectratio="f"/>
              </v:line>
            </w:pict>
          </mc:Fallback>
        </mc:AlternateContent>
      </w:r>
      <w:r>
        <w:rPr>
          <w:rFonts w:hint="eastAsia" w:ascii="黑体" w:hAnsi="黑体" w:eastAsia="黑体"/>
          <w:color w:val="000000"/>
          <w:spacing w:val="-16"/>
          <w:u w:val="none"/>
        </w:rPr>
        <w:t>（市场监督管理部门将依法向社会公开行政处罚决定信息）</w:t>
      </w:r>
    </w:p>
    <w:p w14:paraId="0DF89E7A">
      <w:pPr>
        <w:spacing w:line="500" w:lineRule="exact"/>
        <w:rPr>
          <w:color w:val="auto"/>
        </w:rPr>
      </w:pPr>
      <w:r>
        <w:rPr>
          <w:rFonts w:ascii="Times New Roman" w:hAnsi="Times New Roman" w:eastAsia="仿宋_GB2312" w:cs="仿宋"/>
          <w:bCs/>
          <w:color w:val="000000"/>
          <w:sz w:val="32"/>
          <w:szCs w:val="32"/>
          <w:u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u w:val="none"/>
        </w:rPr>
        <w:t>本文书一式    份，    份送达，一份归档，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2044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9CBA1A">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E9CBA1A">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995246E"/>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5B7503"/>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1736</Words>
  <Characters>1888</Characters>
  <Lines>0</Lines>
  <Paragraphs>0</Paragraphs>
  <TotalTime>17</TotalTime>
  <ScaleCrop>false</ScaleCrop>
  <LinksUpToDate>false</LinksUpToDate>
  <CharactersWithSpaces>2300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2025-08-14T09:19:06Z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7427A5277E3A4AD1867BF5C2F59A7E20_13</vt:lpwstr>
  </property>
  <property fmtid="{D5CDD505-2E9C-101B-9397-08002B2CF9AE}" pid="4" name="KSOTemplateDocerSaveRecord">
    <vt:lpwstr>eyJoZGlkIjoiOTJkNzdiMWY1ZWU2ZWU3NmE4ZTUxNGRmYWVhMzdjNDQiLCJ1c2VySWQiOiI4ODA3MzMzNDYifQ==</vt:lpwstr>
  </property>
</Properties>
</file>