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325CA">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756C675E">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623F88FD">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偃市监处罚〔2025〕69号</w:t>
      </w:r>
      <w:bookmarkEnd w:id="2"/>
    </w:p>
    <w:p w14:paraId="3958D30E">
      <w:pPr>
        <w:spacing w:before="315" w:beforeLines="100" w:line="540" w:lineRule="exact"/>
        <w:ind w:left="142" w:hanging="142"/>
        <w:rPr>
          <w:rFonts w:hint="eastAsia" w:ascii="仿宋_GB2312" w:hAnsi="仿宋_GB2312" w:eastAsia="仿宋_GB2312" w:cs="仿宋_GB2312"/>
          <w:b w:val="0"/>
          <w:bCs/>
          <w:color w:val="auto"/>
          <w:sz w:val="32"/>
          <w:szCs w:val="32"/>
          <w:u w:val="none"/>
          <w:lang w:val="en-US" w:eastAsia="zh-CN"/>
        </w:rPr>
      </w:pPr>
      <w:r>
        <w:rPr>
          <w:rFonts w:hint="eastAsia" w:ascii="仿宋_GB2312" w:hAnsi="仿宋_GB2312" w:eastAsia="仿宋_GB2312" w:cs="仿宋_GB2312"/>
          <w:b w:val="0"/>
          <w:bCs/>
          <w:color w:val="000000"/>
          <w:kern w:val="1"/>
          <w:sz w:val="32"/>
          <w:szCs w:val="32"/>
          <w:u w:val="none"/>
        </w:rPr>
        <w:t>当事人：</w:t>
      </w:r>
      <w:bookmarkStart w:id="3" w:name="CALCULATE—DSR—tAjDsrs_cMc"/>
      <w:r>
        <w:rPr>
          <w:rFonts w:hint="eastAsia" w:ascii="仿宋_GB2312" w:hAnsi="仿宋_GB2312" w:eastAsia="仿宋_GB2312" w:cs="仿宋_GB2312"/>
          <w:b w:val="0"/>
          <w:color w:val="000000"/>
          <w:sz w:val="32"/>
          <w:u w:val="none"/>
        </w:rPr>
        <w:t>洛阳市偃师区首阳山街道两宝电动车行</w:t>
      </w:r>
      <w:bookmarkEnd w:id="3"/>
      <w:r>
        <w:rPr>
          <w:rFonts w:hint="eastAsia" w:ascii="仿宋_GB2312" w:hAnsi="仿宋_GB2312" w:eastAsia="仿宋_GB2312" w:cs="仿宋_GB2312"/>
          <w:b w:val="0"/>
          <w:bCs/>
          <w:color w:val="000000"/>
          <w:kern w:val="1"/>
          <w:sz w:val="32"/>
          <w:szCs w:val="32"/>
          <w:u w:val="none"/>
        </w:rPr>
        <w:t xml:space="preserve">                                            </w:t>
      </w:r>
    </w:p>
    <w:p w14:paraId="38BF973B">
      <w:pPr>
        <w:spacing w:line="540" w:lineRule="exact"/>
        <w:ind w:left="140" w:hanging="140"/>
        <w:rPr>
          <w:rFonts w:hint="eastAsia" w:ascii="仿宋_GB2312" w:hAnsi="仿宋_GB2312" w:eastAsia="仿宋_GB2312" w:cs="仿宋_GB2312"/>
          <w:b w:val="0"/>
          <w:bCs/>
          <w:color w:val="auto"/>
          <w:kern w:val="1"/>
          <w:sz w:val="32"/>
          <w:szCs w:val="32"/>
          <w:u w:val="none"/>
        </w:rPr>
      </w:pPr>
      <w:r>
        <w:rPr>
          <w:rFonts w:hint="eastAsia" w:ascii="仿宋_GB2312" w:hAnsi="仿宋_GB2312" w:eastAsia="仿宋_GB2312" w:cs="仿宋_GB2312"/>
          <w:b w:val="0"/>
          <w:bCs/>
          <w:color w:val="000000"/>
          <w:kern w:val="1"/>
          <w:sz w:val="32"/>
          <w:szCs w:val="32"/>
          <w:u w:val="none"/>
        </w:rPr>
        <w:t>主体资格证照名称：</w:t>
      </w:r>
      <w:bookmarkStart w:id="4" w:name="CALCULATE—DSR—tAjDsrs_cZtzgzzmc"/>
      <w:r>
        <w:rPr>
          <w:rFonts w:hint="eastAsia" w:ascii="仿宋_GB2312" w:hAnsi="仿宋_GB2312" w:eastAsia="仿宋_GB2312" w:cs="仿宋_GB2312"/>
          <w:b w:val="0"/>
          <w:color w:val="000000"/>
          <w:sz w:val="32"/>
          <w:u w:val="none"/>
        </w:rPr>
        <w:t>营业执照</w:t>
      </w:r>
      <w:bookmarkEnd w:id="4"/>
      <w:r>
        <w:rPr>
          <w:rFonts w:hint="eastAsia" w:ascii="仿宋_GB2312" w:hAnsi="仿宋_GB2312" w:eastAsia="仿宋_GB2312" w:cs="仿宋_GB2312"/>
          <w:b w:val="0"/>
          <w:bCs/>
          <w:color w:val="000000"/>
          <w:kern w:val="1"/>
          <w:sz w:val="32"/>
          <w:szCs w:val="32"/>
          <w:u w:val="none"/>
        </w:rPr>
        <w:t xml:space="preserve">                                  </w:t>
      </w:r>
    </w:p>
    <w:p w14:paraId="552B0E98">
      <w:pPr>
        <w:spacing w:line="540" w:lineRule="exact"/>
        <w:ind w:left="140" w:hanging="140"/>
        <w:rPr>
          <w:rFonts w:hint="eastAsia" w:ascii="仿宋_GB2312" w:hAnsi="仿宋_GB2312" w:eastAsia="仿宋_GB2312" w:cs="仿宋_GB2312"/>
          <w:b w:val="0"/>
          <w:bCs/>
          <w:color w:val="auto"/>
          <w:kern w:val="1"/>
          <w:sz w:val="32"/>
          <w:szCs w:val="32"/>
          <w:u w:val="none"/>
          <w:lang w:val="en-US" w:eastAsia="zh-CN"/>
        </w:rPr>
      </w:pPr>
      <w:r>
        <w:rPr>
          <w:rFonts w:hint="eastAsia" w:ascii="仿宋_GB2312" w:hAnsi="仿宋_GB2312" w:eastAsia="仿宋_GB2312" w:cs="仿宋_GB2312"/>
          <w:b w:val="0"/>
          <w:bCs/>
          <w:color w:val="000000"/>
          <w:kern w:val="1"/>
          <w:sz w:val="32"/>
          <w:szCs w:val="32"/>
          <w:u w:val="none"/>
        </w:rPr>
        <w:t>统一社会信用代码：</w:t>
      </w:r>
      <w:bookmarkStart w:id="5" w:name="CALCULATE—DSR—tAjDsrs_cTzshxydm"/>
      <w:r>
        <w:rPr>
          <w:rFonts w:hint="eastAsia" w:ascii="仿宋_GB2312" w:hAnsi="仿宋_GB2312" w:eastAsia="仿宋_GB2312" w:cs="仿宋_GB2312"/>
          <w:b w:val="0"/>
          <w:color w:val="000000"/>
          <w:sz w:val="32"/>
          <w:u w:val="none"/>
        </w:rPr>
        <w:t>92410307MA9KCWA404</w:t>
      </w:r>
      <w:bookmarkEnd w:id="5"/>
      <w:r>
        <w:rPr>
          <w:rFonts w:hint="eastAsia" w:ascii="仿宋_GB2312" w:hAnsi="仿宋_GB2312" w:eastAsia="仿宋_GB2312" w:cs="仿宋_GB2312"/>
          <w:b w:val="0"/>
          <w:bCs/>
          <w:color w:val="000000"/>
          <w:kern w:val="1"/>
          <w:sz w:val="32"/>
          <w:szCs w:val="32"/>
          <w:u w:val="none"/>
        </w:rPr>
        <w:t xml:space="preserve">                                  </w:t>
      </w:r>
    </w:p>
    <w:p w14:paraId="2F2B675D">
      <w:pPr>
        <w:spacing w:line="540" w:lineRule="exact"/>
        <w:ind w:left="140" w:hanging="140"/>
        <w:rPr>
          <w:rFonts w:hint="eastAsia" w:ascii="仿宋_GB2312" w:hAnsi="仿宋_GB2312" w:eastAsia="仿宋_GB2312" w:cs="仿宋_GB2312"/>
          <w:b w:val="0"/>
          <w:bCs/>
          <w:color w:val="auto"/>
          <w:kern w:val="1"/>
          <w:sz w:val="32"/>
          <w:szCs w:val="32"/>
          <w:u w:val="none"/>
          <w:lang w:val="en-US" w:eastAsia="zh-CN"/>
        </w:rPr>
      </w:pPr>
      <w:r>
        <w:rPr>
          <w:rFonts w:hint="eastAsia" w:ascii="仿宋_GB2312" w:hAnsi="仿宋_GB2312" w:eastAsia="仿宋_GB2312" w:cs="仿宋_GB2312"/>
          <w:b w:val="0"/>
          <w:bCs/>
          <w:color w:val="000000"/>
          <w:kern w:val="1"/>
          <w:sz w:val="32"/>
          <w:szCs w:val="32"/>
          <w:u w:val="none"/>
        </w:rPr>
        <w:t>住所（住址）：</w:t>
      </w:r>
      <w:bookmarkStart w:id="6" w:name="CALCULATE—DSR—tAjDsrs_cLxdzSheng"/>
      <w:r>
        <w:rPr>
          <w:rFonts w:hint="eastAsia" w:ascii="仿宋_GB2312" w:hAnsi="仿宋_GB2312" w:eastAsia="仿宋_GB2312" w:cs="仿宋_GB2312"/>
          <w:b w:val="0"/>
          <w:color w:val="000000"/>
          <w:sz w:val="32"/>
          <w:u w:val="none"/>
        </w:rPr>
        <w:t>河南省洛阳市偃师区首阳山街道石桥村5组</w:t>
      </w:r>
      <w:bookmarkEnd w:id="6"/>
      <w:r>
        <w:rPr>
          <w:rFonts w:hint="eastAsia" w:ascii="仿宋_GB2312" w:hAnsi="仿宋_GB2312" w:eastAsia="仿宋_GB2312" w:cs="仿宋_GB2312"/>
          <w:b w:val="0"/>
          <w:bCs/>
          <w:color w:val="000000"/>
          <w:kern w:val="1"/>
          <w:sz w:val="32"/>
          <w:szCs w:val="32"/>
          <w:u w:val="none"/>
        </w:rPr>
        <w:t xml:space="preserve">                                      </w:t>
      </w:r>
      <w:r>
        <w:rPr>
          <w:rFonts w:hint="eastAsia" w:ascii="仿宋_GB2312" w:hAnsi="仿宋_GB2312" w:eastAsia="仿宋_GB2312" w:cs="仿宋_GB2312"/>
          <w:b w:val="0"/>
          <w:bCs/>
          <w:color w:val="000000"/>
          <w:kern w:val="1"/>
          <w:sz w:val="32"/>
          <w:szCs w:val="32"/>
          <w:u w:val="none"/>
          <w:lang w:val="en-US" w:eastAsia="zh-CN"/>
        </w:rPr>
        <w:t xml:space="preserve"> </w:t>
      </w:r>
    </w:p>
    <w:p w14:paraId="71C9CDCB">
      <w:pPr>
        <w:spacing w:line="540" w:lineRule="exact"/>
        <w:rPr>
          <w:rFonts w:hint="eastAsia" w:ascii="仿宋_GB2312" w:hAnsi="仿宋_GB2312" w:eastAsia="仿宋_GB2312" w:cs="仿宋_GB2312"/>
          <w:b w:val="0"/>
          <w:bCs/>
          <w:color w:val="auto"/>
          <w:kern w:val="1"/>
          <w:sz w:val="32"/>
          <w:szCs w:val="32"/>
          <w:u w:val="none"/>
          <w:lang w:val="en-US" w:eastAsia="zh-CN"/>
        </w:rPr>
      </w:pPr>
      <w:r>
        <w:rPr>
          <w:rFonts w:hint="eastAsia" w:ascii="仿宋_GB2312" w:hAnsi="仿宋_GB2312" w:eastAsia="仿宋_GB2312" w:cs="仿宋_GB2312"/>
          <w:b w:val="0"/>
          <w:bCs/>
          <w:color w:val="000000"/>
          <w:kern w:val="1"/>
          <w:sz w:val="32"/>
          <w:szCs w:val="32"/>
          <w:u w:val="none"/>
        </w:rPr>
        <w:t>法定代表人（负责人</w:t>
      </w:r>
      <w:r>
        <w:rPr>
          <w:rFonts w:hint="eastAsia" w:ascii="仿宋_GB2312" w:hAnsi="仿宋_GB2312" w:eastAsia="仿宋_GB2312" w:cs="仿宋_GB2312"/>
          <w:b w:val="0"/>
          <w:bCs/>
          <w:color w:val="000000"/>
          <w:kern w:val="1"/>
          <w:sz w:val="32"/>
          <w:szCs w:val="32"/>
          <w:u w:val="none"/>
          <w:lang w:eastAsia="zh-CN"/>
        </w:rPr>
        <w:t>、经营者</w:t>
      </w:r>
      <w:r>
        <w:rPr>
          <w:rFonts w:hint="eastAsia" w:ascii="仿宋_GB2312" w:hAnsi="仿宋_GB2312" w:eastAsia="仿宋_GB2312" w:cs="仿宋_GB2312"/>
          <w:b w:val="0"/>
          <w:bCs/>
          <w:color w:val="000000"/>
          <w:kern w:val="1"/>
          <w:sz w:val="32"/>
          <w:szCs w:val="32"/>
          <w:u w:val="none"/>
        </w:rPr>
        <w:t>）：</w:t>
      </w:r>
      <w:bookmarkStart w:id="7" w:name="CALCULATE—DSR—tAjDsrs_cFddbr"/>
      <w:r>
        <w:rPr>
          <w:rFonts w:hint="eastAsia" w:ascii="仿宋_GB2312" w:hAnsi="仿宋_GB2312" w:eastAsia="仿宋_GB2312" w:cs="仿宋_GB2312"/>
          <w:b w:val="0"/>
          <w:color w:val="000000"/>
          <w:sz w:val="32"/>
          <w:u w:val="none"/>
        </w:rPr>
        <w:t>任旭辉</w:t>
      </w:r>
      <w:bookmarkEnd w:id="7"/>
      <w:r>
        <w:rPr>
          <w:rFonts w:hint="eastAsia" w:ascii="仿宋_GB2312" w:hAnsi="仿宋_GB2312" w:eastAsia="仿宋_GB2312" w:cs="仿宋_GB2312"/>
          <w:b w:val="0"/>
          <w:bCs/>
          <w:color w:val="000000"/>
          <w:kern w:val="1"/>
          <w:sz w:val="32"/>
          <w:szCs w:val="32"/>
          <w:u w:val="none"/>
        </w:rPr>
        <w:t xml:space="preserve">                       </w:t>
      </w:r>
    </w:p>
    <w:p w14:paraId="7239CACA">
      <w:pPr>
        <w:spacing w:line="540" w:lineRule="exact"/>
        <w:ind w:left="140" w:hanging="140"/>
        <w:rPr>
          <w:rFonts w:hint="eastAsia" w:ascii="仿宋_GB2312" w:hAnsi="仿宋_GB2312" w:eastAsia="仿宋_GB2312" w:cs="仿宋_GB2312"/>
          <w:b w:val="0"/>
          <w:bCs/>
          <w:color w:val="auto"/>
          <w:sz w:val="32"/>
          <w:szCs w:val="32"/>
          <w:u w:val="single" w:color="231F20"/>
        </w:rPr>
      </w:pPr>
      <w:bookmarkStart w:id="17" w:name="_GoBack"/>
      <w:bookmarkEnd w:id="17"/>
      <w:r>
        <w:rPr>
          <w:rFonts w:hint="eastAsia" w:ascii="仿宋_GB2312" w:hAnsi="仿宋_GB2312" w:eastAsia="仿宋_GB2312" w:cs="仿宋_GB2312"/>
          <w:b w:val="0"/>
          <w:bCs/>
          <w:color w:val="000000"/>
          <w:kern w:val="1"/>
          <w:sz w:val="32"/>
          <w:szCs w:val="32"/>
          <w:u w:val="none"/>
        </w:rPr>
        <w:t xml:space="preserve">                                     </w:t>
      </w:r>
    </w:p>
    <w:p w14:paraId="620F587F">
      <w:pPr>
        <w:pStyle w:val="3"/>
        <w:keepNext w:val="0"/>
        <w:keepLines w:val="0"/>
        <w:pageBreakBefore w:val="0"/>
        <w:tabs>
          <w:tab w:val="left" w:pos="8240"/>
        </w:tabs>
        <w:kinsoku/>
        <w:overflowPunct/>
        <w:topLinePunct w:val="0"/>
        <w:bidi w:val="0"/>
        <w:spacing w:line="540" w:lineRule="exact"/>
        <w:ind w:firstLine="640" w:firstLineChars="200"/>
        <w:jc w:val="both"/>
        <w:textAlignment w:val="auto"/>
        <w:rPr>
          <w:rFonts w:hint="eastAsia" w:ascii="仿宋_GB2312" w:hAnsi="仿宋_GB2312" w:eastAsia="仿宋_GB2312" w:cs="仿宋_GB2312"/>
          <w:b w:val="0"/>
          <w:color w:val="auto"/>
          <w:sz w:val="32"/>
          <w:u w:val="none" w:color="auto"/>
        </w:rPr>
      </w:pPr>
      <w:r>
        <w:rPr>
          <w:rFonts w:hint="eastAsia" w:ascii="仿宋_GB2312" w:hAnsi="Times New Roman" w:eastAsia="仿宋_GB2312" w:cs="仿宋_GB2312"/>
          <w:color w:val="000000"/>
          <w:sz w:val="32"/>
          <w:u w:val="none" w:color="auto"/>
        </w:rPr>
        <w:t>2025年4月7日</w:t>
      </w:r>
      <w:r>
        <w:rPr>
          <w:rFonts w:hint="eastAsia" w:ascii="仿宋_GB2312" w:hAnsi="仿宋_GB2312" w:eastAsia="仿宋_GB2312" w:cs="仿宋_GB2312"/>
          <w:b w:val="0"/>
          <w:color w:val="000000"/>
          <w:sz w:val="32"/>
          <w:u w:val="none" w:color="auto"/>
        </w:rPr>
        <w:t>，当事人从</w:t>
      </w:r>
      <w:r>
        <w:rPr>
          <w:rFonts w:hint="eastAsia" w:ascii="仿宋_GB2312" w:hAnsi="Times New Roman" w:eastAsia="仿宋_GB2312" w:cs="仿宋_GB2312"/>
          <w:color w:val="000000"/>
          <w:sz w:val="32"/>
          <w:u w:val="none" w:color="auto"/>
        </w:rPr>
        <w:t>宝岛（无锡）智能科技有限公司购进75辆电动两轮摩托车</w:t>
      </w:r>
      <w:r>
        <w:rPr>
          <w:rFonts w:hint="eastAsia" w:ascii="仿宋_GB2312" w:hAnsi="仿宋_GB2312" w:eastAsia="仿宋_GB2312" w:cs="仿宋_GB2312"/>
          <w:b w:val="0"/>
          <w:color w:val="000000"/>
          <w:sz w:val="32"/>
          <w:u w:val="none" w:color="auto"/>
        </w:rPr>
        <w:t>，货款金额</w:t>
      </w:r>
      <w:r>
        <w:rPr>
          <w:rFonts w:hint="eastAsia" w:ascii="仿宋_GB2312" w:hAnsi="Times New Roman" w:eastAsia="仿宋_GB2312" w:cs="仿宋_GB2312"/>
          <w:color w:val="000000"/>
          <w:sz w:val="32"/>
          <w:u w:val="none" w:color="auto"/>
        </w:rPr>
        <w:t>93795</w:t>
      </w:r>
      <w:r>
        <w:rPr>
          <w:rFonts w:hint="eastAsia" w:ascii="仿宋_GB2312" w:hAnsi="仿宋_GB2312" w:eastAsia="仿宋_GB2312" w:cs="仿宋_GB2312"/>
          <w:b w:val="0"/>
          <w:color w:val="000000"/>
          <w:sz w:val="32"/>
          <w:u w:val="none" w:color="auto"/>
        </w:rPr>
        <w:t>元。</w:t>
      </w:r>
      <w:r>
        <w:rPr>
          <w:rFonts w:hint="eastAsia" w:ascii="仿宋_GB2312" w:hAnsi="Times New Roman" w:eastAsia="仿宋_GB2312" w:cs="仿宋_GB2312"/>
          <w:color w:val="000000"/>
          <w:sz w:val="32"/>
          <w:u w:val="none" w:color="auto"/>
        </w:rPr>
        <w:t>其中产品型号BD1200DT-3A电动两轮摩托车购进7辆，</w:t>
      </w:r>
      <w:r>
        <w:rPr>
          <w:rFonts w:hint="eastAsia" w:ascii="仿宋_GB2312" w:hAnsi="仿宋_GB2312" w:eastAsia="仿宋_GB2312" w:cs="仿宋_GB2312"/>
          <w:b w:val="0"/>
          <w:color w:val="000000"/>
          <w:sz w:val="32"/>
          <w:u w:val="none" w:color="auto"/>
        </w:rPr>
        <w:t>单价每辆</w:t>
      </w:r>
      <w:r>
        <w:rPr>
          <w:rFonts w:hint="eastAsia" w:ascii="仿宋_GB2312" w:hAnsi="Times New Roman" w:eastAsia="仿宋_GB2312" w:cs="仿宋_GB2312"/>
          <w:color w:val="000000"/>
          <w:sz w:val="32"/>
          <w:u w:val="none" w:color="auto"/>
        </w:rPr>
        <w:t>1319</w:t>
      </w:r>
      <w:r>
        <w:rPr>
          <w:rFonts w:hint="eastAsia" w:ascii="仿宋_GB2312" w:hAnsi="仿宋_GB2312" w:eastAsia="仿宋_GB2312" w:cs="仿宋_GB2312"/>
          <w:b w:val="0"/>
          <w:color w:val="000000"/>
          <w:sz w:val="32"/>
          <w:u w:val="none" w:color="auto"/>
        </w:rPr>
        <w:t>元</w:t>
      </w:r>
      <w:r>
        <w:rPr>
          <w:rFonts w:hint="eastAsia" w:ascii="仿宋_GB2312" w:hAnsi="仿宋_GB2312" w:eastAsia="仿宋_GB2312" w:cs="仿宋_GB2312"/>
          <w:b w:val="0"/>
          <w:color w:val="000000"/>
          <w:sz w:val="32"/>
          <w:u w:val="none" w:color="auto"/>
          <w:lang w:eastAsia="zh-CN"/>
        </w:rPr>
        <w:t>。上述</w:t>
      </w:r>
      <w:r>
        <w:rPr>
          <w:rFonts w:hint="eastAsia" w:ascii="仿宋_GB2312" w:hAnsi="Times New Roman" w:eastAsia="仿宋_GB2312" w:cs="仿宋_GB2312"/>
          <w:color w:val="000000"/>
          <w:sz w:val="32"/>
          <w:u w:val="none" w:color="auto"/>
        </w:rPr>
        <w:t>BD1200DT-3A</w:t>
      </w:r>
      <w:r>
        <w:rPr>
          <w:rFonts w:hint="eastAsia" w:ascii="仿宋_GB2312" w:hAnsi="仿宋_GB2312" w:eastAsia="仿宋_GB2312" w:cs="仿宋_GB2312"/>
          <w:b w:val="0"/>
          <w:color w:val="000000"/>
          <w:sz w:val="32"/>
          <w:u w:val="none" w:color="auto"/>
        </w:rPr>
        <w:t>车型</w:t>
      </w:r>
      <w:r>
        <w:rPr>
          <w:rFonts w:hint="eastAsia" w:ascii="仿宋_GB2312" w:hAnsi="仿宋_GB2312" w:eastAsia="仿宋_GB2312" w:cs="仿宋_GB2312"/>
          <w:b w:val="0"/>
          <w:color w:val="000000"/>
          <w:sz w:val="32"/>
          <w:u w:val="none" w:color="auto"/>
          <w:lang w:eastAsia="zh-CN"/>
        </w:rPr>
        <w:t>，有一辆</w:t>
      </w:r>
      <w:r>
        <w:rPr>
          <w:rFonts w:hint="eastAsia" w:ascii="仿宋_GB2312" w:hAnsi="Times New Roman" w:eastAsia="仿宋_GB2312" w:cs="仿宋_GB2312"/>
          <w:color w:val="000000"/>
          <w:sz w:val="32"/>
          <w:u w:val="none" w:color="auto"/>
        </w:rPr>
        <w:t>电动两轮摩托车</w:t>
      </w:r>
      <w:r>
        <w:rPr>
          <w:rFonts w:hint="eastAsia" w:ascii="仿宋_GB2312" w:hAnsi="仿宋_GB2312" w:eastAsia="仿宋_GB2312" w:cs="仿宋_GB2312"/>
          <w:b w:val="0"/>
          <w:color w:val="000000"/>
          <w:sz w:val="32"/>
          <w:u w:val="none" w:color="auto"/>
        </w:rPr>
        <w:t>当事人进行</w:t>
      </w:r>
      <w:r>
        <w:rPr>
          <w:rFonts w:hint="eastAsia" w:ascii="仿宋_GB2312" w:hAnsi="仿宋_GB2312" w:eastAsia="仿宋_GB2312" w:cs="仿宋_GB2312"/>
          <w:b w:val="0"/>
          <w:color w:val="000000"/>
          <w:sz w:val="32"/>
          <w:u w:val="none" w:color="auto"/>
          <w:lang w:eastAsia="zh-CN"/>
        </w:rPr>
        <w:t>安</w:t>
      </w:r>
      <w:r>
        <w:rPr>
          <w:rFonts w:hint="eastAsia" w:ascii="仿宋_GB2312" w:hAnsi="仿宋_GB2312" w:eastAsia="仿宋_GB2312" w:cs="仿宋_GB2312"/>
          <w:b w:val="0"/>
          <w:color w:val="000000"/>
          <w:sz w:val="32"/>
          <w:u w:val="none" w:color="auto"/>
        </w:rPr>
        <w:t>装</w:t>
      </w:r>
      <w:r>
        <w:rPr>
          <w:rFonts w:hint="eastAsia" w:ascii="仿宋_GB2312" w:hAnsi="仿宋_GB2312" w:eastAsia="仿宋_GB2312" w:cs="仿宋_GB2312"/>
          <w:b w:val="0"/>
          <w:color w:val="000000"/>
          <w:sz w:val="32"/>
          <w:u w:val="none" w:color="auto"/>
          <w:lang w:eastAsia="zh-CN"/>
        </w:rPr>
        <w:t>过程中</w:t>
      </w:r>
      <w:r>
        <w:rPr>
          <w:rFonts w:hint="eastAsia" w:ascii="仿宋_GB2312" w:hAnsi="仿宋_GB2312" w:eastAsia="仿宋_GB2312" w:cs="仿宋_GB2312"/>
          <w:b w:val="0"/>
          <w:color w:val="000000"/>
          <w:sz w:val="32"/>
          <w:u w:val="none" w:color="auto"/>
        </w:rPr>
        <w:t>，操作失误把原厂配送的控制器损坏，</w:t>
      </w:r>
      <w:r>
        <w:rPr>
          <w:rFonts w:hint="eastAsia" w:ascii="仿宋_GB2312" w:hAnsi="仿宋_GB2312" w:eastAsia="仿宋_GB2312" w:cs="仿宋_GB2312"/>
          <w:b w:val="0"/>
          <w:color w:val="000000"/>
          <w:sz w:val="32"/>
          <w:u w:val="none" w:color="auto"/>
          <w:lang w:eastAsia="zh-CN"/>
        </w:rPr>
        <w:t>后</w:t>
      </w:r>
      <w:r>
        <w:rPr>
          <w:rFonts w:hint="eastAsia" w:ascii="仿宋_GB2312" w:hAnsi="仿宋_GB2312" w:eastAsia="仿宋_GB2312" w:cs="仿宋_GB2312"/>
          <w:b w:val="0"/>
          <w:color w:val="000000"/>
          <w:sz w:val="32"/>
          <w:u w:val="none" w:color="auto"/>
        </w:rPr>
        <w:t>私自用</w:t>
      </w:r>
      <w:r>
        <w:rPr>
          <w:rFonts w:hint="eastAsia" w:ascii="仿宋_GB2312" w:hAnsi="Times New Roman" w:eastAsia="仿宋_GB2312" w:cs="仿宋_GB2312"/>
          <w:color w:val="000000"/>
          <w:sz w:val="32"/>
          <w:u w:val="none" w:color="auto"/>
        </w:rPr>
        <w:t>江苏飞科电子有限公司的“鑫飞科”牌双模正弦波控制器控制器</w:t>
      </w:r>
      <w:r>
        <w:rPr>
          <w:rFonts w:hint="eastAsia" w:ascii="仿宋_GB2312" w:hAnsi="仿宋_GB2312" w:eastAsia="仿宋_GB2312" w:cs="仿宋_GB2312"/>
          <w:b w:val="0"/>
          <w:color w:val="000000"/>
          <w:sz w:val="32"/>
          <w:u w:val="none" w:color="auto"/>
        </w:rPr>
        <w:t>替换，没有告知</w:t>
      </w:r>
      <w:r>
        <w:rPr>
          <w:rFonts w:hint="eastAsia" w:ascii="仿宋_GB2312" w:hAnsi="Times New Roman" w:eastAsia="仿宋_GB2312" w:cs="仿宋_GB2312"/>
          <w:color w:val="000000"/>
          <w:sz w:val="32"/>
          <w:u w:val="none" w:color="auto"/>
        </w:rPr>
        <w:t>电动两轮摩托车</w:t>
      </w:r>
      <w:r>
        <w:rPr>
          <w:rFonts w:hint="eastAsia" w:ascii="仿宋_GB2312" w:hAnsi="仿宋_GB2312" w:eastAsia="仿宋_GB2312" w:cs="仿宋_GB2312"/>
          <w:b w:val="0"/>
          <w:color w:val="000000"/>
          <w:sz w:val="32"/>
          <w:u w:val="none" w:color="auto"/>
        </w:rPr>
        <w:t>生产厂家。</w:t>
      </w:r>
    </w:p>
    <w:p w14:paraId="428AF6A2">
      <w:pPr>
        <w:pStyle w:val="3"/>
        <w:keepNext w:val="0"/>
        <w:keepLines w:val="0"/>
        <w:pageBreakBefore w:val="0"/>
        <w:tabs>
          <w:tab w:val="left" w:pos="8240"/>
        </w:tabs>
        <w:kinsoku/>
        <w:overflowPunct/>
        <w:topLinePunct w:val="0"/>
        <w:bidi w:val="0"/>
        <w:spacing w:line="540" w:lineRule="exact"/>
        <w:ind w:firstLine="640" w:firstLineChars="200"/>
        <w:jc w:val="both"/>
        <w:textAlignment w:val="auto"/>
        <w:rPr>
          <w:rFonts w:hint="eastAsia" w:ascii="仿宋_GB2312" w:hAnsi="仿宋_GB2312" w:eastAsia="仿宋_GB2312" w:cs="仿宋_GB2312"/>
          <w:b w:val="0"/>
          <w:color w:val="auto"/>
          <w:sz w:val="32"/>
          <w:u w:val="none" w:color="auto"/>
        </w:rPr>
      </w:pPr>
      <w:r>
        <w:rPr>
          <w:rFonts w:hint="eastAsia" w:ascii="仿宋_GB2312" w:hAnsi="仿宋_GB2312" w:eastAsia="仿宋_GB2312" w:cs="仿宋_GB2312"/>
          <w:b w:val="0"/>
          <w:color w:val="000000"/>
          <w:sz w:val="32"/>
          <w:u w:val="none" w:color="auto"/>
        </w:rPr>
        <w:t>202</w:t>
      </w:r>
      <w:r>
        <w:rPr>
          <w:rFonts w:hint="eastAsia" w:ascii="仿宋_GB2312" w:hAnsi="仿宋_GB2312" w:eastAsia="仿宋_GB2312" w:cs="仿宋_GB2312"/>
          <w:b w:val="0"/>
          <w:color w:val="000000"/>
          <w:sz w:val="32"/>
          <w:u w:val="none" w:color="auto"/>
          <w:lang w:val="en-US" w:eastAsia="zh-CN"/>
        </w:rPr>
        <w:t>5</w:t>
      </w:r>
      <w:r>
        <w:rPr>
          <w:rFonts w:hint="eastAsia" w:ascii="仿宋_GB2312" w:hAnsi="仿宋_GB2312" w:eastAsia="仿宋_GB2312" w:cs="仿宋_GB2312"/>
          <w:b w:val="0"/>
          <w:color w:val="000000"/>
          <w:sz w:val="32"/>
          <w:u w:val="none" w:color="auto"/>
        </w:rPr>
        <w:t>年</w:t>
      </w:r>
      <w:r>
        <w:rPr>
          <w:rFonts w:hint="eastAsia" w:ascii="仿宋_GB2312" w:hAnsi="仿宋_GB2312" w:eastAsia="仿宋_GB2312" w:cs="仿宋_GB2312"/>
          <w:b w:val="0"/>
          <w:color w:val="000000"/>
          <w:sz w:val="32"/>
          <w:u w:val="none" w:color="auto"/>
          <w:lang w:val="en-US" w:eastAsia="zh-CN"/>
        </w:rPr>
        <w:t>4</w:t>
      </w:r>
      <w:r>
        <w:rPr>
          <w:rFonts w:hint="eastAsia" w:ascii="仿宋_GB2312" w:hAnsi="仿宋_GB2312" w:eastAsia="仿宋_GB2312" w:cs="仿宋_GB2312"/>
          <w:b w:val="0"/>
          <w:color w:val="000000"/>
          <w:sz w:val="32"/>
          <w:u w:val="none" w:color="auto"/>
        </w:rPr>
        <w:t>月1</w:t>
      </w:r>
      <w:r>
        <w:rPr>
          <w:rFonts w:hint="eastAsia" w:ascii="仿宋_GB2312" w:hAnsi="仿宋_GB2312" w:eastAsia="仿宋_GB2312" w:cs="仿宋_GB2312"/>
          <w:b w:val="0"/>
          <w:color w:val="000000"/>
          <w:sz w:val="32"/>
          <w:u w:val="none" w:color="auto"/>
          <w:lang w:val="en-US" w:eastAsia="zh-CN"/>
        </w:rPr>
        <w:t>1</w:t>
      </w:r>
      <w:r>
        <w:rPr>
          <w:rFonts w:hint="eastAsia" w:ascii="仿宋_GB2312" w:hAnsi="仿宋_GB2312" w:eastAsia="仿宋_GB2312" w:cs="仿宋_GB2312"/>
          <w:b w:val="0"/>
          <w:color w:val="000000"/>
          <w:sz w:val="32"/>
          <w:u w:val="none" w:color="auto"/>
        </w:rPr>
        <w:t>日，我局执法人员对当事人进行检查时发现，其车行销售的一辆由</w:t>
      </w:r>
      <w:r>
        <w:rPr>
          <w:rFonts w:hint="eastAsia" w:ascii="仿宋_GB2312" w:hAnsi="Times New Roman" w:eastAsia="仿宋_GB2312" w:cs="仿宋_GB2312"/>
          <w:color w:val="000000"/>
          <w:sz w:val="32"/>
          <w:u w:val="none" w:color="auto"/>
        </w:rPr>
        <w:t>宝岛（无锡）智能科技有限公司</w:t>
      </w:r>
      <w:r>
        <w:rPr>
          <w:rFonts w:hint="eastAsia" w:ascii="仿宋_GB2312" w:hAnsi="仿宋_GB2312" w:eastAsia="仿宋_GB2312" w:cs="仿宋_GB2312"/>
          <w:b w:val="0"/>
          <w:color w:val="000000"/>
          <w:sz w:val="32"/>
          <w:u w:val="none" w:color="auto"/>
        </w:rPr>
        <w:t>生产的“</w:t>
      </w:r>
      <w:r>
        <w:rPr>
          <w:rFonts w:hint="eastAsia" w:ascii="仿宋_GB2312" w:hAnsi="仿宋_GB2312" w:eastAsia="仿宋_GB2312" w:cs="仿宋_GB2312"/>
          <w:b w:val="0"/>
          <w:color w:val="000000"/>
          <w:sz w:val="32"/>
          <w:u w:val="none" w:color="auto"/>
          <w:lang w:eastAsia="zh-CN"/>
        </w:rPr>
        <w:t>宝岛</w:t>
      </w:r>
      <w:r>
        <w:rPr>
          <w:rFonts w:hint="eastAsia" w:ascii="仿宋_GB2312" w:hAnsi="仿宋_GB2312" w:eastAsia="仿宋_GB2312" w:cs="仿宋_GB2312"/>
          <w:b w:val="0"/>
          <w:color w:val="000000"/>
          <w:sz w:val="32"/>
          <w:u w:val="none" w:color="auto"/>
        </w:rPr>
        <w:t>”牌电动</w:t>
      </w:r>
      <w:r>
        <w:rPr>
          <w:rFonts w:hint="eastAsia" w:ascii="仿宋_GB2312" w:hAnsi="Times New Roman" w:eastAsia="仿宋_GB2312" w:cs="仿宋_GB2312"/>
          <w:color w:val="000000"/>
          <w:sz w:val="32"/>
          <w:u w:val="none" w:color="auto"/>
        </w:rPr>
        <w:t>两轮摩托车</w:t>
      </w:r>
      <w:r>
        <w:rPr>
          <w:rFonts w:hint="eastAsia" w:ascii="仿宋_GB2312" w:hAnsi="仿宋_GB2312" w:eastAsia="仿宋_GB2312" w:cs="仿宋_GB2312"/>
          <w:b w:val="0"/>
          <w:color w:val="000000"/>
          <w:sz w:val="32"/>
          <w:u w:val="none" w:color="auto"/>
        </w:rPr>
        <w:t>，产品型号：</w:t>
      </w:r>
      <w:r>
        <w:rPr>
          <w:rFonts w:hint="eastAsia" w:ascii="仿宋_GB2312" w:hAnsi="Times New Roman" w:eastAsia="仿宋_GB2312" w:cs="仿宋_GB2312"/>
          <w:color w:val="000000"/>
          <w:sz w:val="32"/>
          <w:u w:val="none" w:color="auto"/>
        </w:rPr>
        <w:t>BD1200DT-3A</w:t>
      </w:r>
      <w:r>
        <w:rPr>
          <w:rFonts w:hint="eastAsia" w:ascii="仿宋_GB2312" w:hAnsi="仿宋_GB2312" w:eastAsia="仿宋_GB2312" w:cs="仿宋_GB2312"/>
          <w:b w:val="0"/>
          <w:color w:val="000000"/>
          <w:sz w:val="32"/>
          <w:u w:val="none" w:color="auto"/>
        </w:rPr>
        <w:t>,该款电动</w:t>
      </w:r>
      <w:r>
        <w:rPr>
          <w:rFonts w:hint="eastAsia" w:ascii="仿宋_GB2312" w:hAnsi="Times New Roman" w:eastAsia="仿宋_GB2312" w:cs="仿宋_GB2312"/>
          <w:color w:val="000000"/>
          <w:sz w:val="32"/>
          <w:u w:val="none" w:color="auto"/>
        </w:rPr>
        <w:t>两轮摩托车</w:t>
      </w:r>
      <w:r>
        <w:rPr>
          <w:rFonts w:hint="eastAsia" w:ascii="仿宋_GB2312" w:hAnsi="仿宋_GB2312" w:eastAsia="仿宋_GB2312" w:cs="仿宋_GB2312"/>
          <w:b w:val="0"/>
          <w:color w:val="000000"/>
          <w:sz w:val="32"/>
          <w:u w:val="none" w:color="auto"/>
        </w:rPr>
        <w:t>上安装有</w:t>
      </w:r>
      <w:r>
        <w:rPr>
          <w:rFonts w:hint="eastAsia" w:ascii="仿宋_GB2312" w:hAnsi="Times New Roman" w:eastAsia="仿宋_GB2312" w:cs="仿宋_GB2312"/>
          <w:color w:val="000000"/>
          <w:sz w:val="32"/>
          <w:u w:val="none" w:color="auto"/>
        </w:rPr>
        <w:t>江苏飞科电子有限公司</w:t>
      </w:r>
      <w:r>
        <w:rPr>
          <w:rFonts w:hint="eastAsia" w:ascii="仿宋_GB2312" w:eastAsia="仿宋_GB2312" w:cs="仿宋_GB2312"/>
          <w:color w:val="000000"/>
          <w:sz w:val="32"/>
          <w:u w:val="none" w:color="auto"/>
          <w:lang w:eastAsia="zh-CN"/>
        </w:rPr>
        <w:t>生产</w:t>
      </w:r>
      <w:r>
        <w:rPr>
          <w:rFonts w:hint="eastAsia" w:ascii="仿宋_GB2312" w:hAnsi="Times New Roman" w:eastAsia="仿宋_GB2312" w:cs="仿宋_GB2312"/>
          <w:color w:val="000000"/>
          <w:sz w:val="32"/>
          <w:u w:val="none" w:color="auto"/>
        </w:rPr>
        <w:t>的“鑫飞科”牌双模正弦波控制器</w:t>
      </w:r>
      <w:r>
        <w:rPr>
          <w:rFonts w:hint="eastAsia" w:ascii="仿宋_GB2312" w:hAnsi="仿宋_GB2312" w:eastAsia="仿宋_GB2312" w:cs="仿宋_GB2312"/>
          <w:b w:val="0"/>
          <w:color w:val="000000"/>
          <w:sz w:val="32"/>
          <w:u w:val="none" w:color="auto"/>
        </w:rPr>
        <w:t>与该车随行的《车辆一致性证书》上标示为</w:t>
      </w:r>
      <w:r>
        <w:rPr>
          <w:rFonts w:hint="eastAsia" w:ascii="仿宋_GB2312" w:hAnsi="Times New Roman" w:eastAsia="仿宋_GB2312" w:cs="仿宋_GB2312"/>
          <w:color w:val="000000"/>
          <w:sz w:val="32"/>
          <w:u w:val="none"/>
        </w:rPr>
        <w:t>无锡台翔电子技术发展有限公司</w:t>
      </w:r>
      <w:r>
        <w:rPr>
          <w:rFonts w:hint="eastAsia" w:ascii="仿宋_GB2312" w:hAnsi="仿宋_GB2312" w:eastAsia="仿宋_GB2312" w:cs="仿宋_GB2312"/>
          <w:b w:val="0"/>
          <w:color w:val="000000"/>
          <w:sz w:val="32"/>
          <w:u w:val="none" w:color="auto"/>
        </w:rPr>
        <w:t>生产的控制器不一致，我局执法人员当场对当事人的违法行为下发了责令改正通知书，责令</w:t>
      </w:r>
      <w:r>
        <w:rPr>
          <w:rFonts w:hint="eastAsia" w:ascii="仿宋_GB2312" w:hAnsi="仿宋_GB2312" w:eastAsia="仿宋_GB2312" w:cs="仿宋_GB2312"/>
          <w:b w:val="0"/>
          <w:color w:val="000000"/>
          <w:sz w:val="32"/>
          <w:u w:val="none" w:color="auto"/>
          <w:lang w:eastAsia="zh-CN"/>
        </w:rPr>
        <w:t>其</w:t>
      </w:r>
      <w:r>
        <w:rPr>
          <w:rFonts w:hint="eastAsia" w:ascii="仿宋_GB2312" w:hAnsi="仿宋_GB2312" w:eastAsia="仿宋_GB2312" w:cs="仿宋_GB2312"/>
          <w:b w:val="0"/>
          <w:color w:val="000000"/>
          <w:sz w:val="32"/>
          <w:u w:val="none" w:color="auto"/>
        </w:rPr>
        <w:t>202</w:t>
      </w:r>
      <w:r>
        <w:rPr>
          <w:rFonts w:hint="eastAsia" w:ascii="仿宋_GB2312" w:hAnsi="仿宋_GB2312" w:eastAsia="仿宋_GB2312" w:cs="仿宋_GB2312"/>
          <w:b w:val="0"/>
          <w:color w:val="000000"/>
          <w:sz w:val="32"/>
          <w:u w:val="none" w:color="auto"/>
          <w:lang w:val="en-US" w:eastAsia="zh-CN"/>
        </w:rPr>
        <w:t>5</w:t>
      </w:r>
      <w:r>
        <w:rPr>
          <w:rFonts w:hint="eastAsia" w:ascii="仿宋_GB2312" w:hAnsi="仿宋_GB2312" w:eastAsia="仿宋_GB2312" w:cs="仿宋_GB2312"/>
          <w:b w:val="0"/>
          <w:color w:val="000000"/>
          <w:sz w:val="32"/>
          <w:u w:val="none" w:color="auto"/>
        </w:rPr>
        <w:t>年</w:t>
      </w:r>
      <w:r>
        <w:rPr>
          <w:rFonts w:hint="eastAsia" w:ascii="仿宋_GB2312" w:hAnsi="仿宋_GB2312" w:eastAsia="仿宋_GB2312" w:cs="仿宋_GB2312"/>
          <w:b w:val="0"/>
          <w:color w:val="000000"/>
          <w:sz w:val="32"/>
          <w:u w:val="none" w:color="auto"/>
          <w:lang w:val="en-US" w:eastAsia="zh-CN"/>
        </w:rPr>
        <w:t>4</w:t>
      </w:r>
      <w:r>
        <w:rPr>
          <w:rFonts w:hint="eastAsia" w:ascii="仿宋_GB2312" w:hAnsi="仿宋_GB2312" w:eastAsia="仿宋_GB2312" w:cs="仿宋_GB2312"/>
          <w:b w:val="0"/>
          <w:color w:val="000000"/>
          <w:sz w:val="32"/>
          <w:u w:val="none" w:color="auto"/>
        </w:rPr>
        <w:t>月</w:t>
      </w:r>
      <w:r>
        <w:rPr>
          <w:rFonts w:hint="eastAsia" w:ascii="仿宋_GB2312" w:hAnsi="仿宋_GB2312" w:eastAsia="仿宋_GB2312" w:cs="仿宋_GB2312"/>
          <w:b w:val="0"/>
          <w:color w:val="000000"/>
          <w:sz w:val="32"/>
          <w:u w:val="none" w:color="auto"/>
          <w:lang w:val="en-US" w:eastAsia="zh-CN"/>
        </w:rPr>
        <w:t>25</w:t>
      </w:r>
      <w:r>
        <w:rPr>
          <w:rFonts w:hint="eastAsia" w:ascii="仿宋_GB2312" w:hAnsi="仿宋_GB2312" w:eastAsia="仿宋_GB2312" w:cs="仿宋_GB2312"/>
          <w:b w:val="0"/>
          <w:color w:val="000000"/>
          <w:sz w:val="32"/>
          <w:u w:val="none" w:color="auto"/>
        </w:rPr>
        <w:t>日前予以改正。2025年</w:t>
      </w:r>
      <w:r>
        <w:rPr>
          <w:rFonts w:hint="eastAsia" w:ascii="仿宋_GB2312" w:hAnsi="仿宋_GB2312" w:eastAsia="仿宋_GB2312" w:cs="仿宋_GB2312"/>
          <w:b w:val="0"/>
          <w:color w:val="000000"/>
          <w:sz w:val="32"/>
          <w:u w:val="none" w:color="auto"/>
          <w:lang w:val="en-US" w:eastAsia="zh-CN"/>
        </w:rPr>
        <w:t>5</w:t>
      </w:r>
      <w:r>
        <w:rPr>
          <w:rFonts w:hint="eastAsia" w:ascii="仿宋_GB2312" w:hAnsi="仿宋_GB2312" w:eastAsia="仿宋_GB2312" w:cs="仿宋_GB2312"/>
          <w:b w:val="0"/>
          <w:color w:val="000000"/>
          <w:sz w:val="32"/>
          <w:u w:val="none" w:color="auto"/>
        </w:rPr>
        <w:t>月</w:t>
      </w:r>
      <w:r>
        <w:rPr>
          <w:rFonts w:hint="eastAsia" w:ascii="仿宋_GB2312" w:hAnsi="仿宋_GB2312" w:eastAsia="仿宋_GB2312" w:cs="仿宋_GB2312"/>
          <w:b w:val="0"/>
          <w:color w:val="000000"/>
          <w:sz w:val="32"/>
          <w:u w:val="none" w:color="auto"/>
          <w:lang w:val="en-US" w:eastAsia="zh-CN"/>
        </w:rPr>
        <w:t>7</w:t>
      </w:r>
      <w:r>
        <w:rPr>
          <w:rFonts w:hint="eastAsia" w:ascii="仿宋_GB2312" w:hAnsi="仿宋_GB2312" w:eastAsia="仿宋_GB2312" w:cs="仿宋_GB2312"/>
          <w:b w:val="0"/>
          <w:color w:val="000000"/>
          <w:sz w:val="32"/>
          <w:u w:val="none" w:color="auto"/>
        </w:rPr>
        <w:t>日，我局执法人员再次对当事人进行检查，发现当事人</w:t>
      </w:r>
      <w:r>
        <w:rPr>
          <w:rFonts w:hint="eastAsia" w:ascii="仿宋_GB2312" w:hAnsi="仿宋_GB2312" w:eastAsia="仿宋_GB2312" w:cs="仿宋_GB2312"/>
          <w:b w:val="0"/>
          <w:color w:val="000000"/>
          <w:sz w:val="32"/>
          <w:u w:val="none" w:color="auto"/>
          <w:lang w:eastAsia="zh-CN"/>
        </w:rPr>
        <w:t>仍然</w:t>
      </w:r>
      <w:r>
        <w:rPr>
          <w:rFonts w:hint="eastAsia" w:ascii="仿宋_GB2312" w:hAnsi="仿宋_GB2312" w:eastAsia="仿宋_GB2312" w:cs="仿宋_GB2312"/>
          <w:b w:val="0"/>
          <w:color w:val="000000"/>
          <w:sz w:val="32"/>
          <w:u w:val="none" w:color="auto"/>
        </w:rPr>
        <w:t>没</w:t>
      </w:r>
      <w:r>
        <w:rPr>
          <w:rFonts w:hint="eastAsia" w:ascii="仿宋_GB2312" w:hAnsi="仿宋_GB2312" w:eastAsia="仿宋_GB2312" w:cs="仿宋_GB2312"/>
          <w:b w:val="0"/>
          <w:color w:val="000000"/>
          <w:sz w:val="32"/>
          <w:u w:val="none" w:color="auto"/>
          <w:lang w:eastAsia="zh-CN"/>
        </w:rPr>
        <w:t>有</w:t>
      </w:r>
      <w:r>
        <w:rPr>
          <w:rFonts w:hint="eastAsia" w:ascii="仿宋_GB2312" w:hAnsi="仿宋_GB2312" w:eastAsia="仿宋_GB2312" w:cs="仿宋_GB2312"/>
          <w:b w:val="0"/>
          <w:color w:val="000000"/>
          <w:sz w:val="32"/>
          <w:u w:val="none" w:color="auto"/>
        </w:rPr>
        <w:t>改正上述违法行为。</w:t>
      </w:r>
    </w:p>
    <w:p w14:paraId="56A23DEE">
      <w:pPr>
        <w:keepNext w:val="0"/>
        <w:keepLines w:val="0"/>
        <w:pageBreakBefore w:val="0"/>
        <w:widowControl w:val="0"/>
        <w:kinsoku/>
        <w:wordWrap/>
        <w:overflowPunct/>
        <w:topLinePunct w:val="0"/>
        <w:autoSpaceDE/>
        <w:autoSpaceDN/>
        <w:bidi w:val="0"/>
        <w:adjustRightInd/>
        <w:snapToGrid/>
        <w:spacing w:line="540" w:lineRule="exact"/>
        <w:ind w:left="638" w:leftChars="304" w:firstLine="0" w:firstLineChars="0"/>
        <w:jc w:val="both"/>
        <w:textAlignment w:val="auto"/>
        <w:rPr>
          <w:rFonts w:hint="eastAsia" w:ascii="仿宋" w:hAnsi="仿宋" w:eastAsia="仿宋" w:cs="仿宋"/>
          <w:sz w:val="32"/>
          <w:szCs w:val="32"/>
          <w:u w:val="none" w:color="auto"/>
        </w:rPr>
      </w:pPr>
      <w:bookmarkStart w:id="8" w:name="CALCULATE—ZJCL—tajCltjes_zjclxx"/>
      <w:r>
        <w:rPr>
          <w:rFonts w:hint="eastAsia" w:ascii="仿宋" w:hAnsi="仿宋" w:eastAsia="仿宋" w:cs="仿宋"/>
          <w:color w:val="000000"/>
          <w:sz w:val="32"/>
          <w:szCs w:val="32"/>
          <w:u w:val="none" w:color="auto"/>
        </w:rPr>
        <w:t>上述事实，主要有以下证据证明：</w:t>
      </w:r>
    </w:p>
    <w:p w14:paraId="40554B0F">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u w:val="none" w:color="auto"/>
          <w:lang w:eastAsia="zh-CN"/>
        </w:rPr>
      </w:pPr>
      <w:r>
        <w:rPr>
          <w:rFonts w:hint="eastAsia" w:ascii="仿宋" w:hAnsi="仿宋" w:eastAsia="仿宋" w:cs="仿宋"/>
          <w:color w:val="000000"/>
          <w:sz w:val="32"/>
          <w:szCs w:val="32"/>
          <w:u w:val="none" w:color="auto"/>
        </w:rPr>
        <w:t>1、身份证及营业执照复印件，证明当事人的</w:t>
      </w:r>
      <w:r>
        <w:rPr>
          <w:rFonts w:hint="eastAsia" w:ascii="仿宋" w:hAnsi="仿宋" w:eastAsia="仿宋" w:cs="仿宋"/>
          <w:color w:val="000000"/>
          <w:sz w:val="32"/>
          <w:szCs w:val="32"/>
          <w:u w:val="none" w:color="auto"/>
          <w:lang w:eastAsia="zh-CN"/>
        </w:rPr>
        <w:t>主体经营资格及经营者身份；</w:t>
      </w:r>
    </w:p>
    <w:p w14:paraId="6B461AC1">
      <w:pPr>
        <w:pStyle w:val="3"/>
        <w:keepNext w:val="0"/>
        <w:keepLines w:val="0"/>
        <w:pageBreakBefore w:val="0"/>
        <w:numPr>
          <w:ilvl w:val="0"/>
          <w:numId w:val="0"/>
        </w:numPr>
        <w:tabs>
          <w:tab w:val="left" w:pos="8240"/>
        </w:tabs>
        <w:kinsoku/>
        <w:overflowPunct/>
        <w:topLinePunct w:val="0"/>
        <w:bidi w:val="0"/>
        <w:spacing w:line="540" w:lineRule="exact"/>
        <w:ind w:firstLine="640" w:firstLineChars="200"/>
        <w:jc w:val="both"/>
        <w:textAlignment w:val="auto"/>
        <w:rPr>
          <w:rFonts w:hint="eastAsia" w:ascii="仿宋" w:hAnsi="仿宋" w:eastAsia="仿宋" w:cs="仿宋"/>
          <w:sz w:val="32"/>
          <w:szCs w:val="32"/>
          <w:u w:val="none" w:color="auto"/>
        </w:rPr>
      </w:pPr>
      <w:r>
        <w:rPr>
          <w:rFonts w:hint="eastAsia" w:ascii="仿宋" w:hAnsi="仿宋" w:eastAsia="仿宋" w:cs="仿宋"/>
          <w:color w:val="000000"/>
          <w:sz w:val="32"/>
          <w:szCs w:val="32"/>
          <w:u w:val="none" w:color="auto"/>
          <w:lang w:val="en-US" w:eastAsia="zh-CN"/>
        </w:rPr>
        <w:t>2、</w:t>
      </w:r>
      <w:r>
        <w:rPr>
          <w:rFonts w:hint="eastAsia" w:ascii="仿宋" w:hAnsi="仿宋" w:eastAsia="仿宋" w:cs="仿宋"/>
          <w:color w:val="000000"/>
          <w:sz w:val="32"/>
          <w:szCs w:val="32"/>
          <w:u w:val="none" w:color="auto"/>
        </w:rPr>
        <w:t>现场检查笔录及照片，证明当事人销售</w:t>
      </w:r>
      <w:r>
        <w:rPr>
          <w:rFonts w:hint="eastAsia" w:ascii="仿宋_GB2312" w:hAnsi="仿宋_GB2312" w:eastAsia="仿宋_GB2312" w:cs="仿宋_GB2312"/>
          <w:b w:val="0"/>
          <w:color w:val="000000"/>
          <w:sz w:val="32"/>
          <w:u w:val="none" w:color="auto"/>
        </w:rPr>
        <w:t>“</w:t>
      </w:r>
      <w:r>
        <w:rPr>
          <w:rFonts w:hint="eastAsia" w:ascii="仿宋_GB2312" w:hAnsi="仿宋_GB2312" w:eastAsia="仿宋_GB2312" w:cs="仿宋_GB2312"/>
          <w:b w:val="0"/>
          <w:color w:val="000000"/>
          <w:sz w:val="32"/>
          <w:u w:val="none" w:color="auto"/>
          <w:lang w:eastAsia="zh-CN"/>
        </w:rPr>
        <w:t>宝岛</w:t>
      </w:r>
      <w:r>
        <w:rPr>
          <w:rFonts w:hint="eastAsia" w:ascii="仿宋_GB2312" w:hAnsi="仿宋_GB2312" w:eastAsia="仿宋_GB2312" w:cs="仿宋_GB2312"/>
          <w:b w:val="0"/>
          <w:color w:val="000000"/>
          <w:sz w:val="32"/>
          <w:u w:val="none" w:color="auto"/>
        </w:rPr>
        <w:t>”牌电动</w:t>
      </w:r>
      <w:r>
        <w:rPr>
          <w:rFonts w:hint="eastAsia" w:ascii="仿宋_GB2312" w:hAnsi="Times New Roman" w:eastAsia="仿宋_GB2312" w:cs="仿宋_GB2312"/>
          <w:color w:val="000000"/>
          <w:sz w:val="32"/>
          <w:u w:val="none" w:color="auto"/>
        </w:rPr>
        <w:t>两轮摩托车</w:t>
      </w:r>
      <w:r>
        <w:rPr>
          <w:rFonts w:hint="eastAsia" w:ascii="仿宋" w:hAnsi="仿宋" w:eastAsia="仿宋" w:cs="仿宋"/>
          <w:color w:val="000000"/>
          <w:sz w:val="32"/>
          <w:szCs w:val="32"/>
          <w:u w:val="none" w:color="auto"/>
        </w:rPr>
        <w:t>的现场情况；</w:t>
      </w:r>
    </w:p>
    <w:p w14:paraId="446C7A73">
      <w:pPr>
        <w:pStyle w:val="3"/>
        <w:keepNext w:val="0"/>
        <w:keepLines w:val="0"/>
        <w:pageBreakBefore w:val="0"/>
        <w:numPr>
          <w:ilvl w:val="0"/>
          <w:numId w:val="0"/>
        </w:numPr>
        <w:tabs>
          <w:tab w:val="left" w:pos="8240"/>
        </w:tabs>
        <w:kinsoku/>
        <w:overflowPunct/>
        <w:topLinePunct w:val="0"/>
        <w:bidi w:val="0"/>
        <w:spacing w:line="540" w:lineRule="exact"/>
        <w:jc w:val="both"/>
        <w:textAlignment w:val="auto"/>
        <w:rPr>
          <w:rFonts w:hint="eastAsia" w:ascii="仿宋_GB2312" w:hAnsi="仿宋_GB2312" w:eastAsia="仿宋_GB2312" w:cs="仿宋_GB2312"/>
          <w:b w:val="0"/>
          <w:bCs/>
          <w:color w:val="auto"/>
          <w:sz w:val="32"/>
          <w:szCs w:val="32"/>
          <w:u w:val="none" w:color="auto"/>
          <w:lang w:val="en-US" w:eastAsia="zh-CN"/>
        </w:rPr>
      </w:pPr>
      <w:r>
        <w:rPr>
          <w:rFonts w:hint="eastAsia" w:ascii="仿宋" w:hAnsi="仿宋" w:eastAsia="仿宋" w:cs="仿宋"/>
          <w:color w:val="000000"/>
          <w:sz w:val="32"/>
          <w:szCs w:val="32"/>
          <w:u w:val="none" w:color="auto"/>
          <w:lang w:val="en-US" w:eastAsia="zh-CN"/>
        </w:rPr>
        <w:t xml:space="preserve">    </w:t>
      </w:r>
      <w:r>
        <w:rPr>
          <w:rFonts w:hint="eastAsia" w:ascii="仿宋" w:hAnsi="仿宋" w:eastAsia="仿宋" w:cs="仿宋"/>
          <w:color w:val="000000"/>
          <w:sz w:val="32"/>
          <w:szCs w:val="32"/>
          <w:u w:val="none" w:color="auto"/>
        </w:rPr>
        <w:t>3、询问笔录，证明当事人销售</w:t>
      </w:r>
      <w:r>
        <w:rPr>
          <w:rFonts w:hint="eastAsia" w:ascii="仿宋_GB2312" w:hAnsi="仿宋_GB2312" w:eastAsia="仿宋_GB2312" w:cs="仿宋_GB2312"/>
          <w:b w:val="0"/>
          <w:color w:val="000000"/>
          <w:sz w:val="32"/>
          <w:u w:val="none" w:color="auto"/>
        </w:rPr>
        <w:t>“</w:t>
      </w:r>
      <w:r>
        <w:rPr>
          <w:rFonts w:hint="eastAsia" w:ascii="仿宋_GB2312" w:hAnsi="仿宋_GB2312" w:eastAsia="仿宋_GB2312" w:cs="仿宋_GB2312"/>
          <w:b w:val="0"/>
          <w:color w:val="000000"/>
          <w:sz w:val="32"/>
          <w:u w:val="none" w:color="auto"/>
          <w:lang w:eastAsia="zh-CN"/>
        </w:rPr>
        <w:t>宝岛</w:t>
      </w:r>
      <w:r>
        <w:rPr>
          <w:rFonts w:hint="eastAsia" w:ascii="仿宋_GB2312" w:hAnsi="仿宋_GB2312" w:eastAsia="仿宋_GB2312" w:cs="仿宋_GB2312"/>
          <w:b w:val="0"/>
          <w:color w:val="000000"/>
          <w:sz w:val="32"/>
          <w:u w:val="none" w:color="auto"/>
        </w:rPr>
        <w:t>”牌电动</w:t>
      </w:r>
      <w:r>
        <w:rPr>
          <w:rFonts w:hint="eastAsia" w:ascii="仿宋_GB2312" w:hAnsi="Times New Roman" w:eastAsia="仿宋_GB2312" w:cs="仿宋_GB2312"/>
          <w:color w:val="000000"/>
          <w:sz w:val="32"/>
          <w:u w:val="none" w:color="auto"/>
        </w:rPr>
        <w:t>两轮摩托车</w:t>
      </w:r>
      <w:r>
        <w:rPr>
          <w:rFonts w:hint="eastAsia" w:ascii="仿宋" w:hAnsi="仿宋" w:eastAsia="仿宋" w:cs="仿宋"/>
          <w:color w:val="000000"/>
          <w:sz w:val="32"/>
          <w:szCs w:val="32"/>
          <w:u w:val="none" w:color="auto"/>
        </w:rPr>
        <w:t>的购销情况；</w:t>
      </w:r>
      <w:r>
        <w:rPr>
          <w:rFonts w:hint="eastAsia" w:ascii="仿宋" w:hAnsi="仿宋" w:eastAsia="仿宋" w:cs="仿宋"/>
          <w:color w:val="000000"/>
          <w:sz w:val="32"/>
          <w:szCs w:val="32"/>
          <w:u w:val="none" w:color="auto"/>
        </w:rPr>
        <w:br w:type="textWrapping"/>
      </w:r>
      <w:r>
        <w:rPr>
          <w:rFonts w:hint="eastAsia" w:ascii="仿宋" w:hAnsi="仿宋" w:eastAsia="仿宋" w:cs="仿宋"/>
          <w:color w:val="000000"/>
          <w:sz w:val="32"/>
          <w:szCs w:val="32"/>
          <w:u w:val="none" w:color="auto"/>
          <w:lang w:val="en-US" w:eastAsia="zh-CN"/>
        </w:rPr>
        <w:t xml:space="preserve">    </w:t>
      </w:r>
      <w:r>
        <w:rPr>
          <w:rFonts w:hint="eastAsia" w:ascii="仿宋" w:hAnsi="仿宋" w:eastAsia="仿宋" w:cs="仿宋"/>
          <w:color w:val="000000"/>
          <w:sz w:val="32"/>
          <w:szCs w:val="32"/>
          <w:u w:val="none" w:color="auto"/>
        </w:rPr>
        <w:t>4、责令改正通知书一份及送达回证，证明对当事人违法行为责令限期改正的情况；</w:t>
      </w:r>
      <w:r>
        <w:rPr>
          <w:rFonts w:hint="eastAsia" w:ascii="仿宋" w:hAnsi="仿宋" w:eastAsia="仿宋" w:cs="仿宋"/>
          <w:color w:val="000000"/>
          <w:sz w:val="32"/>
          <w:szCs w:val="32"/>
          <w:u w:val="none" w:color="auto"/>
        </w:rPr>
        <w:br w:type="textWrapping"/>
      </w:r>
      <w:r>
        <w:rPr>
          <w:rFonts w:hint="eastAsia" w:ascii="仿宋" w:hAnsi="仿宋" w:eastAsia="仿宋" w:cs="仿宋"/>
          <w:color w:val="000000"/>
          <w:sz w:val="32"/>
          <w:szCs w:val="32"/>
          <w:u w:val="none" w:color="auto"/>
          <w:lang w:val="en-US" w:eastAsia="zh-CN"/>
        </w:rPr>
        <w:t xml:space="preserve">    </w:t>
      </w:r>
      <w:r>
        <w:rPr>
          <w:rFonts w:hint="eastAsia" w:ascii="仿宋" w:hAnsi="仿宋" w:eastAsia="仿宋" w:cs="仿宋"/>
          <w:color w:val="000000"/>
          <w:sz w:val="32"/>
          <w:szCs w:val="32"/>
          <w:u w:val="none" w:color="auto"/>
        </w:rPr>
        <w:t>5、车辆一致性证书及机动车整车出厂合格证复印件，证明当事人销售的</w:t>
      </w:r>
      <w:r>
        <w:rPr>
          <w:rFonts w:hint="eastAsia" w:ascii="仿宋_GB2312" w:hAnsi="仿宋_GB2312" w:eastAsia="仿宋_GB2312" w:cs="仿宋_GB2312"/>
          <w:b w:val="0"/>
          <w:color w:val="000000"/>
          <w:sz w:val="32"/>
          <w:u w:val="none" w:color="auto"/>
        </w:rPr>
        <w:t>“</w:t>
      </w:r>
      <w:r>
        <w:rPr>
          <w:rFonts w:hint="eastAsia" w:ascii="仿宋_GB2312" w:hAnsi="仿宋_GB2312" w:eastAsia="仿宋_GB2312" w:cs="仿宋_GB2312"/>
          <w:b w:val="0"/>
          <w:color w:val="000000"/>
          <w:sz w:val="32"/>
          <w:u w:val="none" w:color="auto"/>
          <w:lang w:eastAsia="zh-CN"/>
        </w:rPr>
        <w:t>宝岛</w:t>
      </w:r>
      <w:r>
        <w:rPr>
          <w:rFonts w:hint="eastAsia" w:ascii="仿宋_GB2312" w:hAnsi="仿宋_GB2312" w:eastAsia="仿宋_GB2312" w:cs="仿宋_GB2312"/>
          <w:b w:val="0"/>
          <w:color w:val="000000"/>
          <w:sz w:val="32"/>
          <w:u w:val="none" w:color="auto"/>
        </w:rPr>
        <w:t>”牌电动</w:t>
      </w:r>
      <w:r>
        <w:rPr>
          <w:rFonts w:hint="eastAsia" w:ascii="仿宋_GB2312" w:hAnsi="Times New Roman" w:eastAsia="仿宋_GB2312" w:cs="仿宋_GB2312"/>
          <w:color w:val="000000"/>
          <w:sz w:val="32"/>
          <w:u w:val="none" w:color="auto"/>
        </w:rPr>
        <w:t>两轮摩托车</w:t>
      </w:r>
      <w:r>
        <w:rPr>
          <w:rFonts w:hint="eastAsia" w:ascii="仿宋" w:hAnsi="仿宋" w:eastAsia="仿宋" w:cs="仿宋"/>
          <w:color w:val="000000"/>
          <w:sz w:val="32"/>
          <w:szCs w:val="32"/>
          <w:u w:val="none" w:color="auto"/>
        </w:rPr>
        <w:t>车辆登记信息。</w:t>
      </w:r>
      <w:r>
        <w:rPr>
          <w:rFonts w:hint="eastAsia" w:ascii="仿宋" w:hAnsi="仿宋" w:eastAsia="仿宋" w:cs="仿宋"/>
          <w:b w:val="0"/>
          <w:bCs/>
          <w:color w:val="000000"/>
          <w:sz w:val="32"/>
          <w:szCs w:val="32"/>
          <w:u w:val="none"/>
        </w:rPr>
        <w:t xml:space="preserve">                        </w:t>
      </w:r>
      <w:r>
        <w:rPr>
          <w:rFonts w:hint="eastAsia" w:ascii="仿宋" w:hAnsi="仿宋" w:eastAsia="仿宋" w:cs="仿宋"/>
          <w:b w:val="0"/>
          <w:bCs/>
          <w:color w:val="000000"/>
          <w:sz w:val="32"/>
          <w:szCs w:val="32"/>
          <w:u w:val="none"/>
          <w:lang w:val="en-US" w:eastAsia="zh-CN"/>
        </w:rPr>
        <w:t xml:space="preserve">                  </w:t>
      </w:r>
      <w:r>
        <w:rPr>
          <w:rFonts w:hint="eastAsia" w:ascii="仿宋_GB2312" w:hAnsi="仿宋_GB2312" w:eastAsia="仿宋_GB2312" w:cs="仿宋_GB2312"/>
          <w:b w:val="0"/>
          <w:bCs/>
          <w:color w:val="000000"/>
          <w:sz w:val="32"/>
          <w:szCs w:val="32"/>
          <w:u w:val="none" w:color="auto"/>
          <w:lang w:val="en-US" w:eastAsia="zh-CN"/>
        </w:rPr>
        <w:t xml:space="preserve">  </w:t>
      </w:r>
      <w:bookmarkEnd w:id="8"/>
      <w:r>
        <w:rPr>
          <w:rFonts w:hint="eastAsia" w:ascii="仿宋_GB2312" w:hAnsi="仿宋_GB2312" w:eastAsia="仿宋_GB2312" w:cs="仿宋_GB2312"/>
          <w:b w:val="0"/>
          <w:bCs/>
          <w:color w:val="000000"/>
          <w:sz w:val="32"/>
          <w:szCs w:val="32"/>
          <w:u w:val="none" w:color="auto"/>
          <w:lang w:val="en-US" w:eastAsia="zh-CN"/>
        </w:rPr>
        <w:t xml:space="preserve"> </w:t>
      </w:r>
    </w:p>
    <w:p w14:paraId="0EE5DE9B">
      <w:pPr>
        <w:keepNext w:val="0"/>
        <w:keepLines w:val="0"/>
        <w:pageBreakBefore w:val="0"/>
        <w:widowControl/>
        <w:tabs>
          <w:tab w:val="left" w:pos="2440"/>
          <w:tab w:val="left" w:pos="8964"/>
        </w:tabs>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仿宋" w:hAnsi="仿宋" w:eastAsia="仿宋" w:cs="仿宋"/>
          <w:color w:val="000000"/>
          <w:sz w:val="32"/>
          <w:szCs w:val="32"/>
          <w:u w:val="none"/>
          <w:lang w:eastAsia="zh-CN"/>
        </w:rPr>
      </w:pPr>
      <w:bookmarkStart w:id="9" w:name="CALCULATE—WFFLFGXX—tAjCfes_cWfflfg—1"/>
      <w:r>
        <w:rPr>
          <w:rFonts w:hint="eastAsia" w:ascii="仿宋" w:hAnsi="仿宋" w:eastAsia="仿宋" w:cs="仿宋"/>
          <w:color w:val="000000"/>
          <w:sz w:val="32"/>
          <w:szCs w:val="32"/>
          <w:u w:val="none"/>
          <w:lang w:eastAsia="zh-CN"/>
        </w:rPr>
        <w:t>当事人的上述行为违反了</w:t>
      </w:r>
      <w:r>
        <w:rPr>
          <w:rFonts w:hint="eastAsia" w:ascii="仿宋" w:hAnsi="仿宋" w:eastAsia="仿宋" w:cs="仿宋"/>
          <w:color w:val="000000"/>
          <w:sz w:val="32"/>
          <w:szCs w:val="32"/>
          <w:u w:val="none"/>
        </w:rPr>
        <w:t>《强制性产品认证管理规定（2022修订）》第二十三条</w:t>
      </w:r>
      <w:r>
        <w:rPr>
          <w:rFonts w:hint="eastAsia" w:ascii="仿宋" w:hAnsi="仿宋" w:eastAsia="仿宋" w:cs="仿宋"/>
          <w:color w:val="000000"/>
          <w:sz w:val="32"/>
          <w:szCs w:val="32"/>
          <w:u w:val="none"/>
          <w:lang w:eastAsia="zh-CN"/>
        </w:rPr>
        <w:t>“</w:t>
      </w:r>
      <w:r>
        <w:rPr>
          <w:rFonts w:hint="eastAsia" w:ascii="仿宋" w:hAnsi="仿宋" w:eastAsia="仿宋" w:cs="仿宋"/>
          <w:color w:val="000000"/>
          <w:sz w:val="32"/>
          <w:szCs w:val="32"/>
          <w:u w:val="none"/>
        </w:rPr>
        <w:t>获证产品及其销售包装上标注认证证书所含内容的，应当与认证证书的内容相一致，并符合国家有关产品标识标注管理规定</w:t>
      </w:r>
      <w:r>
        <w:rPr>
          <w:rFonts w:hint="eastAsia" w:ascii="仿宋" w:hAnsi="仿宋" w:eastAsia="仿宋" w:cs="仿宋"/>
          <w:color w:val="000000"/>
          <w:sz w:val="32"/>
          <w:szCs w:val="32"/>
          <w:u w:val="none"/>
          <w:lang w:val="en-US" w:eastAsia="zh-CN"/>
        </w:rPr>
        <w:t>”的规定，</w:t>
      </w:r>
      <w:bookmarkEnd w:id="9"/>
      <w:r>
        <w:rPr>
          <w:rFonts w:hint="eastAsia" w:ascii="仿宋" w:hAnsi="仿宋" w:eastAsia="仿宋" w:cs="仿宋"/>
          <w:bCs/>
          <w:color w:val="000000"/>
          <w:sz w:val="32"/>
          <w:szCs w:val="32"/>
          <w:u w:val="none"/>
          <w:lang w:eastAsia="zh-CN"/>
        </w:rPr>
        <w:t>参照“</w:t>
      </w:r>
      <w:r>
        <w:rPr>
          <w:rFonts w:hint="eastAsia" w:ascii="仿宋" w:hAnsi="仿宋" w:eastAsia="仿宋" w:cs="仿宋"/>
          <w:color w:val="000000"/>
          <w:sz w:val="32"/>
          <w:szCs w:val="32"/>
          <w:u w:val="none"/>
        </w:rPr>
        <w:t>《河南省市场监督管理行政处罚裁量基准（2023版）》第十八条 当事人不具备不予行政处罚、减轻、从轻或者从重行政处罚情形的，应当给予一般行政处罚</w:t>
      </w:r>
      <w:r>
        <w:rPr>
          <w:rFonts w:hint="eastAsia" w:ascii="仿宋" w:hAnsi="仿宋" w:eastAsia="仿宋" w:cs="仿宋"/>
          <w:color w:val="000000"/>
          <w:sz w:val="32"/>
          <w:szCs w:val="32"/>
          <w:u w:val="none"/>
          <w:lang w:eastAsia="zh-CN"/>
        </w:rPr>
        <w:t>”的规定</w:t>
      </w:r>
      <w:r>
        <w:rPr>
          <w:rFonts w:hint="eastAsia" w:ascii="仿宋" w:hAnsi="仿宋" w:eastAsia="仿宋" w:cs="仿宋"/>
          <w:color w:val="000000"/>
          <w:sz w:val="32"/>
          <w:szCs w:val="32"/>
          <w:u w:val="none"/>
        </w:rPr>
        <w:t>。</w:t>
      </w:r>
      <w:r>
        <w:rPr>
          <w:rFonts w:hint="eastAsia" w:ascii="仿宋" w:hAnsi="仿宋" w:eastAsia="仿宋" w:cs="仿宋"/>
          <w:color w:val="000000"/>
          <w:sz w:val="32"/>
          <w:szCs w:val="32"/>
          <w:u w:val="none"/>
          <w:lang w:eastAsia="zh-CN"/>
        </w:rPr>
        <w:t>当事人经销不符合强制性产品认证管理规定的电动两轮摩托车拒不改正的行为，根据其违法的事实、性质、情节，其行为属于一般违法，应给与一般处罚。</w:t>
      </w:r>
    </w:p>
    <w:p w14:paraId="4A74A79F">
      <w:pPr>
        <w:keepNext w:val="0"/>
        <w:keepLines w:val="0"/>
        <w:pageBreakBefore w:val="0"/>
        <w:widowControl/>
        <w:tabs>
          <w:tab w:val="left" w:pos="2440"/>
          <w:tab w:val="left" w:pos="8964"/>
        </w:tabs>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仿宋" w:hAnsi="仿宋" w:eastAsia="仿宋" w:cs="仿宋"/>
          <w:color w:val="000000"/>
          <w:sz w:val="32"/>
          <w:szCs w:val="32"/>
          <w:u w:val="none"/>
          <w:lang w:eastAsia="zh-CN"/>
        </w:rPr>
      </w:pPr>
      <w:r>
        <w:rPr>
          <w:rFonts w:hint="eastAsia" w:ascii="仿宋" w:hAnsi="仿宋" w:eastAsia="仿宋" w:cs="仿宋"/>
          <w:b w:val="0"/>
          <w:color w:val="000000"/>
          <w:sz w:val="32"/>
          <w:szCs w:val="32"/>
          <w:u w:val="none"/>
          <w:lang w:eastAsia="zh-CN"/>
        </w:rPr>
        <w:t>我局于</w:t>
      </w:r>
      <w:r>
        <w:rPr>
          <w:rFonts w:hint="eastAsia" w:ascii="仿宋" w:hAnsi="仿宋" w:eastAsia="仿宋" w:cs="仿宋"/>
          <w:b w:val="0"/>
          <w:color w:val="000000"/>
          <w:sz w:val="32"/>
          <w:szCs w:val="32"/>
          <w:u w:val="none"/>
        </w:rPr>
        <w:t>2025年0</w:t>
      </w:r>
      <w:r>
        <w:rPr>
          <w:rFonts w:hint="eastAsia" w:ascii="仿宋" w:hAnsi="仿宋" w:eastAsia="仿宋" w:cs="仿宋"/>
          <w:b w:val="0"/>
          <w:color w:val="000000"/>
          <w:sz w:val="32"/>
          <w:szCs w:val="32"/>
          <w:u w:val="none"/>
          <w:lang w:val="en-US" w:eastAsia="zh-CN"/>
        </w:rPr>
        <w:t>6</w:t>
      </w:r>
      <w:r>
        <w:rPr>
          <w:rFonts w:hint="eastAsia" w:ascii="仿宋" w:hAnsi="仿宋" w:eastAsia="仿宋" w:cs="仿宋"/>
          <w:b w:val="0"/>
          <w:color w:val="000000"/>
          <w:sz w:val="32"/>
          <w:szCs w:val="32"/>
          <w:u w:val="none"/>
        </w:rPr>
        <w:t>月</w:t>
      </w:r>
      <w:r>
        <w:rPr>
          <w:rFonts w:hint="eastAsia" w:ascii="仿宋" w:hAnsi="仿宋" w:eastAsia="仿宋" w:cs="仿宋"/>
          <w:b w:val="0"/>
          <w:color w:val="000000"/>
          <w:sz w:val="32"/>
          <w:szCs w:val="32"/>
          <w:u w:val="none"/>
          <w:lang w:val="en-US" w:eastAsia="zh-CN"/>
        </w:rPr>
        <w:t>12</w:t>
      </w:r>
      <w:r>
        <w:rPr>
          <w:rFonts w:hint="eastAsia" w:ascii="仿宋" w:hAnsi="仿宋" w:eastAsia="仿宋" w:cs="仿宋"/>
          <w:b w:val="0"/>
          <w:color w:val="000000"/>
          <w:sz w:val="32"/>
          <w:szCs w:val="32"/>
          <w:u w:val="none"/>
        </w:rPr>
        <w:t>日</w:t>
      </w:r>
      <w:r>
        <w:rPr>
          <w:rFonts w:hint="eastAsia" w:ascii="仿宋" w:hAnsi="仿宋" w:eastAsia="仿宋" w:cs="仿宋"/>
          <w:b w:val="0"/>
          <w:bCs/>
          <w:color w:val="000000"/>
          <w:sz w:val="32"/>
          <w:szCs w:val="32"/>
          <w:u w:val="none"/>
        </w:rPr>
        <w:t>，</w:t>
      </w:r>
      <w:r>
        <w:rPr>
          <w:rFonts w:hint="eastAsia" w:ascii="仿宋" w:hAnsi="仿宋" w:eastAsia="仿宋" w:cs="仿宋"/>
          <w:bCs/>
          <w:color w:val="000000"/>
          <w:sz w:val="32"/>
          <w:szCs w:val="32"/>
          <w:u w:val="none"/>
        </w:rPr>
        <w:t>向当事人送达了《洛阳市偃师区市场监督管理局行政处罚告知书》(</w:t>
      </w:r>
      <w:bookmarkStart w:id="10" w:name="CALCULATE—XZCFJDS—cCfgzSdwswh"/>
      <w:r>
        <w:rPr>
          <w:rFonts w:hint="eastAsia" w:ascii="仿宋" w:hAnsi="仿宋" w:eastAsia="仿宋" w:cs="仿宋"/>
          <w:color w:val="000000"/>
          <w:sz w:val="32"/>
          <w:szCs w:val="32"/>
          <w:u w:val="none"/>
        </w:rPr>
        <w:t>偃市监罚告〔202</w:t>
      </w:r>
      <w:r>
        <w:rPr>
          <w:rFonts w:hint="eastAsia" w:ascii="仿宋" w:hAnsi="仿宋" w:eastAsia="仿宋" w:cs="仿宋"/>
          <w:color w:val="000000"/>
          <w:sz w:val="32"/>
          <w:szCs w:val="32"/>
          <w:u w:val="none"/>
          <w:lang w:val="en-US" w:eastAsia="zh-CN"/>
        </w:rPr>
        <w:t>5</w:t>
      </w:r>
      <w:r>
        <w:rPr>
          <w:rFonts w:hint="eastAsia" w:ascii="仿宋" w:hAnsi="仿宋" w:eastAsia="仿宋" w:cs="仿宋"/>
          <w:color w:val="000000"/>
          <w:sz w:val="32"/>
          <w:szCs w:val="32"/>
          <w:u w:val="none"/>
        </w:rPr>
        <w:t>〕</w:t>
      </w:r>
      <w:r>
        <w:rPr>
          <w:rFonts w:hint="eastAsia" w:ascii="仿宋" w:hAnsi="仿宋" w:eastAsia="仿宋" w:cs="仿宋"/>
          <w:color w:val="000000"/>
          <w:sz w:val="32"/>
          <w:szCs w:val="32"/>
          <w:u w:val="none"/>
          <w:lang w:val="en-US" w:eastAsia="zh-CN"/>
        </w:rPr>
        <w:t>65</w:t>
      </w:r>
      <w:r>
        <w:rPr>
          <w:rFonts w:hint="eastAsia" w:ascii="仿宋" w:hAnsi="仿宋" w:eastAsia="仿宋" w:cs="仿宋"/>
          <w:color w:val="000000"/>
          <w:sz w:val="32"/>
          <w:szCs w:val="32"/>
          <w:u w:val="none"/>
        </w:rPr>
        <w:t>号</w:t>
      </w:r>
      <w:bookmarkEnd w:id="10"/>
      <w:r>
        <w:rPr>
          <w:rFonts w:hint="eastAsia" w:ascii="仿宋" w:hAnsi="仿宋" w:eastAsia="仿宋" w:cs="仿宋"/>
          <w:bCs/>
          <w:color w:val="000000"/>
          <w:sz w:val="32"/>
          <w:szCs w:val="32"/>
          <w:u w:val="none"/>
        </w:rPr>
        <w:t>)，</w:t>
      </w:r>
      <w:bookmarkStart w:id="11" w:name="CALCULATE—XZCFJDS—nTccssb"/>
      <w:r>
        <w:rPr>
          <w:rFonts w:hint="eastAsia" w:ascii="仿宋" w:hAnsi="仿宋" w:eastAsia="仿宋" w:cs="仿宋"/>
          <w:bCs/>
          <w:color w:val="000000"/>
          <w:sz w:val="32"/>
          <w:szCs w:val="32"/>
          <w:u w:val="none"/>
        </w:rPr>
        <w:t>告知</w:t>
      </w:r>
      <w:r>
        <w:rPr>
          <w:rFonts w:hint="eastAsia" w:ascii="仿宋" w:hAnsi="仿宋" w:eastAsia="仿宋" w:cs="仿宋"/>
          <w:color w:val="000000"/>
          <w:sz w:val="32"/>
          <w:szCs w:val="32"/>
          <w:u w:val="none"/>
        </w:rPr>
        <w:t>当事人</w:t>
      </w:r>
      <w:bookmarkEnd w:id="11"/>
      <w:r>
        <w:rPr>
          <w:rFonts w:hint="eastAsia" w:ascii="仿宋" w:hAnsi="仿宋" w:eastAsia="仿宋" w:cs="仿宋"/>
          <w:color w:val="000000"/>
          <w:sz w:val="32"/>
          <w:szCs w:val="32"/>
          <w:u w:val="none"/>
        </w:rPr>
        <w:t>我局拟作出行政处罚决定的事实、理由、依据、内容及当事人有权进行陈述、申辩，并可以要求听证。当事人在法定期限内未行使陈述、申辩权，亦未要求听证。</w:t>
      </w:r>
    </w:p>
    <w:p w14:paraId="2F1EC483">
      <w:pPr>
        <w:pStyle w:val="3"/>
        <w:keepNext w:val="0"/>
        <w:keepLines w:val="0"/>
        <w:pageBreakBefore w:val="0"/>
        <w:tabs>
          <w:tab w:val="left" w:pos="9060"/>
        </w:tabs>
        <w:kinsoku/>
        <w:overflowPunct/>
        <w:topLinePunct w:val="0"/>
        <w:bidi w:val="0"/>
        <w:snapToGrid/>
        <w:spacing w:line="540" w:lineRule="exact"/>
        <w:ind w:firstLine="640" w:firstLineChars="200"/>
        <w:jc w:val="both"/>
        <w:textAlignment w:val="auto"/>
        <w:rPr>
          <w:rFonts w:hint="eastAsia" w:ascii="仿宋" w:hAnsi="仿宋" w:eastAsia="仿宋" w:cs="仿宋"/>
          <w:b w:val="0"/>
          <w:bCs/>
          <w:color w:val="auto"/>
          <w:sz w:val="32"/>
          <w:szCs w:val="32"/>
          <w:u w:val="none" w:color="auto"/>
          <w:lang w:val="en-US" w:eastAsia="zh-CN"/>
        </w:rPr>
      </w:pPr>
      <w:bookmarkStart w:id="12" w:name="CALCULATE—WFFLFGXX—tAjCfes_cCfyj"/>
      <w:r>
        <w:rPr>
          <w:rFonts w:hint="eastAsia" w:ascii="仿宋" w:hAnsi="仿宋" w:eastAsia="仿宋" w:cs="仿宋"/>
          <w:color w:val="000000"/>
          <w:sz w:val="32"/>
          <w:szCs w:val="32"/>
          <w:u w:val="none" w:color="auto"/>
          <w:lang w:eastAsia="zh-CN"/>
        </w:rPr>
        <w:t>依据</w:t>
      </w:r>
      <w:r>
        <w:rPr>
          <w:rFonts w:hint="eastAsia" w:ascii="仿宋" w:hAnsi="仿宋" w:eastAsia="仿宋" w:cs="仿宋"/>
          <w:color w:val="000000"/>
          <w:sz w:val="32"/>
          <w:szCs w:val="32"/>
          <w:u w:val="none" w:color="auto"/>
        </w:rPr>
        <w:t>《强制性产品认证管理规定（2022修订）》第五十五条第一项</w:t>
      </w:r>
      <w:r>
        <w:rPr>
          <w:rFonts w:hint="eastAsia" w:ascii="仿宋" w:hAnsi="仿宋" w:eastAsia="仿宋" w:cs="仿宋"/>
          <w:color w:val="000000"/>
          <w:sz w:val="32"/>
          <w:szCs w:val="32"/>
          <w:u w:val="none" w:color="auto"/>
          <w:lang w:eastAsia="zh-CN"/>
        </w:rPr>
        <w:t>“</w:t>
      </w:r>
      <w:r>
        <w:rPr>
          <w:rFonts w:hint="eastAsia" w:ascii="仿宋" w:hAnsi="仿宋" w:eastAsia="仿宋" w:cs="仿宋"/>
          <w:color w:val="000000"/>
          <w:sz w:val="32"/>
          <w:szCs w:val="32"/>
          <w:u w:val="none" w:color="auto"/>
        </w:rPr>
        <w:t>有下列情形之一的，由县级以上地方市场监督管理部门责令其限期改正，逾期未改正的，处2万元以下罚款。（一）违反本规定第二十三条规定，获证产品及其销售包装上标注的认证证书所含内容与认证证书内容不一致的</w:t>
      </w:r>
      <w:r>
        <w:rPr>
          <w:rFonts w:hint="eastAsia" w:ascii="仿宋" w:hAnsi="仿宋" w:eastAsia="仿宋" w:cs="仿宋"/>
          <w:color w:val="000000"/>
          <w:sz w:val="32"/>
          <w:szCs w:val="32"/>
          <w:u w:val="none" w:color="auto"/>
          <w:lang w:eastAsia="zh-CN"/>
        </w:rPr>
        <w:t>”</w:t>
      </w:r>
      <w:bookmarkEnd w:id="12"/>
      <w:r>
        <w:rPr>
          <w:rFonts w:hint="eastAsia" w:ascii="仿宋" w:hAnsi="仿宋" w:eastAsia="仿宋" w:cs="仿宋"/>
          <w:color w:val="000000"/>
          <w:sz w:val="32"/>
          <w:szCs w:val="32"/>
          <w:u w:val="none" w:color="auto"/>
          <w:lang w:eastAsia="zh-CN"/>
        </w:rPr>
        <w:t>的规定</w:t>
      </w:r>
      <w:r>
        <w:rPr>
          <w:rFonts w:hint="eastAsia" w:ascii="仿宋" w:hAnsi="仿宋" w:eastAsia="仿宋" w:cs="仿宋"/>
          <w:color w:val="000000"/>
          <w:sz w:val="32"/>
          <w:szCs w:val="32"/>
          <w:u w:val="none" w:color="auto"/>
        </w:rPr>
        <w:t xml:space="preserve"> </w:t>
      </w:r>
      <w:bookmarkStart w:id="13" w:name="CALCULATE—AJCF—tAjCfes_cZyclsshly"/>
      <w:bookmarkStart w:id="14" w:name="CALCULATE—AJCF—tAjCfes_cXzcfnr"/>
      <w:r>
        <w:rPr>
          <w:rFonts w:hint="eastAsia" w:ascii="仿宋" w:hAnsi="仿宋" w:eastAsia="仿宋" w:cs="仿宋"/>
          <w:color w:val="000000"/>
          <w:sz w:val="32"/>
          <w:szCs w:val="32"/>
          <w:u w:val="none" w:color="auto"/>
          <w:lang w:eastAsia="zh-CN"/>
        </w:rPr>
        <w:t>；</w:t>
      </w:r>
      <w:r>
        <w:rPr>
          <w:rFonts w:hint="eastAsia" w:ascii="仿宋" w:hAnsi="仿宋" w:eastAsia="仿宋" w:cs="仿宋"/>
          <w:color w:val="000000"/>
          <w:sz w:val="32"/>
          <w:szCs w:val="32"/>
          <w:u w:val="none" w:color="auto"/>
        </w:rPr>
        <w:t>参照《河南省市场监督管理行政处罚裁量基准（2023 版）》序号6.2.3依据《强制性产品认证管理规定》第五十五条实施的行政处罚：</w:t>
      </w:r>
      <w:r>
        <w:rPr>
          <w:rFonts w:hint="eastAsia" w:ascii="仿宋" w:hAnsi="仿宋" w:eastAsia="仿宋" w:cs="仿宋"/>
          <w:color w:val="000000"/>
          <w:sz w:val="32"/>
          <w:szCs w:val="32"/>
          <w:u w:val="none" w:color="auto"/>
          <w:lang w:eastAsia="zh-CN"/>
        </w:rPr>
        <w:t>“裁量等级：一般；违法情形：不具有从轻、从重处罚情形。</w:t>
      </w:r>
      <w:r>
        <w:rPr>
          <w:rFonts w:hint="eastAsia" w:ascii="仿宋" w:hAnsi="仿宋" w:eastAsia="仿宋" w:cs="仿宋"/>
          <w:color w:val="000000"/>
          <w:sz w:val="32"/>
          <w:szCs w:val="32"/>
          <w:u w:val="none" w:color="auto"/>
        </w:rPr>
        <w:t>裁量基准：处6000元以上1.4万元以下罚款</w:t>
      </w:r>
      <w:r>
        <w:rPr>
          <w:rFonts w:hint="eastAsia" w:ascii="仿宋" w:hAnsi="仿宋" w:eastAsia="仿宋" w:cs="仿宋"/>
          <w:color w:val="000000"/>
          <w:sz w:val="32"/>
          <w:szCs w:val="32"/>
          <w:u w:val="none" w:color="auto"/>
          <w:lang w:eastAsia="zh-CN"/>
        </w:rPr>
        <w:t>。”之规定</w:t>
      </w:r>
      <w:r>
        <w:rPr>
          <w:rFonts w:hint="eastAsia" w:ascii="仿宋" w:hAnsi="仿宋" w:eastAsia="仿宋" w:cs="仿宋"/>
          <w:color w:val="000000"/>
          <w:sz w:val="32"/>
          <w:szCs w:val="32"/>
          <w:u w:val="none" w:color="auto"/>
        </w:rPr>
        <w:t>。</w:t>
      </w:r>
      <w:bookmarkEnd w:id="13"/>
      <w:r>
        <w:rPr>
          <w:rFonts w:hint="eastAsia" w:ascii="仿宋" w:hAnsi="仿宋" w:eastAsia="仿宋" w:cs="仿宋"/>
          <w:color w:val="000000"/>
          <w:sz w:val="32"/>
          <w:szCs w:val="32"/>
          <w:u w:val="none" w:color="auto"/>
          <w:lang w:eastAsia="zh-CN"/>
        </w:rPr>
        <w:t>决定</w:t>
      </w:r>
      <w:r>
        <w:rPr>
          <w:rFonts w:hint="eastAsia" w:ascii="仿宋" w:hAnsi="仿宋" w:eastAsia="仿宋" w:cs="仿宋"/>
          <w:color w:val="000000"/>
          <w:sz w:val="32"/>
          <w:szCs w:val="32"/>
          <w:u w:val="none" w:color="auto"/>
        </w:rPr>
        <w:t>对</w:t>
      </w:r>
      <w:r>
        <w:rPr>
          <w:rFonts w:hint="eastAsia" w:ascii="仿宋_GB2312" w:hAnsi="Times New Roman" w:eastAsia="仿宋_GB2312" w:cs="仿宋_GB2312"/>
          <w:color w:val="000000"/>
          <w:sz w:val="32"/>
          <w:u w:val="none"/>
        </w:rPr>
        <w:t>洛阳市偃师区首阳山街道两宝电动车行</w:t>
      </w:r>
      <w:r>
        <w:rPr>
          <w:rFonts w:hint="eastAsia" w:ascii="仿宋" w:hAnsi="仿宋" w:eastAsia="仿宋" w:cs="仿宋"/>
          <w:color w:val="000000"/>
          <w:sz w:val="32"/>
          <w:szCs w:val="32"/>
          <w:u w:val="none" w:color="auto"/>
          <w:lang w:eastAsia="zh-CN"/>
        </w:rPr>
        <w:t>罚款</w:t>
      </w:r>
      <w:r>
        <w:rPr>
          <w:rFonts w:hint="eastAsia" w:ascii="仿宋" w:hAnsi="仿宋" w:eastAsia="仿宋" w:cs="仿宋"/>
          <w:color w:val="000000"/>
          <w:sz w:val="32"/>
          <w:szCs w:val="32"/>
          <w:u w:val="none" w:color="auto"/>
        </w:rPr>
        <w:t>9000元。</w:t>
      </w:r>
      <w:bookmarkEnd w:id="14"/>
      <w:r>
        <w:rPr>
          <w:rFonts w:hint="eastAsia" w:ascii="仿宋" w:hAnsi="仿宋" w:eastAsia="仿宋" w:cs="仿宋"/>
          <w:color w:val="000000"/>
          <w:sz w:val="32"/>
          <w:szCs w:val="32"/>
          <w:u w:val="none" w:color="auto"/>
        </w:rPr>
        <w:t xml:space="preserve">    </w:t>
      </w:r>
      <w:r>
        <w:rPr>
          <w:rFonts w:hint="eastAsia" w:ascii="仿宋" w:hAnsi="仿宋" w:eastAsia="仿宋" w:cs="仿宋"/>
          <w:color w:val="000000"/>
          <w:sz w:val="32"/>
          <w:szCs w:val="32"/>
          <w:u w:val="none" w:color="auto"/>
          <w:lang w:val="en-US" w:eastAsia="zh-CN"/>
        </w:rPr>
        <w:t xml:space="preserve">                      </w:t>
      </w:r>
      <w:r>
        <w:rPr>
          <w:rFonts w:hint="eastAsia" w:ascii="仿宋" w:hAnsi="仿宋" w:eastAsia="仿宋" w:cs="仿宋"/>
          <w:b w:val="0"/>
          <w:bCs/>
          <w:color w:val="000000"/>
          <w:sz w:val="32"/>
          <w:szCs w:val="32"/>
          <w:u w:val="none" w:color="auto"/>
          <w:lang w:val="en-US" w:eastAsia="zh-CN"/>
        </w:rPr>
        <w:t xml:space="preserve"> </w:t>
      </w:r>
    </w:p>
    <w:p w14:paraId="3E856413">
      <w:pPr>
        <w:keepNext w:val="0"/>
        <w:keepLines w:val="0"/>
        <w:pageBreakBefore w:val="0"/>
        <w:widowControl/>
        <w:shd w:val="clear" w:color="auto" w:fill="FFFFFF"/>
        <w:kinsoku/>
        <w:wordWrap w:val="0"/>
        <w:overflowPunct/>
        <w:topLinePunct w:val="0"/>
        <w:autoSpaceDE/>
        <w:autoSpaceDN/>
        <w:bidi w:val="0"/>
        <w:adjustRightInd/>
        <w:snapToGrid/>
        <w:spacing w:line="540" w:lineRule="exact"/>
        <w:ind w:left="0" w:leftChars="0" w:firstLine="640" w:firstLineChars="200"/>
        <w:jc w:val="both"/>
        <w:textAlignment w:val="auto"/>
        <w:rPr>
          <w:rFonts w:hint="eastAsia" w:ascii="仿宋" w:hAnsi="仿宋" w:eastAsia="仿宋" w:cs="仿宋"/>
          <w:bCs/>
          <w:kern w:val="2"/>
          <w:sz w:val="32"/>
          <w:szCs w:val="32"/>
          <w:u w:val="none"/>
          <w:lang w:val="en-US" w:eastAsia="zh-CN"/>
        </w:rPr>
      </w:pPr>
      <w:r>
        <w:rPr>
          <w:rFonts w:hint="eastAsia" w:ascii="仿宋" w:hAnsi="仿宋" w:eastAsia="仿宋" w:cs="仿宋"/>
          <w:bCs/>
          <w:color w:val="000000"/>
          <w:kern w:val="2"/>
          <w:sz w:val="32"/>
          <w:szCs w:val="32"/>
          <w:u w:val="none"/>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r>
        <w:rPr>
          <w:rFonts w:hint="eastAsia" w:ascii="仿宋" w:hAnsi="仿宋" w:eastAsia="仿宋" w:cs="仿宋"/>
          <w:bCs/>
          <w:color w:val="000000"/>
          <w:kern w:val="2"/>
          <w:sz w:val="32"/>
          <w:szCs w:val="32"/>
          <w:u w:val="none"/>
          <w:lang w:val="en-US" w:eastAsia="zh-CN"/>
        </w:rPr>
        <w:t xml:space="preserve">                    </w:t>
      </w:r>
    </w:p>
    <w:p w14:paraId="22B1A4D8">
      <w:pPr>
        <w:pStyle w:val="3"/>
        <w:keepNext w:val="0"/>
        <w:keepLines w:val="0"/>
        <w:pageBreakBefore w:val="0"/>
        <w:tabs>
          <w:tab w:val="left" w:pos="8395"/>
        </w:tabs>
        <w:kinsoku/>
        <w:wordWrap w:val="0"/>
        <w:overflowPunct/>
        <w:topLinePunct w:val="0"/>
        <w:bidi w:val="0"/>
        <w:snapToGrid/>
        <w:spacing w:line="540" w:lineRule="exact"/>
        <w:ind w:firstLine="640" w:firstLineChars="200"/>
        <w:jc w:val="both"/>
        <w:textAlignment w:val="auto"/>
        <w:rPr>
          <w:rFonts w:hint="eastAsia" w:ascii="仿宋" w:hAnsi="仿宋" w:eastAsia="仿宋" w:cs="仿宋"/>
          <w:bCs/>
          <w:kern w:val="2"/>
          <w:sz w:val="32"/>
          <w:szCs w:val="32"/>
          <w:u w:val="none"/>
          <w:lang w:val="en-US" w:eastAsia="zh-CN"/>
        </w:rPr>
      </w:pPr>
      <w:r>
        <w:rPr>
          <w:rFonts w:hint="eastAsia" w:ascii="仿宋" w:hAnsi="仿宋" w:eastAsia="仿宋" w:cs="仿宋"/>
          <w:bCs/>
          <w:color w:val="000000"/>
          <w:kern w:val="2"/>
          <w:sz w:val="32"/>
          <w:szCs w:val="32"/>
          <w:u w:val="none"/>
        </w:rPr>
        <w:t xml:space="preserve">根据《中华人民共和国行政处罚法》第七十二条规定，当事人逾期不履行行政处罚决定的，本机关可以采取以下措施：（一）到期不缴纳罚款的，每日按罚款数额的百分之三加处罚款；（二）申请人民法院强制执行。            </w:t>
      </w:r>
      <w:r>
        <w:rPr>
          <w:rFonts w:hint="eastAsia" w:ascii="仿宋" w:hAnsi="仿宋" w:eastAsia="仿宋" w:cs="仿宋"/>
          <w:bCs/>
          <w:color w:val="000000"/>
          <w:kern w:val="2"/>
          <w:sz w:val="32"/>
          <w:szCs w:val="32"/>
          <w:u w:val="none"/>
          <w:lang w:val="en-US" w:eastAsia="zh-CN"/>
        </w:rPr>
        <w:t xml:space="preserve"> </w:t>
      </w:r>
    </w:p>
    <w:p w14:paraId="313CE0CE">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eastAsia" w:ascii="仿宋_GB2312" w:hAnsi="仿宋_GB2312" w:eastAsia="仿宋_GB2312" w:cs="仿宋_GB2312"/>
          <w:b w:val="0"/>
          <w:bCs/>
          <w:color w:val="auto"/>
          <w:kern w:val="2"/>
          <w:sz w:val="32"/>
          <w:szCs w:val="32"/>
          <w:u w:val="single"/>
          <w:lang w:val="en-US" w:eastAsia="zh-CN" w:bidi="ar-SA"/>
        </w:rPr>
      </w:pPr>
      <w:r>
        <w:rPr>
          <w:rFonts w:hint="eastAsia" w:ascii="仿宋" w:hAnsi="仿宋" w:eastAsia="仿宋" w:cs="仿宋"/>
          <w:bCs/>
          <w:color w:val="000000"/>
          <w:kern w:val="2"/>
          <w:sz w:val="32"/>
          <w:szCs w:val="32"/>
          <w:u w:val="none"/>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r>
        <w:rPr>
          <w:rFonts w:hint="eastAsia" w:ascii="仿宋" w:hAnsi="仿宋" w:eastAsia="仿宋" w:cs="仿宋"/>
          <w:bCs/>
          <w:color w:val="000000"/>
          <w:kern w:val="2"/>
          <w:sz w:val="32"/>
          <w:szCs w:val="32"/>
          <w:u w:val="none"/>
          <w:lang w:val="en-US" w:eastAsia="zh-CN"/>
        </w:rPr>
        <w:t xml:space="preserve"> </w:t>
      </w:r>
    </w:p>
    <w:p w14:paraId="2FBC756E">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default" w:ascii="Times New Roman" w:eastAsia="仿宋_GB2312" w:cs="仿宋_GB2312"/>
          <w:b w:val="0"/>
          <w:bCs/>
          <w:color w:val="auto"/>
          <w:u w:val="single"/>
          <w:lang w:val="en-US" w:eastAsia="zh-CN"/>
        </w:rPr>
      </w:pPr>
    </w:p>
    <w:p w14:paraId="19E20075">
      <w:pPr>
        <w:widowControl/>
        <w:snapToGrid w:val="0"/>
        <w:spacing w:line="520" w:lineRule="exact"/>
        <w:jc w:val="left"/>
        <w:rPr>
          <w:rFonts w:ascii="Times New Roman" w:hAnsi="Times New Roman" w:eastAsia="仿宋_GB2312" w:cs="仿宋_GB2312"/>
          <w:color w:val="auto"/>
          <w:sz w:val="32"/>
          <w:szCs w:val="32"/>
        </w:rPr>
      </w:pPr>
    </w:p>
    <w:p w14:paraId="099A277F">
      <w:pPr>
        <w:widowControl/>
        <w:snapToGrid w:val="0"/>
        <w:spacing w:line="520" w:lineRule="exact"/>
        <w:ind w:firstLine="6240" w:firstLineChars="1950"/>
        <w:jc w:val="left"/>
        <w:rPr>
          <w:rFonts w:hint="eastAsia" w:ascii="Times New Roman" w:hAnsi="Times New Roman" w:eastAsia="仿宋_GB2312" w:cs="仿宋_GB2312"/>
          <w:color w:val="auto"/>
          <w:sz w:val="32"/>
          <w:szCs w:val="32"/>
          <w:lang w:val="en-US" w:eastAsia="zh-Hans"/>
        </w:rPr>
      </w:pPr>
    </w:p>
    <w:p w14:paraId="08BB8A5F">
      <w:pPr>
        <w:spacing w:line="560" w:lineRule="exact"/>
        <w:ind w:right="640" w:firstLine="601"/>
        <w:jc w:val="right"/>
        <w:rPr>
          <w:rFonts w:ascii="Times New Roman" w:hAnsi="Times New Roman" w:eastAsia="仿宋_GB2312" w:cs="仿宋"/>
          <w:color w:val="auto"/>
          <w:sz w:val="32"/>
          <w:szCs w:val="32"/>
        </w:rPr>
      </w:pPr>
      <w:bookmarkStart w:id="15" w:name="DYNAMIC—DWXX—tAj_dwmc—2"/>
      <w:r>
        <w:rPr>
          <w:rFonts w:hint="eastAsia" w:ascii="Times New Roman" w:hAnsi="Times New Roman" w:eastAsia="仿宋_GB2312" w:cs="仿宋"/>
          <w:color w:val="000000"/>
          <w:sz w:val="32"/>
          <w:u w:val="none"/>
        </w:rPr>
        <w:t>洛阳市偃师区市场监督管理局</w:t>
      </w:r>
      <w:bookmarkEnd w:id="15"/>
      <w:r>
        <w:rPr>
          <w:rFonts w:hint="eastAsia" w:ascii="Times New Roman" w:hAnsi="Times New Roman" w:eastAsia="仿宋_GB2312" w:cs="仿宋"/>
          <w:color w:val="000000"/>
          <w:sz w:val="32"/>
          <w:szCs w:val="32"/>
          <w:u w:val="none"/>
        </w:rPr>
        <w:t xml:space="preserve">    </w:t>
      </w:r>
    </w:p>
    <w:p w14:paraId="234DF2D6">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hint="eastAsia" w:ascii="仿宋_GB2312" w:hAnsi="Times New Roman" w:eastAsia="仿宋_GB2312" w:cs="仿宋"/>
          <w:color w:val="auto"/>
          <w:sz w:val="32"/>
        </w:rPr>
      </w:pPr>
      <w:r>
        <w:rPr>
          <w:rFonts w:ascii="仿宋_GB2312" w:hAnsi="仿宋_GB2312" w:eastAsia="仿宋_GB2312" w:cs="仿宋_GB2312"/>
          <w:sz w:val="32"/>
        </w:rPr>
        <w:t>2025年06月25日</w:t>
      </w:r>
      <w:bookmarkStart w:id="16" w:name="CALCULATE—TIME—NOW"/>
    </w:p>
    <w:bookmarkEnd w:id="16"/>
    <w:p w14:paraId="03448691">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center"/>
        <w:textAlignment w:val="auto"/>
        <w:outlineLvl w:val="9"/>
        <w:rPr>
          <w:rFonts w:ascii="Times New Roman" w:hAnsi="Times New Roman" w:eastAsia="仿宋_GB2312" w:cs="仿宋_GB2312"/>
          <w:color w:val="auto"/>
          <w:sz w:val="32"/>
          <w:szCs w:val="32"/>
        </w:rPr>
      </w:pPr>
      <w:r>
        <w:rPr>
          <w:rFonts w:hint="eastAsia" w:ascii="Times New Roman" w:hAnsi="Times New Roman" w:eastAsia="仿宋_GB2312" w:cs="仿宋_GB2312"/>
          <w:color w:val="000000"/>
          <w:sz w:val="32"/>
          <w:szCs w:val="32"/>
          <w:u w:val="none"/>
        </w:rPr>
        <w:t xml:space="preserve">  </w:t>
      </w:r>
    </w:p>
    <w:p w14:paraId="47D7E5D2">
      <w:pPr>
        <w:widowControl/>
        <w:snapToGrid w:val="0"/>
        <w:spacing w:line="520" w:lineRule="exact"/>
        <w:jc w:val="right"/>
        <w:rPr>
          <w:rFonts w:ascii="Times New Roman" w:hAnsi="Times New Roman" w:eastAsia="仿宋_GB2312" w:cs="Mongolian Baiti"/>
          <w:color w:val="auto"/>
          <w:sz w:val="32"/>
          <w:szCs w:val="32"/>
        </w:rPr>
      </w:pPr>
    </w:p>
    <w:p w14:paraId="3BF64277">
      <w:pPr>
        <w:pStyle w:val="3"/>
        <w:spacing w:before="1"/>
        <w:ind w:left="163"/>
        <w:rPr>
          <w:rFonts w:ascii="Times New Roman" w:hAnsi="Times New Roman" w:eastAsia="仿宋_GB2312" w:cs="仿宋"/>
          <w:bCs/>
          <w:color w:val="auto"/>
          <w:sz w:val="44"/>
          <w:szCs w:val="44"/>
        </w:rPr>
      </w:pPr>
      <w:r>
        <w:rPr>
          <w:rFonts w:ascii="Times New Roman" w:hAnsi="Times New Roman" w:eastAsia="仿宋_GB2312"/>
          <w:color w:val="000000"/>
          <w:sz w:val="32"/>
          <w:u w:val="none"/>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396875</wp:posOffset>
                </wp:positionV>
                <wp:extent cx="555053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15pt;margin-top:31.25pt;height:0.05pt;width:437.05pt;z-index:251661312;mso-width-relative:page;mso-height-relative:page;" filled="f" stroked="t" coordsize="21600,21600" o:gfxdata="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1F2Z1gAAAAcBAAAPAAAAAAAAAAEAIAAAACIAAABkcnMvZG93bnJldi54bWxQSwECFAAUAAAACACH&#10;TuJAlk3HAe0BAADdAwAADgAAAAAAAAABACAAAAAlAQAAZHJzL2Uyb0RvYy54bWxQSwUGAAAAAAYA&#10;BgBZAQAAhAUAAAAA&#10;">
                <v:fill on="f" focussize="0,0"/>
                <v:stroke weight="1.25pt" color="#000000" joinstyle="round"/>
                <v:imagedata o:title=""/>
                <o:lock v:ext="edit" aspectratio="f"/>
              </v:line>
            </w:pict>
          </mc:Fallback>
        </mc:AlternateContent>
      </w:r>
      <w:r>
        <w:rPr>
          <w:rFonts w:hint="eastAsia" w:ascii="黑体" w:hAnsi="黑体" w:eastAsia="黑体"/>
          <w:color w:val="000000"/>
          <w:spacing w:val="-16"/>
          <w:u w:val="none"/>
        </w:rPr>
        <w:t>（市场监督管理部门将依法向社会公开行政处罚决定信息）</w:t>
      </w:r>
    </w:p>
    <w:p w14:paraId="09E17624">
      <w:pPr>
        <w:spacing w:line="500" w:lineRule="exact"/>
        <w:rPr>
          <w:color w:val="auto"/>
        </w:rPr>
      </w:pP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u w:val="none"/>
        </w:rPr>
        <w:t>本文书一式    份，    份送达，一份归档，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2100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91870D">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91870D">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3A72E89"/>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8F0B22"/>
    <w:rsid w:val="4B923B30"/>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2EC4C13"/>
    <w:rsid w:val="636955DE"/>
    <w:rsid w:val="646E5E05"/>
    <w:rsid w:val="649C73E6"/>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543</Words>
  <Characters>634</Characters>
  <Lines>0</Lines>
  <Paragraphs>0</Paragraphs>
  <TotalTime>0</TotalTime>
  <ScaleCrop>false</ScaleCrop>
  <LinksUpToDate>false</LinksUpToDate>
  <CharactersWithSpaces>846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2025-08-14T09:19:15Z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80B8B3BE216D424CB0C087FC5C0418F4_13</vt:lpwstr>
  </property>
  <property fmtid="{D5CDD505-2E9C-101B-9397-08002B2CF9AE}" pid="4" name="KSOTemplateDocerSaveRecord">
    <vt:lpwstr>eyJoZGlkIjoiOTJkNzdiMWY1ZWU2ZWU3NmE4ZTUxNGRmYWVhMzdjNDQiLCJ1c2VySWQiOiI4ODA3MzMzNDYifQ==</vt:lpwstr>
  </property>
</Properties>
</file>