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6A97A">
      <w:pPr>
        <w:numPr>
          <w:ilvl w:val="0"/>
          <w:numId w:val="2"/>
        </w:numPr>
        <w:spacing w:line="640" w:lineRule="exact"/>
        <w:jc w:val="center"/>
        <w:outlineLvl w:val="0"/>
        <w:rPr>
          <w:rFonts w:hint="eastAsia" w:ascii="黑体" w:hAnsi="黑体" w:eastAsia="黑体" w:cs="方正小标宋简体"/>
          <w:sz w:val="48"/>
          <w:szCs w:val="48"/>
        </w:rPr>
      </w:pPr>
      <w:bookmarkStart w:id="0" w:name="DYNAMIC—DWXX—tAj_dwmc"/>
      <w:r>
        <w:rPr>
          <w:rFonts w:ascii="黑体" w:hAnsi="黑体" w:eastAsia="黑体" w:cs="方正小标宋简体"/>
          <w:sz w:val="48"/>
          <w:szCs w:val="48"/>
        </w:rPr>
        <w:t>洛阳市偃师区市场监督管理局</w:t>
      </w:r>
      <w:bookmarkEnd w:id="0"/>
    </w:p>
    <w:p w14:paraId="7DE08342">
      <w:pPr>
        <w:pStyle w:val="2"/>
        <w:keepNext w:val="0"/>
        <w:numPr>
          <w:ilvl w:val="0"/>
          <w:numId w:val="2"/>
        </w:numPr>
        <w:spacing w:before="0" w:after="0" w:line="640" w:lineRule="exact"/>
        <w:jc w:val="center"/>
        <w:rPr>
          <w:rFonts w:hint="eastAsia" w:ascii="黑体" w:hAnsi="黑体" w:eastAsia="黑体" w:cs="方正小标宋简体"/>
          <w:color w:val="auto"/>
          <w:sz w:val="48"/>
          <w:szCs w:val="48"/>
        </w:rPr>
      </w:pPr>
      <w:bookmarkStart w:id="1" w:name="_Toc76683344"/>
      <w:r>
        <w:rPr>
          <w:rFonts w:hint="eastAsia" w:ascii="黑体" w:hAnsi="黑体" w:eastAsia="黑体" w:cs="方正小标宋简体"/>
          <w:color w:val="auto"/>
          <w:sz w:val="48"/>
          <w:szCs w:val="48"/>
          <w:lang w:val="en-US"/>
        </w:rPr>
        <w:t>行政处罚</w:t>
      </w:r>
      <w:r>
        <w:rPr>
          <w:rFonts w:hint="eastAsia" w:ascii="黑体" w:hAnsi="黑体" w:eastAsia="黑体" w:cs="方正小标宋简体"/>
          <w:color w:val="auto"/>
          <w:sz w:val="48"/>
          <w:szCs w:val="48"/>
          <w:lang w:val="en-US" w:eastAsia="zh-Hans"/>
        </w:rPr>
        <w:t>决定</w:t>
      </w:r>
      <w:r>
        <w:rPr>
          <w:rFonts w:hint="eastAsia" w:ascii="黑体" w:hAnsi="黑体" w:eastAsia="黑体" w:cs="方正小标宋简体"/>
          <w:color w:val="auto"/>
          <w:sz w:val="48"/>
          <w:szCs w:val="48"/>
          <w:lang w:val="en-US"/>
        </w:rPr>
        <w:t>书</w:t>
      </w:r>
      <w:bookmarkEnd w:id="1"/>
    </w:p>
    <w:p w14:paraId="2918884B">
      <w:pPr>
        <w:widowControl/>
        <w:snapToGrid w:val="0"/>
        <w:spacing w:line="556" w:lineRule="exact"/>
        <w:ind w:right="55" w:firstLine="2400" w:firstLineChars="800"/>
        <w:outlineLvl w:val="1"/>
        <w:rPr>
          <w:rFonts w:hint="eastAsia" w:ascii="宋体" w:hAnsi="宋体" w:cs="仿宋_GB2312"/>
          <w:bCs/>
          <w:sz w:val="30"/>
          <w:szCs w:val="30"/>
        </w:rPr>
      </w:pPr>
      <w:bookmarkStart w:id="2" w:name="tAj_wh"/>
      <w:r>
        <w:rPr>
          <w:rFonts w:hint="eastAsia" w:ascii="宋体" w:hAnsi="宋体" w:cs="Mongolian Baiti"/>
          <w:sz w:val="30"/>
          <w:szCs w:val="30"/>
        </w:rPr>
        <w:t>偃市监处罚〔2025〕19号</w:t>
      </w:r>
      <w:bookmarkEnd w:id="2"/>
    </w:p>
    <w:p w14:paraId="1BD8A180">
      <w:pPr>
        <w:tabs>
          <w:tab w:val="left" w:pos="4440"/>
          <w:tab w:val="left" w:pos="8920"/>
        </w:tabs>
        <w:spacing w:line="556" w:lineRule="exact"/>
        <w:ind w:right="118"/>
        <w:rPr>
          <w:rFonts w:hint="eastAsia" w:ascii="仿宋" w:hAnsi="仿宋" w:eastAsia="仿宋" w:cs="仿宋"/>
          <w:color w:val="000000"/>
          <w:sz w:val="32"/>
          <w:szCs w:val="32"/>
        </w:rPr>
      </w:pPr>
    </w:p>
    <w:p w14:paraId="2D316EE7">
      <w:pPr>
        <w:tabs>
          <w:tab w:val="left" w:pos="4440"/>
          <w:tab w:val="left" w:pos="8920"/>
        </w:tabs>
        <w:spacing w:line="556"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当事人：洛阳市偃师区伊洛街道璐仪百货店</w:t>
      </w:r>
    </w:p>
    <w:p w14:paraId="5C785C99">
      <w:pPr>
        <w:tabs>
          <w:tab w:val="left" w:pos="4440"/>
          <w:tab w:val="left" w:pos="8920"/>
        </w:tabs>
        <w:spacing w:line="556"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主体资格证照名称：营业执照</w:t>
      </w:r>
    </w:p>
    <w:p w14:paraId="10853AC4">
      <w:pPr>
        <w:tabs>
          <w:tab w:val="left" w:pos="4440"/>
          <w:tab w:val="left" w:pos="8920"/>
        </w:tabs>
        <w:spacing w:line="556"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统一社会信用代码：92410307MA9LKXMCXL</w:t>
      </w:r>
    </w:p>
    <w:p w14:paraId="622C3B3B">
      <w:pPr>
        <w:tabs>
          <w:tab w:val="left" w:pos="4440"/>
          <w:tab w:val="left" w:pos="8920"/>
        </w:tabs>
        <w:spacing w:line="556" w:lineRule="exact"/>
        <w:ind w:left="1600" w:right="118" w:hanging="1600" w:hangingChars="500"/>
        <w:rPr>
          <w:rFonts w:hint="eastAsia" w:ascii="仿宋" w:hAnsi="仿宋" w:eastAsia="仿宋" w:cs="仿宋"/>
          <w:color w:val="000000"/>
          <w:sz w:val="32"/>
          <w:szCs w:val="32"/>
        </w:rPr>
      </w:pPr>
      <w:r>
        <w:rPr>
          <w:rFonts w:hint="eastAsia" w:ascii="仿宋" w:hAnsi="仿宋" w:eastAsia="仿宋" w:cs="仿宋"/>
          <w:color w:val="000000"/>
          <w:sz w:val="32"/>
          <w:szCs w:val="32"/>
        </w:rPr>
        <w:t>经营场所：洛阳市偃师区伊洛街道橄榄城铂郡8幢112铺</w:t>
      </w:r>
      <w:bookmarkStart w:id="5" w:name="_GoBack"/>
      <w:bookmarkEnd w:id="5"/>
    </w:p>
    <w:p w14:paraId="55E931F4">
      <w:pPr>
        <w:tabs>
          <w:tab w:val="left" w:pos="4440"/>
          <w:tab w:val="left" w:pos="8920"/>
        </w:tabs>
        <w:spacing w:line="556"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经营者：李艳玲</w:t>
      </w:r>
    </w:p>
    <w:p w14:paraId="01D63009">
      <w:pPr>
        <w:spacing w:line="556" w:lineRule="exact"/>
        <w:ind w:firstLine="632" w:firstLineChars="200"/>
        <w:rPr>
          <w:rFonts w:hint="eastAsia" w:ascii="仿宋" w:hAnsi="仿宋" w:eastAsia="仿宋" w:cs="仿宋"/>
          <w:sz w:val="32"/>
          <w:szCs w:val="32"/>
        </w:rPr>
      </w:pPr>
      <w:r>
        <w:rPr>
          <w:rFonts w:hint="eastAsia" w:ascii="仿宋" w:hAnsi="仿宋" w:eastAsia="仿宋" w:cs="仿宋"/>
          <w:spacing w:val="-2"/>
          <w:sz w:val="32"/>
          <w:szCs w:val="32"/>
        </w:rPr>
        <w:t>2024年11月5日，当事人从</w:t>
      </w:r>
      <w:r>
        <w:rPr>
          <w:rFonts w:ascii="仿宋" w:hAnsi="仿宋" w:eastAsia="仿宋" w:cs="仿宋"/>
          <w:color w:val="000000"/>
          <w:sz w:val="32"/>
          <w:szCs w:val="32"/>
        </w:rPr>
        <w:t>偃师</w:t>
      </w:r>
      <w:r>
        <w:rPr>
          <w:rFonts w:hint="eastAsia" w:ascii="仿宋" w:hAnsi="仿宋" w:eastAsia="仿宋" w:cs="仿宋"/>
          <w:color w:val="000000"/>
          <w:sz w:val="32"/>
          <w:szCs w:val="32"/>
        </w:rPr>
        <w:t>市槐新街道办事处文卓蔬菜销售点</w:t>
      </w:r>
      <w:r>
        <w:rPr>
          <w:rFonts w:hint="eastAsia" w:ascii="仿宋" w:hAnsi="仿宋" w:eastAsia="仿宋" w:cs="仿宋"/>
          <w:spacing w:val="-2"/>
          <w:sz w:val="32"/>
          <w:szCs w:val="32"/>
        </w:rPr>
        <w:t>购进青萝卜，当批共采购54.8斤，采购价0.35元/斤，扣除损耗</w:t>
      </w:r>
      <w:r>
        <w:rPr>
          <w:rFonts w:hint="eastAsia" w:ascii="仿宋" w:hAnsi="仿宋" w:eastAsia="仿宋" w:cs="仿宋"/>
          <w:color w:val="000000"/>
          <w:spacing w:val="-2"/>
          <w:sz w:val="32"/>
          <w:szCs w:val="32"/>
        </w:rPr>
        <w:t>全部销售完毕，共销售50斤，售价0.48/斤，货值金额24元。</w:t>
      </w:r>
      <w:r>
        <w:rPr>
          <w:rFonts w:hint="eastAsia" w:ascii="仿宋" w:hAnsi="仿宋" w:eastAsia="仿宋" w:cs="仿宋"/>
          <w:sz w:val="32"/>
          <w:szCs w:val="32"/>
        </w:rPr>
        <w:t>2024年</w:t>
      </w:r>
      <w:r>
        <w:rPr>
          <w:rFonts w:hint="eastAsia" w:ascii="仿宋" w:hAnsi="仿宋" w:eastAsia="仿宋" w:cs="仿宋"/>
          <w:spacing w:val="-2"/>
          <w:sz w:val="32"/>
          <w:szCs w:val="32"/>
        </w:rPr>
        <w:t>洛阳市</w:t>
      </w:r>
      <w:r>
        <w:rPr>
          <w:rFonts w:hint="eastAsia" w:ascii="仿宋" w:hAnsi="仿宋" w:eastAsia="仿宋" w:cs="仿宋"/>
          <w:color w:val="000000"/>
          <w:spacing w:val="-2"/>
          <w:sz w:val="32"/>
          <w:szCs w:val="32"/>
        </w:rPr>
        <w:t>偃师区市场监督管理局组织的食品安全抽样检验</w:t>
      </w:r>
      <w:r>
        <w:rPr>
          <w:rFonts w:hint="eastAsia" w:ascii="仿宋" w:hAnsi="仿宋" w:eastAsia="仿宋" w:cs="仿宋"/>
          <w:sz w:val="32"/>
          <w:szCs w:val="32"/>
        </w:rPr>
        <w:t>中，</w:t>
      </w:r>
      <w:r>
        <w:rPr>
          <w:rFonts w:hint="eastAsia" w:ascii="仿宋" w:hAnsi="仿宋" w:eastAsia="仿宋" w:cs="仿宋"/>
          <w:color w:val="000000"/>
          <w:spacing w:val="-2"/>
          <w:sz w:val="32"/>
          <w:szCs w:val="32"/>
        </w:rPr>
        <w:t>经河南广电计量检测有限公司检测，</w:t>
      </w:r>
      <w:r>
        <w:rPr>
          <w:rFonts w:hint="eastAsia" w:ascii="仿宋" w:hAnsi="仿宋" w:eastAsia="仿宋" w:cs="仿宋"/>
          <w:color w:val="000000"/>
          <w:sz w:val="32"/>
          <w:szCs w:val="32"/>
        </w:rPr>
        <w:t>洛阳市偃师区伊洛街道璐仪百货店的青萝卜</w:t>
      </w:r>
      <w:r>
        <w:rPr>
          <w:rFonts w:hint="eastAsia" w:ascii="仿宋" w:hAnsi="仿宋" w:eastAsia="仿宋" w:cs="仿宋"/>
          <w:color w:val="000000"/>
          <w:spacing w:val="-2"/>
          <w:sz w:val="32"/>
          <w:szCs w:val="32"/>
        </w:rPr>
        <w:t>氯氟氰菊酯和高效氯氟氰菊酯标准指标异构体之和≤0.01，实测值0.044，判定结论为不合格。另，经核实，抽样单上显示的2024年11月13日从红伟鲜菜购进系抽样现场服务员误报</w:t>
      </w:r>
      <w:r>
        <w:rPr>
          <w:rFonts w:hint="eastAsia" w:ascii="仿宋" w:hAnsi="仿宋" w:eastAsia="仿宋" w:cs="仿宋"/>
          <w:sz w:val="32"/>
          <w:szCs w:val="32"/>
        </w:rPr>
        <w:t>。</w:t>
      </w:r>
    </w:p>
    <w:p w14:paraId="10FD7CE6">
      <w:pPr>
        <w:spacing w:line="556" w:lineRule="exact"/>
        <w:ind w:firstLine="645"/>
        <w:rPr>
          <w:rFonts w:hint="eastAsia" w:ascii="仿宋" w:hAnsi="仿宋" w:eastAsia="仿宋" w:cs="仿宋"/>
          <w:spacing w:val="-2"/>
          <w:sz w:val="32"/>
          <w:szCs w:val="32"/>
        </w:rPr>
      </w:pPr>
      <w:r>
        <w:rPr>
          <w:rFonts w:hint="eastAsia" w:ascii="仿宋" w:hAnsi="仿宋" w:eastAsia="仿宋" w:cs="仿宋"/>
          <w:spacing w:val="-2"/>
          <w:sz w:val="32"/>
          <w:szCs w:val="32"/>
        </w:rPr>
        <w:t>上述事实，主要有以下证据证明：</w:t>
      </w:r>
    </w:p>
    <w:p w14:paraId="67AD3CCD">
      <w:pPr>
        <w:spacing w:line="556" w:lineRule="exact"/>
        <w:ind w:firstLine="596" w:firstLineChars="200"/>
        <w:rPr>
          <w:rFonts w:hint="eastAsia" w:ascii="仿宋" w:hAnsi="仿宋" w:eastAsia="仿宋" w:cs="仿宋"/>
          <w:spacing w:val="-2"/>
          <w:sz w:val="32"/>
          <w:szCs w:val="32"/>
        </w:rPr>
      </w:pPr>
      <w:r>
        <w:rPr>
          <w:rFonts w:hint="eastAsia" w:ascii="仿宋" w:hAnsi="仿宋" w:eastAsia="仿宋" w:cs="仿宋"/>
          <w:color w:val="221E1F"/>
          <w:spacing w:val="-11"/>
          <w:sz w:val="32"/>
          <w:szCs w:val="32"/>
        </w:rPr>
        <w:t>1.营业执照、食品经营许可证、身份证复印件，证明当事人主体资格经营情况；</w:t>
      </w:r>
    </w:p>
    <w:p w14:paraId="358F9342">
      <w:pPr>
        <w:spacing w:line="556" w:lineRule="exact"/>
        <w:ind w:firstLine="632" w:firstLineChars="200"/>
        <w:rPr>
          <w:rFonts w:hint="eastAsia" w:ascii="仿宋" w:hAnsi="仿宋" w:eastAsia="仿宋" w:cs="仿宋"/>
          <w:color w:val="000000"/>
          <w:spacing w:val="-24"/>
          <w:sz w:val="32"/>
          <w:szCs w:val="32"/>
        </w:rPr>
      </w:pPr>
      <w:r>
        <w:rPr>
          <w:rFonts w:hint="eastAsia" w:ascii="仿宋" w:hAnsi="仿宋" w:eastAsia="仿宋" w:cs="仿宋"/>
          <w:spacing w:val="-2"/>
          <w:sz w:val="32"/>
          <w:szCs w:val="32"/>
        </w:rPr>
        <w:t>2.</w:t>
      </w:r>
      <w:r>
        <w:rPr>
          <w:rFonts w:hint="eastAsia" w:ascii="仿宋" w:hAnsi="仿宋" w:eastAsia="仿宋" w:cs="仿宋"/>
          <w:color w:val="000000"/>
          <w:spacing w:val="-24"/>
          <w:sz w:val="32"/>
          <w:szCs w:val="32"/>
        </w:rPr>
        <w:t>河南广电计量检测有限公司检验报告（No：</w:t>
      </w:r>
      <w:r>
        <w:rPr>
          <w:rFonts w:ascii="仿宋" w:hAnsi="仿宋" w:eastAsia="仿宋" w:cs="仿宋"/>
          <w:color w:val="000000"/>
          <w:spacing w:val="-24"/>
          <w:sz w:val="32"/>
          <w:szCs w:val="32"/>
        </w:rPr>
        <w:t>FZZ2024</w:t>
      </w:r>
      <w:r>
        <w:rPr>
          <w:rFonts w:hint="eastAsia" w:ascii="仿宋" w:hAnsi="仿宋" w:eastAsia="仿宋" w:cs="仿宋"/>
          <w:color w:val="000000"/>
          <w:spacing w:val="-24"/>
          <w:sz w:val="32"/>
          <w:szCs w:val="32"/>
        </w:rPr>
        <w:t>1130639），</w:t>
      </w:r>
    </w:p>
    <w:p w14:paraId="7C026C9F">
      <w:pPr>
        <w:spacing w:line="556" w:lineRule="exact"/>
        <w:rPr>
          <w:rFonts w:hint="eastAsia" w:ascii="仿宋" w:hAnsi="仿宋" w:eastAsia="仿宋" w:cs="仿宋"/>
          <w:spacing w:val="-2"/>
          <w:sz w:val="32"/>
          <w:szCs w:val="32"/>
        </w:rPr>
      </w:pPr>
      <w:r>
        <w:rPr>
          <w:rFonts w:hint="eastAsia" w:ascii="仿宋" w:hAnsi="仿宋" w:eastAsia="仿宋" w:cs="仿宋"/>
          <w:spacing w:val="-2"/>
          <w:sz w:val="32"/>
          <w:szCs w:val="32"/>
        </w:rPr>
        <w:t>证明当事人经营的青萝卜</w:t>
      </w:r>
      <w:r>
        <w:rPr>
          <w:rFonts w:hint="eastAsia" w:ascii="仿宋" w:hAnsi="仿宋" w:eastAsia="仿宋" w:cs="仿宋"/>
          <w:color w:val="000000"/>
          <w:spacing w:val="-2"/>
          <w:sz w:val="32"/>
          <w:szCs w:val="32"/>
        </w:rPr>
        <w:t>氯氟氰菊酯和高效氯氟氰菊酯项目</w:t>
      </w:r>
      <w:r>
        <w:rPr>
          <w:rFonts w:hint="eastAsia" w:ascii="仿宋" w:hAnsi="仿宋" w:eastAsia="仿宋" w:cs="仿宋"/>
          <w:spacing w:val="-2"/>
          <w:sz w:val="32"/>
          <w:szCs w:val="32"/>
        </w:rPr>
        <w:t xml:space="preserve">不合格。                        </w:t>
      </w:r>
    </w:p>
    <w:p w14:paraId="040DFC09">
      <w:pPr>
        <w:spacing w:line="556"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3.现场检查笔录、询问笔录、销货清单，证明当事人经营不合格青萝卜的事实及获利情况。</w:t>
      </w:r>
    </w:p>
    <w:p w14:paraId="278AAAE1">
      <w:pPr>
        <w:pStyle w:val="3"/>
        <w:autoSpaceDN/>
        <w:adjustRightInd/>
        <w:spacing w:line="556" w:lineRule="exact"/>
        <w:ind w:firstLine="632" w:firstLineChars="200"/>
        <w:jc w:val="both"/>
        <w:rPr>
          <w:rFonts w:hint="eastAsia" w:ascii="仿宋" w:hAnsi="仿宋" w:eastAsia="仿宋" w:cs="仿宋"/>
          <w:spacing w:val="-2"/>
        </w:rPr>
      </w:pPr>
      <w:r>
        <w:rPr>
          <w:rFonts w:hint="eastAsia" w:ascii="仿宋" w:hAnsi="仿宋" w:eastAsia="仿宋" w:cs="仿宋"/>
          <w:spacing w:val="-2"/>
        </w:rPr>
        <w:t>4.供货商的营业执照、检测单、召回公告及照片、整改报告，证明当事人积极配合调查，并主动提供证据材料。</w:t>
      </w:r>
    </w:p>
    <w:p w14:paraId="0DCA49C4">
      <w:pPr>
        <w:pStyle w:val="3"/>
        <w:autoSpaceDN/>
        <w:adjustRightInd/>
        <w:spacing w:line="556" w:lineRule="exact"/>
        <w:ind w:firstLine="640" w:firstLineChars="200"/>
        <w:jc w:val="both"/>
        <w:rPr>
          <w:rFonts w:hint="eastAsia" w:ascii="仿宋" w:hAnsi="仿宋" w:eastAsia="仿宋" w:cs="仿宋"/>
        </w:rPr>
      </w:pPr>
      <w:r>
        <w:rPr>
          <w:rFonts w:hint="eastAsia" w:ascii="仿宋" w:hAnsi="仿宋" w:eastAsia="仿宋" w:cs="仿宋"/>
          <w:color w:val="231F20"/>
        </w:rPr>
        <w:t>2025年2月21日，</w:t>
      </w:r>
      <w:r>
        <w:rPr>
          <w:rFonts w:hint="eastAsia" w:ascii="仿宋" w:hAnsi="仿宋" w:eastAsia="仿宋" w:cs="仿宋"/>
        </w:rPr>
        <w:t>我局依法向</w:t>
      </w:r>
      <w:r>
        <w:rPr>
          <w:rFonts w:hint="eastAsia" w:ascii="仿宋" w:hAnsi="仿宋" w:eastAsia="仿宋" w:cs="仿宋"/>
          <w:color w:val="000000"/>
        </w:rPr>
        <w:t>当事人</w:t>
      </w:r>
      <w:r>
        <w:rPr>
          <w:rFonts w:hint="eastAsia" w:ascii="仿宋" w:hAnsi="仿宋" w:eastAsia="仿宋" w:cs="仿宋"/>
        </w:rPr>
        <w:t>送达了《行政处罚告知书》（偃市监罚告〔2025〕13号），告知当事人我局拟作出行政处罚决定的事实、理由、依据、内容及当事人依法享有的陈述权、申辩权。当事人在法定期限内未行使陈述、申辩权。</w:t>
      </w:r>
    </w:p>
    <w:p w14:paraId="247C9762">
      <w:pPr>
        <w:spacing w:line="556" w:lineRule="exact"/>
        <w:ind w:firstLine="640" w:firstLineChars="200"/>
        <w:rPr>
          <w:rFonts w:hint="eastAsia" w:ascii="仿宋" w:hAnsi="仿宋" w:eastAsia="仿宋" w:cs="仿宋"/>
          <w:spacing w:val="-2"/>
          <w:sz w:val="32"/>
          <w:szCs w:val="32"/>
        </w:rPr>
      </w:pPr>
      <w:r>
        <w:rPr>
          <w:rFonts w:hint="eastAsia" w:ascii="仿宋" w:hAnsi="仿宋" w:eastAsia="仿宋" w:cs="仿宋"/>
          <w:color w:val="333333"/>
          <w:sz w:val="32"/>
          <w:szCs w:val="32"/>
        </w:rPr>
        <w:t>当事人的行为违反了</w:t>
      </w:r>
      <w:r>
        <w:rPr>
          <w:rFonts w:hint="eastAsia" w:ascii="仿宋" w:hAnsi="仿宋" w:eastAsia="仿宋" w:cs="仿宋"/>
          <w:spacing w:val="-2"/>
          <w:sz w:val="32"/>
          <w:szCs w:val="32"/>
        </w:rPr>
        <w:t>《中华人民共和国食品安全法》第三十四条</w:t>
      </w:r>
      <w:r>
        <w:rPr>
          <w:rFonts w:hint="eastAsia" w:ascii="仿宋" w:hAnsi="仿宋" w:eastAsia="仿宋" w:cs="仿宋"/>
          <w:bCs/>
          <w:spacing w:val="-2"/>
          <w:sz w:val="32"/>
          <w:szCs w:val="32"/>
        </w:rPr>
        <w:t>“禁止生产经营下列食品、食品添加剂、食品相关产品：（二）致病性微生物，农药残留、兽药残留、生物毒素、重金属等污染物质以及其他危害人体健康的物质含量超过食品安全标准限量的食品、食品添加剂、食品相关产品；”</w:t>
      </w:r>
      <w:r>
        <w:rPr>
          <w:rFonts w:hint="eastAsia" w:ascii="仿宋" w:hAnsi="仿宋" w:eastAsia="仿宋" w:cs="仿宋"/>
          <w:color w:val="333333"/>
          <w:sz w:val="32"/>
          <w:szCs w:val="32"/>
        </w:rPr>
        <w:t>的规定，</w:t>
      </w:r>
      <w:r>
        <w:rPr>
          <w:rFonts w:hint="eastAsia" w:ascii="仿宋" w:hAnsi="仿宋" w:eastAsia="仿宋" w:cs="仿宋"/>
          <w:spacing w:val="-2"/>
          <w:sz w:val="32"/>
          <w:szCs w:val="32"/>
        </w:rPr>
        <w:t>其行为属于经营不合格食品的行为。</w:t>
      </w:r>
      <w:r>
        <w:rPr>
          <w:rFonts w:hint="eastAsia" w:ascii="仿宋" w:hAnsi="仿宋" w:eastAsia="仿宋" w:cs="仿宋"/>
          <w:sz w:val="32"/>
          <w:szCs w:val="32"/>
        </w:rPr>
        <w:t>因当事人能积极配合调查，如实陈述违法事实并主动提供证据材料，</w:t>
      </w:r>
      <w:r>
        <w:rPr>
          <w:rFonts w:hint="eastAsia" w:ascii="仿宋" w:hAnsi="仿宋" w:eastAsia="仿宋" w:cs="仿宋"/>
          <w:bCs/>
          <w:sz w:val="32"/>
          <w:szCs w:val="32"/>
        </w:rPr>
        <w:t>参照《河南省市场监督管理行政处罚裁量权适用通则》第十条“有下列情形之一的，可以依法从轻或者减轻行政处罚：（二）积极配合市场监管部门调查，并主动提供证据材料的；”的规定，根据其违法的事实、性质、情节及危害后果，可以依法对其减轻行政处罚。</w:t>
      </w:r>
    </w:p>
    <w:p w14:paraId="5AC84066">
      <w:pPr>
        <w:pStyle w:val="3"/>
        <w:autoSpaceDN/>
        <w:adjustRightInd/>
        <w:spacing w:line="556" w:lineRule="exact"/>
        <w:ind w:firstLine="632" w:firstLineChars="200"/>
        <w:jc w:val="both"/>
        <w:rPr>
          <w:rFonts w:hint="eastAsia" w:ascii="仿宋" w:hAnsi="仿宋" w:eastAsia="仿宋" w:cs="仿宋"/>
          <w:color w:val="333333"/>
        </w:rPr>
      </w:pPr>
      <w:r>
        <w:rPr>
          <w:rFonts w:hint="eastAsia" w:ascii="仿宋" w:hAnsi="仿宋" w:eastAsia="仿宋" w:cs="仿宋"/>
          <w:bCs/>
          <w:spacing w:val="-2"/>
        </w:rPr>
        <w:t>依据《中华人民共和国食品安全法》</w:t>
      </w:r>
      <w:r>
        <w:rPr>
          <w:rFonts w:hint="eastAsia" w:ascii="仿宋" w:hAnsi="仿宋" w:eastAsia="仿宋" w:cs="仿宋"/>
        </w:rPr>
        <w:t>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w:t>
      </w:r>
      <w:r>
        <w:rPr>
          <w:rFonts w:hint="eastAsia" w:ascii="仿宋" w:hAnsi="仿宋" w:eastAsia="仿宋" w:cs="仿宋"/>
          <w:color w:val="3E3E3E"/>
        </w:rPr>
        <w:t>之规定和</w:t>
      </w:r>
      <w:r>
        <w:rPr>
          <w:rFonts w:hint="eastAsia" w:ascii="仿宋" w:hAnsi="仿宋" w:eastAsia="仿宋" w:cs="仿宋"/>
          <w:color w:val="000000"/>
          <w:spacing w:val="-2"/>
        </w:rPr>
        <w:t>《中华人民共和国行政处罚法》第二十八条“</w:t>
      </w:r>
      <w:r>
        <w:rPr>
          <w:rFonts w:hint="eastAsia" w:ascii="仿宋" w:hAnsi="仿宋" w:eastAsia="仿宋" w:cs="仿宋"/>
          <w:color w:val="333333"/>
        </w:rPr>
        <w:t>行政机关实施行政处罚时，应当责令当事人改正或者限期改正违法行为”之规定，参照《河南省市场监督管理行政处罚裁量权裁量基准》8.1.5“依据《食品安全法》第一百二十四条实施的行政处罚“备注 1.货值金额不足一万元，且具有《通则》规定的减轻处罚情节的，可以处以货值金额 10倍以下且不超过5万元的罚款；”之规定，决定责令</w:t>
      </w:r>
      <w:r>
        <w:rPr>
          <w:rFonts w:hint="eastAsia" w:ascii="仿宋" w:hAnsi="仿宋" w:eastAsia="仿宋" w:cs="仿宋"/>
          <w:color w:val="000000"/>
        </w:rPr>
        <w:t>洛阳市偃师区伊洛街道璐仪百货店</w:t>
      </w:r>
      <w:r>
        <w:rPr>
          <w:rFonts w:hint="eastAsia" w:ascii="仿宋" w:hAnsi="仿宋" w:eastAsia="仿宋" w:cs="仿宋"/>
          <w:color w:val="333333"/>
        </w:rPr>
        <w:t>改正违法行为，处罚如下：1.没收违法所得24元；2.罚款200元。以上合计罚、没款224元。</w:t>
      </w:r>
    </w:p>
    <w:p w14:paraId="4F5B72EE">
      <w:pPr>
        <w:pStyle w:val="3"/>
        <w:autoSpaceDN/>
        <w:adjustRightInd/>
        <w:spacing w:line="556" w:lineRule="exact"/>
        <w:ind w:firstLine="640" w:firstLineChars="200"/>
        <w:jc w:val="both"/>
        <w:rPr>
          <w:rFonts w:hint="eastAsia" w:ascii="仿宋" w:hAnsi="仿宋" w:eastAsia="仿宋" w:cs="仿宋"/>
          <w:color w:val="333333"/>
        </w:rPr>
      </w:pPr>
      <w:r>
        <w:rPr>
          <w:rFonts w:hint="eastAsia" w:ascii="仿宋" w:hAnsi="仿宋" w:eastAsia="仿宋" w:cs="仿宋"/>
          <w:color w:val="333333"/>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14:paraId="0254E131">
      <w:pPr>
        <w:spacing w:line="55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14:paraId="0D4FC848">
      <w:pPr>
        <w:pStyle w:val="3"/>
        <w:tabs>
          <w:tab w:val="left" w:pos="8395"/>
        </w:tabs>
        <w:spacing w:line="556" w:lineRule="exact"/>
        <w:ind w:firstLine="640" w:firstLineChars="200"/>
        <w:jc w:val="both"/>
        <w:rPr>
          <w:rFonts w:hint="eastAsia" w:ascii="仿宋" w:hAnsi="仿宋" w:eastAsia="仿宋" w:cs="仿宋"/>
        </w:rPr>
      </w:pPr>
      <w:r>
        <w:rPr>
          <w:rFonts w:hint="eastAsia" w:ascii="仿宋" w:hAnsi="仿宋" w:eastAsia="仿宋" w:cs="仿宋"/>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48C31D78">
      <w:pPr>
        <w:pStyle w:val="3"/>
        <w:tabs>
          <w:tab w:val="left" w:pos="8395"/>
        </w:tabs>
        <w:spacing w:line="556" w:lineRule="exact"/>
        <w:ind w:firstLine="640" w:firstLineChars="200"/>
        <w:jc w:val="both"/>
        <w:rPr>
          <w:rFonts w:hint="eastAsia" w:ascii="仿宋" w:hAnsi="仿宋" w:eastAsia="仿宋" w:cs="仿宋"/>
        </w:rPr>
      </w:pPr>
    </w:p>
    <w:p w14:paraId="004E4E9E">
      <w:pPr>
        <w:widowControl/>
        <w:snapToGrid w:val="0"/>
        <w:spacing w:line="556" w:lineRule="exact"/>
        <w:rPr>
          <w:rFonts w:hint="eastAsia" w:ascii="仿宋" w:hAnsi="仿宋" w:eastAsia="仿宋" w:cs="仿宋_GB2312"/>
          <w:sz w:val="32"/>
          <w:szCs w:val="32"/>
        </w:rPr>
      </w:pPr>
    </w:p>
    <w:p w14:paraId="572AB945">
      <w:pPr>
        <w:widowControl/>
        <w:snapToGrid w:val="0"/>
        <w:spacing w:line="556" w:lineRule="exact"/>
        <w:ind w:firstLine="6240" w:firstLineChars="1950"/>
        <w:rPr>
          <w:rFonts w:hint="eastAsia" w:ascii="仿宋" w:hAnsi="仿宋" w:eastAsia="仿宋" w:cs="仿宋_GB2312"/>
          <w:sz w:val="32"/>
          <w:szCs w:val="32"/>
          <w:lang w:eastAsia="zh-Hans"/>
        </w:rPr>
      </w:pPr>
    </w:p>
    <w:p w14:paraId="1D127CEA">
      <w:pPr>
        <w:spacing w:line="556" w:lineRule="exact"/>
        <w:ind w:right="640" w:firstLine="2560" w:firstLineChars="800"/>
        <w:rPr>
          <w:rFonts w:hint="eastAsia" w:ascii="仿宋" w:hAnsi="仿宋" w:eastAsia="仿宋" w:cs="仿宋"/>
          <w:sz w:val="32"/>
          <w:szCs w:val="32"/>
        </w:rPr>
      </w:pPr>
      <w:bookmarkStart w:id="3" w:name="DYNAMIC—DWXX—tAj_dwmc—2"/>
      <w:r>
        <w:rPr>
          <w:rFonts w:hint="eastAsia" w:ascii="仿宋" w:hAnsi="仿宋" w:eastAsia="仿宋" w:cs="仿宋"/>
          <w:sz w:val="32"/>
        </w:rPr>
        <w:t>洛阳市偃师区市场监督管理局</w:t>
      </w:r>
      <w:bookmarkEnd w:id="3"/>
      <w:r>
        <w:rPr>
          <w:rFonts w:hint="eastAsia" w:ascii="仿宋" w:hAnsi="仿宋" w:eastAsia="仿宋" w:cs="仿宋"/>
          <w:sz w:val="32"/>
          <w:szCs w:val="32"/>
        </w:rPr>
        <w:t xml:space="preserve">    </w:t>
      </w:r>
    </w:p>
    <w:p w14:paraId="694ECDA2">
      <w:pPr>
        <w:spacing w:line="556" w:lineRule="exact"/>
        <w:ind w:right="640" w:firstLine="601"/>
        <w:outlineLvl w:val="1"/>
        <w:rPr>
          <w:rFonts w:hint="eastAsia" w:ascii="仿宋" w:hAnsi="仿宋" w:eastAsia="仿宋" w:cs="仿宋"/>
          <w:sz w:val="32"/>
          <w:szCs w:val="32"/>
        </w:rPr>
      </w:pPr>
    </w:p>
    <w:p w14:paraId="0F33BBA3">
      <w:pPr>
        <w:spacing w:line="556" w:lineRule="exact"/>
        <w:ind w:right="630" w:rightChars="300" w:firstLine="3200" w:firstLineChars="1000"/>
        <w:rPr>
          <w:rFonts w:hint="eastAsia" w:ascii="仿宋" w:hAnsi="仿宋" w:eastAsia="仿宋" w:cs="仿宋_GB2312"/>
          <w:sz w:val="32"/>
          <w:szCs w:val="32"/>
        </w:rPr>
      </w:pPr>
      <w:bookmarkStart w:id="4" w:name="CALCULATE—TIME—NOW"/>
      <w:r>
        <w:rPr>
          <w:rFonts w:hint="eastAsia" w:ascii="仿宋" w:hAnsi="仿宋" w:eastAsia="仿宋" w:cs="仿宋"/>
          <w:sz w:val="32"/>
        </w:rPr>
        <w:t>2025年3月3日</w:t>
      </w:r>
      <w:bookmarkEnd w:id="4"/>
      <w:r>
        <w:rPr>
          <w:rFonts w:hint="eastAsia" w:ascii="仿宋" w:hAnsi="仿宋" w:eastAsia="仿宋" w:cs="仿宋_GB2312"/>
          <w:sz w:val="32"/>
          <w:szCs w:val="32"/>
        </w:rPr>
        <w:t xml:space="preserve">  </w:t>
      </w:r>
    </w:p>
    <w:p w14:paraId="4EB21263">
      <w:pPr>
        <w:widowControl/>
        <w:snapToGrid w:val="0"/>
        <w:spacing w:line="556" w:lineRule="exact"/>
        <w:rPr>
          <w:rFonts w:ascii="Times New Roman" w:hAnsi="Times New Roman" w:eastAsia="仿宋_GB2312" w:cs="Mongolian Baiti"/>
          <w:sz w:val="32"/>
          <w:szCs w:val="32"/>
        </w:rPr>
      </w:pPr>
    </w:p>
    <w:p w14:paraId="20784652">
      <w:pPr>
        <w:pStyle w:val="3"/>
        <w:spacing w:before="1"/>
        <w:ind w:left="163"/>
        <w:rPr>
          <w:rFonts w:ascii="Times New Roman" w:eastAsia="仿宋_GB2312" w:cs="仿宋"/>
          <w:bCs/>
          <w:sz w:val="44"/>
          <w:szCs w:val="44"/>
        </w:rPr>
      </w:pPr>
      <w:r>
        <w:rPr>
          <w:rFonts w:ascii="Times New Roman" w:eastAsia="仿宋_GB2312"/>
        </w:rPr>
        <mc:AlternateContent>
          <mc:Choice Requires="wps">
            <w:drawing>
              <wp:anchor distT="0" distB="0" distL="114300" distR="114300" simplePos="0" relativeHeight="251661312" behindDoc="0" locked="0" layoutInCell="1" allowOverlap="1">
                <wp:simplePos x="0" y="0"/>
                <wp:positionH relativeFrom="column">
                  <wp:posOffset>30480</wp:posOffset>
                </wp:positionH>
                <wp:positionV relativeFrom="paragraph">
                  <wp:posOffset>393700</wp:posOffset>
                </wp:positionV>
                <wp:extent cx="5273040" cy="635"/>
                <wp:effectExtent l="0" t="0" r="22860" b="37465"/>
                <wp:wrapNone/>
                <wp:docPr id="14" name="直接连接符 14"/>
                <wp:cNvGraphicFramePr/>
                <a:graphic xmlns:a="http://schemas.openxmlformats.org/drawingml/2006/main">
                  <a:graphicData uri="http://schemas.microsoft.com/office/word/2010/wordprocessingShape">
                    <wps:wsp>
                      <wps:cNvCnPr/>
                      <wps:spPr>
                        <a:xfrm>
                          <a:off x="0" y="0"/>
                          <a:ext cx="5273040"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4pt;margin-top:31pt;height:0.05pt;width:415.2pt;z-index:251661312;mso-width-relative:page;mso-height-relative:page;" filled="f" stroked="t" coordsize="21600,21600" o:gfxdata="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0gPFr1wAAAAcBAAAPAAAAAAAAAAEAIAAAACIAAABkcnMvZG93bnJldi54bWxQSwECFAAUAAAA&#10;CACHTuJA3YW0Me8BAADdAwAADgAAAAAAAAABACAAAAAmAQAAZHJzL2Uyb0RvYy54bWxQSwUGAAAA&#10;AAYABgBZAQAAhwUAAAAA&#10;">
                <v:fill on="f" focussize="0,0"/>
                <v:stroke weight="1.25pt" color="#000000" joinstyle="round"/>
                <v:imagedata o:title=""/>
                <o:lock v:ext="edit" aspectratio="f"/>
              </v:line>
            </w:pict>
          </mc:Fallback>
        </mc:AlternateContent>
      </w:r>
      <w:r>
        <w:rPr>
          <w:rFonts w:hint="eastAsia" w:ascii="黑体" w:hAnsi="黑体" w:eastAsia="黑体"/>
          <w:spacing w:val="-16"/>
        </w:rPr>
        <w:t>（市场监督管理部门将依法向社会公开行政处罚决定信息）</w:t>
      </w:r>
    </w:p>
    <w:p w14:paraId="412E6FE9">
      <w:pPr>
        <w:spacing w:line="500" w:lineRule="exact"/>
      </w:pPr>
      <w:r>
        <w:rPr>
          <w:rFonts w:ascii="Times New Roman" w:hAnsi="Times New Roman" w:eastAsia="仿宋_GB2312" w:cs="仿宋"/>
          <w:bCs/>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sz w:val="32"/>
          <w:szCs w:val="32"/>
        </w:rPr>
        <w:t>本文书一式</w:t>
      </w:r>
      <w:r>
        <w:rPr>
          <w:rFonts w:hint="eastAsia" w:ascii="Times New Roman" w:hAnsi="Times New Roman" w:eastAsia="仿宋_GB2312" w:cs="仿宋"/>
          <w:sz w:val="32"/>
          <w:szCs w:val="32"/>
          <w:u w:val="single"/>
        </w:rPr>
        <w:t>三</w:t>
      </w:r>
      <w:r>
        <w:rPr>
          <w:rFonts w:hint="eastAsia" w:ascii="Times New Roman" w:hAnsi="Times New Roman" w:eastAsia="仿宋_GB2312" w:cs="仿宋"/>
          <w:sz w:val="32"/>
          <w:szCs w:val="32"/>
        </w:rPr>
        <w:t>份，</w:t>
      </w:r>
      <w:r>
        <w:rPr>
          <w:rFonts w:hint="eastAsia" w:ascii="Times New Roman" w:hAnsi="Times New Roman" w:eastAsia="仿宋_GB2312" w:cs="仿宋"/>
          <w:sz w:val="32"/>
          <w:szCs w:val="32"/>
          <w:u w:val="single"/>
        </w:rPr>
        <w:t>一</w:t>
      </w:r>
      <w:r>
        <w:rPr>
          <w:rFonts w:hint="eastAsia" w:ascii="Times New Roman" w:hAnsi="Times New Roman" w:eastAsia="仿宋_GB2312" w:cs="仿宋"/>
          <w:sz w:val="32"/>
          <w:szCs w:val="32"/>
        </w:rPr>
        <w:t>份送达，一份归档，</w:t>
      </w:r>
      <w:r>
        <w:rPr>
          <w:rFonts w:hint="eastAsia" w:ascii="Times New Roman" w:hAnsi="Times New Roman" w:eastAsia="仿宋_GB2312" w:cs="仿宋"/>
          <w:sz w:val="32"/>
          <w:szCs w:val="32"/>
          <w:u w:val="single"/>
        </w:rPr>
        <w:t>一份办案机构留存</w:t>
      </w:r>
      <w:r>
        <w:rPr>
          <w:rFonts w:hint="eastAsia" w:ascii="Times New Roman" w:hAnsi="Times New Roman" w:eastAsia="仿宋_GB2312" w:cs="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256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5503FA">
                          <w:pPr>
                            <w:pStyle w:val="4"/>
                            <w:rPr>
                              <w:rFonts w:hint="eastAsia" w:ascii="宋体" w:hAnsi="宋体" w:cs="宋体"/>
                              <w:sz w:val="28"/>
                              <w:szCs w:val="28"/>
                            </w:rPr>
                          </w:pPr>
                          <w:r>
                            <w:rPr>
                              <w:rFonts w:hint="eastAsia" w:ascii="宋体" w:hAnsi="宋体" w:cs="宋体"/>
                              <w:sz w:val="28"/>
                              <w:szCs w:val="28"/>
                            </w:rPr>
                            <w:t xml:space="preserve">第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页 共 </w:t>
                          </w:r>
                          <w:r>
                            <w:rPr>
                              <w:rFonts w:hint="eastAsia" w:ascii="宋体" w:hAnsi="宋体" w:cs="宋体"/>
                              <w:sz w:val="28"/>
                              <w:szCs w:val="28"/>
                            </w:rPr>
                            <w:fldChar w:fldCharType="begin"/>
                          </w:r>
                          <w:r>
                            <w:rPr>
                              <w:rFonts w:hint="eastAsia" w:ascii="宋体" w:hAnsi="宋体" w:cs="宋体"/>
                              <w:sz w:val="28"/>
                              <w:szCs w:val="28"/>
                            </w:rPr>
                            <w:instrText xml:space="preserve"> NUMPAGES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5503FA">
                    <w:pPr>
                      <w:pStyle w:val="4"/>
                      <w:rPr>
                        <w:rFonts w:hint="eastAsia" w:ascii="宋体" w:hAnsi="宋体" w:cs="宋体"/>
                        <w:sz w:val="28"/>
                        <w:szCs w:val="28"/>
                      </w:rPr>
                    </w:pPr>
                    <w:r>
                      <w:rPr>
                        <w:rFonts w:hint="eastAsia" w:ascii="宋体" w:hAnsi="宋体" w:cs="宋体"/>
                        <w:sz w:val="28"/>
                        <w:szCs w:val="28"/>
                      </w:rPr>
                      <w:t xml:space="preserve">第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页 共 </w:t>
                    </w:r>
                    <w:r>
                      <w:rPr>
                        <w:rFonts w:hint="eastAsia" w:ascii="宋体" w:hAnsi="宋体" w:cs="宋体"/>
                        <w:sz w:val="28"/>
                        <w:szCs w:val="28"/>
                      </w:rPr>
                      <w:fldChar w:fldCharType="begin"/>
                    </w:r>
                    <w:r>
                      <w:rPr>
                        <w:rFonts w:hint="eastAsia" w:ascii="宋体" w:hAnsi="宋体" w:cs="宋体"/>
                        <w:sz w:val="28"/>
                        <w:szCs w:val="28"/>
                      </w:rPr>
                      <w:instrText xml:space="preserve"> NUMPAGES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36AF4"/>
    <w:rsid w:val="00193C35"/>
    <w:rsid w:val="0032134F"/>
    <w:rsid w:val="00557A24"/>
    <w:rsid w:val="005C3DFA"/>
    <w:rsid w:val="0075014F"/>
    <w:rsid w:val="007C0C7A"/>
    <w:rsid w:val="007D6C68"/>
    <w:rsid w:val="00B65F80"/>
    <w:rsid w:val="00BC0F57"/>
    <w:rsid w:val="00D83DAF"/>
    <w:rsid w:val="00D90AC3"/>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D73314B"/>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BC078F7"/>
    <w:rsid w:val="1C7339BB"/>
    <w:rsid w:val="1C7A5BA8"/>
    <w:rsid w:val="1DD83E28"/>
    <w:rsid w:val="1E664711"/>
    <w:rsid w:val="1EC222D9"/>
    <w:rsid w:val="1F2B5D07"/>
    <w:rsid w:val="1F747227"/>
    <w:rsid w:val="1FC004DE"/>
    <w:rsid w:val="1FD31F15"/>
    <w:rsid w:val="212E3259"/>
    <w:rsid w:val="22287087"/>
    <w:rsid w:val="237778B4"/>
    <w:rsid w:val="23F5677C"/>
    <w:rsid w:val="24626694"/>
    <w:rsid w:val="258D6CE0"/>
    <w:rsid w:val="26D3488A"/>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93E0C76"/>
    <w:rsid w:val="3A4E178D"/>
    <w:rsid w:val="3BF97ECA"/>
    <w:rsid w:val="3C2965F0"/>
    <w:rsid w:val="3D6B1177"/>
    <w:rsid w:val="3E5F4AE1"/>
    <w:rsid w:val="3E853745"/>
    <w:rsid w:val="3F2604DF"/>
    <w:rsid w:val="3F6783E4"/>
    <w:rsid w:val="3F842066"/>
    <w:rsid w:val="3FFF82D4"/>
    <w:rsid w:val="402E7C06"/>
    <w:rsid w:val="40FE5F8F"/>
    <w:rsid w:val="41282D76"/>
    <w:rsid w:val="425049CE"/>
    <w:rsid w:val="42AA2BB1"/>
    <w:rsid w:val="442B16EC"/>
    <w:rsid w:val="458F64B9"/>
    <w:rsid w:val="45C51FFB"/>
    <w:rsid w:val="46157ACD"/>
    <w:rsid w:val="47243FC5"/>
    <w:rsid w:val="48C10000"/>
    <w:rsid w:val="4A555101"/>
    <w:rsid w:val="4A9647C8"/>
    <w:rsid w:val="4ADF49AE"/>
    <w:rsid w:val="4B8F0B22"/>
    <w:rsid w:val="4C02380F"/>
    <w:rsid w:val="4C7C04B3"/>
    <w:rsid w:val="4C9A4371"/>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0F2511B"/>
    <w:rsid w:val="612E7E8C"/>
    <w:rsid w:val="617678F3"/>
    <w:rsid w:val="61DC2B1A"/>
    <w:rsid w:val="636955DE"/>
    <w:rsid w:val="646E5E05"/>
    <w:rsid w:val="64E43803"/>
    <w:rsid w:val="656D39CA"/>
    <w:rsid w:val="657F58CB"/>
    <w:rsid w:val="65806194"/>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8A3819"/>
    <w:rsid w:val="7AFB4DD2"/>
    <w:rsid w:val="7B0F2D4E"/>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1978</Words>
  <Characters>2240</Characters>
  <Lines>16</Lines>
  <Paragraphs>4</Paragraphs>
  <TotalTime>2</TotalTime>
  <ScaleCrop>false</ScaleCrop>
  <LinksUpToDate>false</LinksUpToDate>
  <CharactersWithSpaces>2284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2025-02-24T03:18:00Z</dcterms:created>
  <dc:creator>胖林宝宝噜啦噜～</dc:creator>
  <cp:lastModifiedBy>王建清</cp:lastModifiedBy>
  <dcterms:modified xsi:type="dcterms:W3CDTF">2025-08-19T07:09:15Z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E83FC044DEE84A72BC0BF5A5946019AA_13</vt:lpwstr>
  </property>
  <property fmtid="{D5CDD505-2E9C-101B-9397-08002B2CF9AE}" pid="4" name="KSOTemplateDocerSaveRecord">
    <vt:lpwstr>eyJoZGlkIjoiOTJkNzdiMWY1ZWU2ZWU3NmE4ZTUxNGRmYWVhMzdjNDQiLCJ1c2VySWQiOiI4ODA3MzMzNDYifQ==</vt:lpwstr>
  </property>
</Properties>
</file>