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46278">
      <w:pPr>
        <w:spacing w:line="560" w:lineRule="exact"/>
        <w:ind w:firstLine="960" w:firstLineChars="200"/>
        <w:jc w:val="left"/>
        <w:rPr>
          <w:rFonts w:ascii="黑体" w:hAnsi="黑体" w:eastAsia="黑体"/>
          <w:sz w:val="48"/>
          <w:szCs w:val="48"/>
        </w:rPr>
      </w:pPr>
      <w:r>
        <w:rPr>
          <w:rFonts w:hint="eastAsia" w:ascii="黑体" w:hAnsi="黑体" w:eastAsia="黑体"/>
          <w:sz w:val="48"/>
          <w:szCs w:val="48"/>
        </w:rPr>
        <w:t>洛阳市偃师区市场监督管理局</w:t>
      </w:r>
    </w:p>
    <w:p w14:paraId="7FFEFA82">
      <w:pPr>
        <w:spacing w:line="560" w:lineRule="exact"/>
        <w:ind w:firstLine="2400" w:firstLineChars="500"/>
        <w:jc w:val="left"/>
        <w:rPr>
          <w:rFonts w:ascii="黑体" w:hAnsi="黑体" w:eastAsia="黑体"/>
          <w:sz w:val="48"/>
          <w:szCs w:val="48"/>
        </w:rPr>
      </w:pPr>
      <w:r>
        <w:rPr>
          <w:rFonts w:hint="eastAsia" w:ascii="黑体" w:hAnsi="黑体" w:eastAsia="黑体"/>
          <w:sz w:val="48"/>
          <w:szCs w:val="48"/>
        </w:rPr>
        <w:t>行政处罚决定书</w:t>
      </w:r>
    </w:p>
    <w:p w14:paraId="175A1BB5">
      <w:pPr>
        <w:spacing w:line="580" w:lineRule="exact"/>
        <w:ind w:firstLine="2400" w:firstLineChars="800"/>
        <w:rPr>
          <w:rFonts w:hint="default" w:ascii="仿宋" w:hAnsi="仿宋" w:eastAsia="宋体"/>
          <w:sz w:val="32"/>
          <w:szCs w:val="32"/>
          <w:lang w:val="en-US" w:eastAsia="zh-CN"/>
        </w:rPr>
      </w:pPr>
      <w:r>
        <w:rPr>
          <w:rFonts w:hint="eastAsia" w:ascii="宋体" w:hAnsi="宋体" w:eastAsia="宋体"/>
          <w:sz w:val="30"/>
          <w:szCs w:val="30"/>
        </w:rPr>
        <w:t>偃市监处罚〔2025〕</w:t>
      </w:r>
      <w:r>
        <w:rPr>
          <w:rFonts w:hint="eastAsia" w:ascii="宋体" w:hAnsi="宋体" w:eastAsia="宋体"/>
          <w:sz w:val="30"/>
          <w:szCs w:val="30"/>
          <w:lang w:val="en-US" w:eastAsia="zh-CN"/>
        </w:rPr>
        <w:t>22号</w:t>
      </w:r>
    </w:p>
    <w:p w14:paraId="1D2EF8A6">
      <w:pPr>
        <w:keepNext w:val="0"/>
        <w:keepLines w:val="0"/>
        <w:pageBreakBefore w:val="0"/>
        <w:kinsoku/>
        <w:wordWrap/>
        <w:overflowPunct/>
        <w:topLinePunct w:val="0"/>
        <w:bidi w:val="0"/>
        <w:adjustRightInd/>
        <w:snapToGrid/>
        <w:spacing w:line="560" w:lineRule="exact"/>
        <w:ind w:left="0" w:leftChars="0" w:firstLine="217" w:firstLineChars="68"/>
        <w:textAlignment w:val="auto"/>
        <w:rPr>
          <w:rFonts w:hint="eastAsia" w:ascii="仿宋" w:hAnsi="仿宋" w:eastAsia="仿宋"/>
          <w:sz w:val="32"/>
          <w:szCs w:val="32"/>
        </w:rPr>
      </w:pPr>
    </w:p>
    <w:p w14:paraId="4761A3BA">
      <w:pPr>
        <w:keepNext w:val="0"/>
        <w:keepLines w:val="0"/>
        <w:pageBreakBefore w:val="0"/>
        <w:kinsoku/>
        <w:wordWrap/>
        <w:overflowPunct/>
        <w:topLinePunct w:val="0"/>
        <w:bidi w:val="0"/>
        <w:adjustRightInd/>
        <w:snapToGrid/>
        <w:spacing w:line="540" w:lineRule="exact"/>
        <w:ind w:left="0" w:leftChars="0" w:firstLine="217" w:firstLineChars="68"/>
        <w:textAlignment w:val="auto"/>
        <w:rPr>
          <w:rFonts w:ascii="仿宋" w:hAnsi="仿宋" w:eastAsia="仿宋" w:cs="仿宋"/>
          <w:color w:val="221E1F"/>
          <w:sz w:val="32"/>
          <w:szCs w:val="32"/>
        </w:rPr>
      </w:pPr>
      <w:r>
        <w:rPr>
          <w:rFonts w:hint="eastAsia" w:ascii="仿宋" w:hAnsi="仿宋" w:eastAsia="仿宋"/>
          <w:sz w:val="32"/>
          <w:szCs w:val="32"/>
        </w:rPr>
        <w:t>当事人：</w:t>
      </w:r>
      <w:r>
        <w:rPr>
          <w:rFonts w:hint="eastAsia" w:ascii="仿宋" w:hAnsi="仿宋" w:eastAsia="仿宋" w:cs="仿宋_GB2312"/>
          <w:sz w:val="32"/>
          <w:szCs w:val="32"/>
        </w:rPr>
        <w:t>偃师市红牡丹制鞋厂</w:t>
      </w:r>
    </w:p>
    <w:p w14:paraId="22F635BB">
      <w:pPr>
        <w:keepNext w:val="0"/>
        <w:keepLines w:val="0"/>
        <w:pageBreakBefore w:val="0"/>
        <w:kinsoku/>
        <w:wordWrap/>
        <w:overflowPunct/>
        <w:topLinePunct w:val="0"/>
        <w:bidi w:val="0"/>
        <w:adjustRightInd/>
        <w:snapToGrid/>
        <w:spacing w:line="540" w:lineRule="exact"/>
        <w:ind w:left="0" w:leftChars="0" w:firstLine="217" w:firstLineChars="68"/>
        <w:textAlignment w:val="auto"/>
        <w:rPr>
          <w:rFonts w:ascii="仿宋" w:hAnsi="仿宋" w:eastAsia="仿宋"/>
          <w:sz w:val="32"/>
          <w:szCs w:val="32"/>
        </w:rPr>
      </w:pPr>
      <w:r>
        <w:rPr>
          <w:rFonts w:hint="eastAsia" w:ascii="仿宋" w:hAnsi="仿宋" w:eastAsia="仿宋"/>
          <w:sz w:val="32"/>
          <w:szCs w:val="32"/>
        </w:rPr>
        <w:t>主体资格证照名称：营业执照</w:t>
      </w:r>
    </w:p>
    <w:p w14:paraId="62ED4037">
      <w:pPr>
        <w:keepNext w:val="0"/>
        <w:keepLines w:val="0"/>
        <w:pageBreakBefore w:val="0"/>
        <w:kinsoku/>
        <w:wordWrap/>
        <w:overflowPunct/>
        <w:topLinePunct w:val="0"/>
        <w:bidi w:val="0"/>
        <w:adjustRightInd/>
        <w:snapToGrid/>
        <w:spacing w:line="540" w:lineRule="exact"/>
        <w:ind w:left="0" w:leftChars="0" w:firstLine="217" w:firstLineChars="68"/>
        <w:textAlignment w:val="auto"/>
        <w:rPr>
          <w:rFonts w:ascii="仿宋" w:hAnsi="仿宋" w:eastAsia="仿宋" w:cs="仿宋_GB2312"/>
          <w:sz w:val="32"/>
          <w:szCs w:val="32"/>
        </w:rPr>
      </w:pPr>
      <w:r>
        <w:rPr>
          <w:rFonts w:hint="eastAsia" w:ascii="仿宋" w:hAnsi="仿宋" w:eastAsia="仿宋"/>
          <w:sz w:val="32"/>
          <w:szCs w:val="32"/>
        </w:rPr>
        <w:t>统一社会信用代码：</w:t>
      </w:r>
      <w:r>
        <w:rPr>
          <w:rFonts w:hint="eastAsia" w:ascii="仿宋" w:hAnsi="仿宋" w:eastAsia="仿宋" w:cs="仿宋_GB2312"/>
          <w:sz w:val="32"/>
          <w:szCs w:val="32"/>
        </w:rPr>
        <w:t>92410381MA40XJ8Y5K</w:t>
      </w:r>
    </w:p>
    <w:p w14:paraId="61BA4EDC">
      <w:pPr>
        <w:keepNext w:val="0"/>
        <w:keepLines w:val="0"/>
        <w:pageBreakBefore w:val="0"/>
        <w:kinsoku/>
        <w:wordWrap/>
        <w:overflowPunct/>
        <w:topLinePunct w:val="0"/>
        <w:bidi w:val="0"/>
        <w:adjustRightInd/>
        <w:snapToGrid/>
        <w:spacing w:line="540" w:lineRule="exact"/>
        <w:ind w:left="0" w:leftChars="0" w:firstLine="217" w:firstLineChars="68"/>
        <w:textAlignment w:val="auto"/>
        <w:rPr>
          <w:rFonts w:ascii="仿宋" w:hAnsi="仿宋" w:eastAsia="仿宋" w:cs="仿宋_GB2312"/>
          <w:sz w:val="32"/>
          <w:szCs w:val="32"/>
        </w:rPr>
      </w:pPr>
      <w:r>
        <w:rPr>
          <w:rFonts w:hint="eastAsia" w:ascii="仿宋" w:hAnsi="仿宋" w:eastAsia="仿宋"/>
          <w:sz w:val="32"/>
          <w:szCs w:val="32"/>
        </w:rPr>
        <w:t>经营者：</w:t>
      </w:r>
      <w:r>
        <w:rPr>
          <w:rFonts w:hint="eastAsia" w:ascii="仿宋" w:hAnsi="仿宋" w:eastAsia="仿宋" w:cs="仿宋_GB2312"/>
          <w:sz w:val="32"/>
          <w:szCs w:val="32"/>
        </w:rPr>
        <w:t>王继宏</w:t>
      </w:r>
    </w:p>
    <w:p w14:paraId="0BB54158">
      <w:pPr>
        <w:keepNext w:val="0"/>
        <w:keepLines w:val="0"/>
        <w:pageBreakBefore w:val="0"/>
        <w:kinsoku/>
        <w:wordWrap/>
        <w:overflowPunct/>
        <w:topLinePunct w:val="0"/>
        <w:bidi w:val="0"/>
        <w:adjustRightInd/>
        <w:snapToGrid/>
        <w:spacing w:line="540" w:lineRule="exact"/>
        <w:ind w:left="0" w:leftChars="0" w:firstLine="217" w:firstLineChars="68"/>
        <w:textAlignment w:val="auto"/>
        <w:rPr>
          <w:rFonts w:ascii="仿宋" w:hAnsi="仿宋" w:eastAsia="仿宋" w:cs="仿宋_GB2312"/>
          <w:sz w:val="32"/>
          <w:szCs w:val="32"/>
        </w:rPr>
      </w:pPr>
      <w:r>
        <w:rPr>
          <w:rFonts w:hint="eastAsia" w:ascii="仿宋" w:hAnsi="仿宋" w:eastAsia="仿宋"/>
          <w:sz w:val="32"/>
          <w:szCs w:val="32"/>
        </w:rPr>
        <w:t>经营场所：</w:t>
      </w:r>
      <w:r>
        <w:rPr>
          <w:rFonts w:hint="eastAsia" w:ascii="仿宋" w:hAnsi="仿宋" w:eastAsia="仿宋" w:cs="仿宋_GB2312"/>
          <w:sz w:val="32"/>
          <w:szCs w:val="32"/>
        </w:rPr>
        <w:t>偃师市岳滩镇产业集聚区</w:t>
      </w:r>
    </w:p>
    <w:p w14:paraId="37C7265F">
      <w:pPr>
        <w:pStyle w:val="3"/>
        <w:keepNext w:val="0"/>
        <w:keepLines w:val="0"/>
        <w:pageBreakBefore w:val="0"/>
        <w:tabs>
          <w:tab w:val="left" w:pos="8964"/>
        </w:tabs>
        <w:kinsoku/>
        <w:wordWrap/>
        <w:overflowPunct/>
        <w:topLinePunct w:val="0"/>
        <w:bidi w:val="0"/>
        <w:adjustRightInd/>
        <w:snapToGrid/>
        <w:spacing w:line="540" w:lineRule="exact"/>
        <w:ind w:left="0" w:leftChars="0" w:right="105" w:rightChars="50" w:firstLine="217" w:firstLineChars="68"/>
        <w:textAlignment w:val="auto"/>
        <w:rPr>
          <w:rFonts w:ascii="仿宋" w:hAnsi="仿宋" w:eastAsia="仿宋"/>
        </w:rPr>
      </w:pPr>
      <w:bookmarkStart w:id="3" w:name="_GoBack"/>
      <w:bookmarkEnd w:id="3"/>
    </w:p>
    <w:p w14:paraId="5D9FBD15">
      <w:pPr>
        <w:keepNext w:val="0"/>
        <w:keepLines w:val="0"/>
        <w:pageBreakBefore w:val="0"/>
        <w:kinsoku/>
        <w:wordWrap/>
        <w:overflowPunct/>
        <w:topLinePunct w:val="0"/>
        <w:bidi w:val="0"/>
        <w:adjustRightInd/>
        <w:snapToGrid/>
        <w:spacing w:line="540" w:lineRule="exact"/>
        <w:ind w:left="105" w:leftChars="50" w:right="105" w:rightChars="50" w:firstLine="612" w:firstLineChars="200"/>
        <w:textAlignment w:val="auto"/>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pacing w:val="-7"/>
          <w:sz w:val="32"/>
          <w:szCs w:val="32"/>
          <w14:textFill>
            <w14:solidFill>
              <w14:schemeClr w14:val="tx1"/>
            </w14:solidFill>
          </w14:textFill>
        </w:rPr>
        <w:t>2024年12月17日，</w:t>
      </w:r>
      <w:r>
        <w:rPr>
          <w:rFonts w:hint="eastAsia" w:ascii="仿宋" w:hAnsi="仿宋" w:eastAsia="仿宋" w:cs="仿宋_GB2312"/>
          <w:color w:val="000000" w:themeColor="text1"/>
          <w:sz w:val="32"/>
          <w:szCs w:val="32"/>
          <w14:textFill>
            <w14:solidFill>
              <w14:schemeClr w14:val="tx1"/>
            </w14:solidFill>
          </w14:textFill>
        </w:rPr>
        <w:t>我局执法人员对当事人现场检查时，在其生产车间发现有耐克注册商标标识的鞋23双，在鞋帮储存区域，发现有耐克注册商标标识的鞋帮440双（880个），当事人涉嫌侵犯他人注册商标专用权，我局执法人员依法对上述物品进行了扣押</w:t>
      </w:r>
      <w:r>
        <w:rPr>
          <w:rFonts w:hint="eastAsia" w:ascii="仿宋" w:hAnsi="仿宋" w:eastAsia="仿宋" w:cs="仿宋_GB2312"/>
          <w:color w:val="000000" w:themeColor="text1"/>
          <w:spacing w:val="-7"/>
          <w:sz w:val="32"/>
          <w:szCs w:val="32"/>
          <w14:textFill>
            <w14:solidFill>
              <w14:schemeClr w14:val="tx1"/>
            </w14:solidFill>
          </w14:textFill>
        </w:rPr>
        <w:t>。</w:t>
      </w:r>
      <w:r>
        <w:rPr>
          <w:rFonts w:hint="eastAsia" w:ascii="仿宋" w:hAnsi="仿宋" w:eastAsia="仿宋" w:cs="仿宋_GB2312"/>
          <w:color w:val="000000" w:themeColor="text1"/>
          <w:sz w:val="32"/>
          <w:szCs w:val="32"/>
          <w14:textFill>
            <w14:solidFill>
              <w14:schemeClr w14:val="tx1"/>
            </w14:solidFill>
          </w14:textFill>
        </w:rPr>
        <w:t>为进一步查清事实，2024年12月20日，我局对当事人立案，并指定赵佩丽为案件主办人，常梅霞为案件协办人。立案后，执法人员采取询问当事人，调取相关证据等方式对本案进行了调查。</w:t>
      </w:r>
    </w:p>
    <w:p w14:paraId="4AC8F603">
      <w:pPr>
        <w:keepNext w:val="0"/>
        <w:keepLines w:val="0"/>
        <w:pageBreakBefore w:val="0"/>
        <w:kinsoku/>
        <w:wordWrap/>
        <w:overflowPunct/>
        <w:topLinePunct w:val="0"/>
        <w:bidi w:val="0"/>
        <w:adjustRightInd/>
        <w:snapToGrid/>
        <w:spacing w:line="540" w:lineRule="exact"/>
        <w:ind w:left="105" w:leftChars="50" w:right="105" w:rightChars="50" w:firstLine="640" w:firstLineChars="200"/>
        <w:textAlignment w:val="auto"/>
        <w:rPr>
          <w:rFonts w:hint="eastAsia" w:ascii="仿宋" w:hAnsi="仿宋" w:eastAsia="仿宋" w:cs="仿宋_GB2312"/>
          <w:sz w:val="32"/>
          <w:szCs w:val="32"/>
        </w:rPr>
      </w:pPr>
      <w:r>
        <w:rPr>
          <w:rFonts w:hint="eastAsia" w:ascii="仿宋" w:hAnsi="仿宋" w:eastAsia="仿宋" w:cs="仿宋_GB2312"/>
          <w:sz w:val="32"/>
          <w:szCs w:val="32"/>
        </w:rPr>
        <w:t>经查：</w:t>
      </w:r>
      <w:bookmarkStart w:id="0" w:name="OLE_LINK10"/>
      <w:bookmarkStart w:id="1" w:name="OLE_LINK11"/>
      <w:r>
        <w:rPr>
          <w:rFonts w:hint="eastAsia" w:ascii="仿宋" w:hAnsi="仿宋" w:eastAsia="仿宋" w:cs="仿宋_GB2312"/>
          <w:sz w:val="32"/>
          <w:szCs w:val="32"/>
        </w:rPr>
        <w:t>2024年12月17日上午，</w:t>
      </w:r>
      <w:r>
        <w:rPr>
          <w:rFonts w:hint="eastAsia" w:ascii="仿宋" w:hAnsi="仿宋" w:eastAsia="仿宋" w:cs="仿宋_GB2312"/>
          <w:sz w:val="32"/>
          <w:szCs w:val="32"/>
          <w:lang w:eastAsia="zh-CN"/>
        </w:rPr>
        <w:t>一</w:t>
      </w:r>
      <w:r>
        <w:rPr>
          <w:rFonts w:hint="eastAsia" w:ascii="仿宋" w:hAnsi="仿宋" w:eastAsia="仿宋" w:cs="仿宋_GB2312"/>
          <w:sz w:val="32"/>
          <w:szCs w:val="32"/>
        </w:rPr>
        <w:t>俄罗斯客户提供了470双有耐克商标标识的鞋帮，让当事人加工鞋</w:t>
      </w:r>
      <w:r>
        <w:rPr>
          <w:rFonts w:hint="eastAsia" w:ascii="仿宋" w:hAnsi="仿宋" w:eastAsia="仿宋" w:cs="仿宋_GB2312"/>
          <w:sz w:val="32"/>
          <w:szCs w:val="32"/>
          <w:lang w:eastAsia="zh-CN"/>
        </w:rPr>
        <w:t>。</w:t>
      </w:r>
      <w:r>
        <w:rPr>
          <w:rFonts w:hint="eastAsia" w:ascii="仿宋" w:hAnsi="仿宋" w:eastAsia="仿宋" w:cs="仿宋_GB2312"/>
          <w:sz w:val="32"/>
          <w:szCs w:val="32"/>
        </w:rPr>
        <w:t>当天上午加工成品鞋30双，客户拿走7双，剩余23双鞋。</w:t>
      </w:r>
      <w:r>
        <w:rPr>
          <w:rFonts w:hint="eastAsia" w:ascii="仿宋" w:hAnsi="仿宋" w:eastAsia="仿宋" w:cs="仿宋_GB2312"/>
          <w:sz w:val="32"/>
          <w:szCs w:val="32"/>
          <w:lang w:eastAsia="zh-CN"/>
        </w:rPr>
        <w:t>后</w:t>
      </w:r>
      <w:r>
        <w:rPr>
          <w:rFonts w:hint="eastAsia" w:ascii="仿宋" w:hAnsi="仿宋" w:eastAsia="仿宋" w:cs="仿宋_GB2312"/>
          <w:sz w:val="32"/>
          <w:szCs w:val="32"/>
          <w:lang w:val="en-US" w:eastAsia="zh-CN"/>
        </w:rPr>
        <w:t>当事人未再加工上述鞋帮的鞋，</w:t>
      </w:r>
      <w:r>
        <w:rPr>
          <w:rFonts w:hint="eastAsia" w:ascii="仿宋" w:hAnsi="仿宋" w:eastAsia="仿宋" w:cs="仿宋_GB2312"/>
          <w:sz w:val="32"/>
          <w:szCs w:val="32"/>
        </w:rPr>
        <w:t>该俄罗斯商户也没</w:t>
      </w:r>
      <w:r>
        <w:rPr>
          <w:rFonts w:hint="eastAsia" w:ascii="仿宋" w:hAnsi="仿宋" w:eastAsia="仿宋" w:cs="仿宋_GB2312"/>
          <w:sz w:val="32"/>
          <w:szCs w:val="32"/>
          <w:lang w:eastAsia="zh-CN"/>
        </w:rPr>
        <w:t>有再</w:t>
      </w:r>
      <w:r>
        <w:rPr>
          <w:rFonts w:hint="eastAsia" w:ascii="仿宋" w:hAnsi="仿宋" w:eastAsia="仿宋" w:cs="仿宋_GB2312"/>
          <w:sz w:val="32"/>
          <w:szCs w:val="32"/>
        </w:rPr>
        <w:t>来当事人厂里，无联系方式，无加工协议。</w:t>
      </w:r>
      <w:r>
        <w:rPr>
          <w:rFonts w:hint="eastAsia" w:ascii="仿宋" w:hAnsi="仿宋" w:eastAsia="仿宋" w:cs="仿宋_GB2312"/>
          <w:sz w:val="32"/>
          <w:szCs w:val="32"/>
          <w:lang w:val="en-US" w:eastAsia="zh-CN"/>
        </w:rPr>
        <w:t>当事人</w:t>
      </w:r>
      <w:r>
        <w:rPr>
          <w:rFonts w:hint="eastAsia" w:ascii="仿宋" w:hAnsi="仿宋" w:eastAsia="仿宋" w:cs="仿宋_GB2312"/>
          <w:sz w:val="32"/>
          <w:szCs w:val="32"/>
        </w:rPr>
        <w:t xml:space="preserve">加工上述PVC底料鞋的加工费用为13元/双， 该俄罗斯商户未给当事人支付加工费。     </w:t>
      </w:r>
    </w:p>
    <w:p w14:paraId="0715188F">
      <w:pPr>
        <w:keepNext w:val="0"/>
        <w:keepLines w:val="0"/>
        <w:pageBreakBefore w:val="0"/>
        <w:kinsoku/>
        <w:wordWrap/>
        <w:overflowPunct/>
        <w:topLinePunct w:val="0"/>
        <w:bidi w:val="0"/>
        <w:adjustRightInd/>
        <w:snapToGrid/>
        <w:spacing w:line="540" w:lineRule="exact"/>
        <w:ind w:left="105" w:leftChars="50" w:right="105" w:rightChars="50" w:firstLine="640" w:firstLineChars="200"/>
        <w:textAlignment w:val="auto"/>
        <w:rPr>
          <w:rFonts w:ascii="仿宋" w:hAnsi="仿宋" w:eastAsia="仿宋" w:cs="仿宋_GB2312"/>
          <w:sz w:val="32"/>
          <w:szCs w:val="32"/>
        </w:rPr>
      </w:pPr>
      <w:r>
        <w:rPr>
          <w:rFonts w:hint="eastAsia" w:ascii="仿宋" w:hAnsi="仿宋" w:eastAsia="仿宋" w:cs="仿宋_GB2312"/>
          <w:color w:val="221E1F"/>
          <w:sz w:val="32"/>
          <w:szCs w:val="32"/>
        </w:rPr>
        <w:t>从当事人处查获的</w:t>
      </w:r>
      <w:r>
        <w:rPr>
          <w:rFonts w:hint="eastAsia" w:ascii="仿宋" w:hAnsi="仿宋" w:eastAsia="仿宋" w:cs="仿宋_GB2312"/>
          <w:sz w:val="32"/>
          <w:szCs w:val="32"/>
        </w:rPr>
        <w:t>23双</w:t>
      </w:r>
      <w:r>
        <w:rPr>
          <w:rFonts w:hint="eastAsia" w:ascii="仿宋" w:hAnsi="仿宋" w:eastAsia="仿宋" w:cs="仿宋_GB2312"/>
          <w:color w:val="221E1F"/>
          <w:sz w:val="32"/>
          <w:szCs w:val="32"/>
        </w:rPr>
        <w:t>运动</w:t>
      </w:r>
      <w:r>
        <w:rPr>
          <w:rFonts w:hint="eastAsia" w:ascii="仿宋" w:hAnsi="仿宋" w:eastAsia="仿宋" w:cs="仿宋_GB2312"/>
          <w:sz w:val="32"/>
          <w:szCs w:val="32"/>
        </w:rPr>
        <w:t>鞋及440双鞋帮，</w:t>
      </w:r>
      <w:r>
        <w:rPr>
          <w:rFonts w:hint="eastAsia" w:ascii="仿宋" w:hAnsi="仿宋" w:eastAsia="仿宋" w:cs="仿宋_GB2312"/>
          <w:color w:val="221E1F"/>
          <w:sz w:val="32"/>
          <w:szCs w:val="32"/>
        </w:rPr>
        <w:t>其上面的耐克注册</w:t>
      </w:r>
      <w:r>
        <w:rPr>
          <w:rFonts w:hint="eastAsia" w:ascii="仿宋" w:hAnsi="仿宋" w:eastAsia="仿宋" w:cs="仿宋_GB2312"/>
          <w:sz w:val="32"/>
          <w:szCs w:val="32"/>
        </w:rPr>
        <w:t>商标</w:t>
      </w:r>
      <w:r>
        <w:rPr>
          <w:rFonts w:hint="eastAsia" w:ascii="仿宋" w:hAnsi="仿宋" w:eastAsia="仿宋" w:cs="仿宋_GB2312"/>
          <w:color w:val="221E1F"/>
          <w:spacing w:val="-7"/>
          <w:sz w:val="32"/>
          <w:szCs w:val="32"/>
        </w:rPr>
        <w:t>标识，与权利人</w:t>
      </w:r>
      <w:r>
        <w:rPr>
          <w:rFonts w:hint="eastAsia" w:ascii="仿宋" w:hAnsi="仿宋" w:eastAsia="仿宋" w:cs="仿宋_GB2312"/>
          <w:color w:val="221E1F"/>
          <w:sz w:val="32"/>
          <w:szCs w:val="32"/>
        </w:rPr>
        <w:t>经中华人民共和国国家工商行政管理总局商标局注册</w:t>
      </w:r>
      <w:r>
        <w:rPr>
          <w:rFonts w:hint="eastAsia" w:ascii="仿宋" w:hAnsi="仿宋" w:eastAsia="仿宋" w:cs="仿宋_GB2312"/>
          <w:color w:val="221E1F"/>
          <w:spacing w:val="-7"/>
          <w:sz w:val="32"/>
          <w:szCs w:val="32"/>
        </w:rPr>
        <w:t>的第4581865号注册商标相同，且与上述注册商标核定使用商品（第25类）：鞋 同类。</w:t>
      </w:r>
      <w:r>
        <w:rPr>
          <w:rFonts w:hint="eastAsia" w:ascii="仿宋" w:hAnsi="仿宋" w:eastAsia="仿宋" w:cs="仿宋_GB2312"/>
        </w:rPr>
        <w:t xml:space="preserve"> </w:t>
      </w:r>
      <w:r>
        <w:rPr>
          <w:rFonts w:hint="eastAsia" w:ascii="仿宋" w:hAnsi="仿宋" w:eastAsia="仿宋" w:cs="仿宋_GB2312"/>
          <w:color w:val="333333"/>
        </w:rPr>
        <w:t xml:space="preserve">       </w:t>
      </w:r>
      <w:r>
        <w:rPr>
          <w:rFonts w:hint="eastAsia" w:ascii="仿宋" w:hAnsi="仿宋" w:eastAsia="仿宋" w:cs="仿宋_GB2312"/>
          <w:sz w:val="32"/>
          <w:szCs w:val="32"/>
        </w:rPr>
        <w:t xml:space="preserve">                                                          </w:t>
      </w:r>
    </w:p>
    <w:p w14:paraId="79694D06">
      <w:pPr>
        <w:keepNext w:val="0"/>
        <w:keepLines w:val="0"/>
        <w:pageBreakBefore w:val="0"/>
        <w:kinsoku/>
        <w:wordWrap/>
        <w:overflowPunct/>
        <w:topLinePunct w:val="0"/>
        <w:bidi w:val="0"/>
        <w:adjustRightInd/>
        <w:snapToGrid/>
        <w:spacing w:line="540" w:lineRule="exact"/>
        <w:ind w:left="105" w:leftChars="50" w:right="105" w:rightChars="50" w:firstLine="640" w:firstLineChars="200"/>
        <w:textAlignment w:val="auto"/>
        <w:rPr>
          <w:rFonts w:ascii="仿宋" w:hAnsi="仿宋" w:eastAsia="仿宋" w:cs="仿宋_GB2312"/>
          <w:color w:val="auto"/>
          <w:sz w:val="32"/>
          <w:szCs w:val="32"/>
        </w:rPr>
      </w:pPr>
      <w:r>
        <w:rPr>
          <w:rFonts w:hint="eastAsia" w:ascii="仿宋" w:hAnsi="仿宋" w:eastAsia="仿宋" w:cs="仿宋_GB2312"/>
          <w:color w:val="auto"/>
          <w:sz w:val="32"/>
          <w:szCs w:val="32"/>
        </w:rPr>
        <w:t>2024年12月19日，我局委托耐克商标权利人“耐克创新有限合伙公司”授权方“耐克体育（中国）有限公司”进行鉴定：是否授权当事人加工、制作有其商标标识鞋及鞋帮？</w:t>
      </w:r>
    </w:p>
    <w:p w14:paraId="0AA7E7C9">
      <w:pPr>
        <w:keepNext w:val="0"/>
        <w:keepLines w:val="0"/>
        <w:pageBreakBefore w:val="0"/>
        <w:kinsoku/>
        <w:wordWrap/>
        <w:overflowPunct/>
        <w:topLinePunct w:val="0"/>
        <w:bidi w:val="0"/>
        <w:adjustRightInd/>
        <w:snapToGrid/>
        <w:spacing w:line="540" w:lineRule="exact"/>
        <w:ind w:left="105" w:leftChars="50" w:right="105" w:rightChars="50" w:firstLine="640" w:firstLineChars="200"/>
        <w:textAlignment w:val="auto"/>
        <w:rPr>
          <w:rFonts w:hint="eastAsia" w:ascii="仿宋" w:hAnsi="仿宋" w:eastAsia="仿宋" w:cs="仿宋_GB2312"/>
          <w:sz w:val="32"/>
          <w:szCs w:val="32"/>
        </w:rPr>
      </w:pPr>
      <w:r>
        <w:rPr>
          <w:rFonts w:hint="eastAsia" w:ascii="仿宋" w:hAnsi="仿宋" w:eastAsia="仿宋" w:cs="仿宋_GB2312"/>
          <w:sz w:val="32"/>
          <w:szCs w:val="32"/>
        </w:rPr>
        <w:t>2024年12月24日，我局收到耐克体育（中国）有限公的证明、耐克商标注册证及其他材料，证明主要内容为：“兹证明我公司并未授权河南省洛阳市偃师市岳滩镇产业集聚区的偃师市红牡丹制鞋厂（经营者：王继宏）处生产、储存、销售涉案的标有耐克创新有限合伙公司注册商标的产品”。另一份鉴定证明，主要内容：贵局于2024年12月17日在河南省洛阳市偃师市岳滩镇产业集聚区的偃师红牡丹制鞋厂（经营者：王继宏）处查获的标有耐克创新有限合伙公司注册商标的23双运动鞋。鉴定结果：经我公司鉴定，系假冒耐克创新有限合伙公司注册商标的产品。</w:t>
      </w:r>
    </w:p>
    <w:p w14:paraId="4016E4FF">
      <w:pPr>
        <w:keepNext w:val="0"/>
        <w:keepLines w:val="0"/>
        <w:pageBreakBefore w:val="0"/>
        <w:kinsoku/>
        <w:wordWrap/>
        <w:overflowPunct/>
        <w:topLinePunct w:val="0"/>
        <w:bidi w:val="0"/>
        <w:adjustRightInd/>
        <w:snapToGrid/>
        <w:spacing w:line="540" w:lineRule="exact"/>
        <w:ind w:left="105" w:leftChars="50" w:right="105" w:rightChars="50" w:firstLine="612" w:firstLineChars="200"/>
        <w:textAlignment w:val="auto"/>
        <w:rPr>
          <w:rFonts w:ascii="仿宋" w:hAnsi="仿宋" w:eastAsia="仿宋" w:cs="仿宋_GB2312"/>
        </w:rPr>
      </w:pPr>
      <w:r>
        <w:rPr>
          <w:rFonts w:hint="eastAsia" w:ascii="仿宋_GB2312" w:hAnsi="仿宋_GB2312" w:eastAsia="仿宋_GB2312" w:cs="仿宋_GB2312"/>
          <w:color w:val="221E1F"/>
          <w:spacing w:val="-7"/>
          <w:sz w:val="32"/>
          <w:szCs w:val="32"/>
          <w:u w:val="none"/>
          <w:lang w:val="en-US" w:eastAsia="zh-CN"/>
        </w:rPr>
        <w:t>当事人加工有耐克商标标识的鞋30双，客户取走7双，查获有耐克商标标识的鞋23双及鞋帮440双，</w:t>
      </w:r>
      <w:bookmarkStart w:id="2" w:name="OLE_LINK1"/>
      <w:r>
        <w:rPr>
          <w:rFonts w:hint="eastAsia" w:ascii="仿宋_GB2312" w:hAnsi="仿宋_GB2312" w:eastAsia="仿宋_GB2312" w:cs="仿宋_GB2312"/>
          <w:color w:val="221E1F"/>
          <w:spacing w:val="-7"/>
          <w:sz w:val="32"/>
          <w:szCs w:val="32"/>
          <w:u w:val="none"/>
          <w:lang w:val="en-US" w:eastAsia="zh-CN"/>
        </w:rPr>
        <w:t>加工费用</w:t>
      </w:r>
      <w:r>
        <w:rPr>
          <w:rFonts w:hint="eastAsia" w:ascii="仿宋_GB2312" w:hAnsi="仿宋_GB2312" w:eastAsia="仿宋_GB2312" w:cs="仿宋_GB2312"/>
          <w:color w:val="auto"/>
          <w:spacing w:val="-7"/>
          <w:sz w:val="32"/>
          <w:szCs w:val="32"/>
          <w:u w:val="none"/>
          <w:lang w:val="en-US" w:eastAsia="zh-CN"/>
        </w:rPr>
        <w:t>390元。</w:t>
      </w:r>
      <w:bookmarkEnd w:id="2"/>
      <w:r>
        <w:rPr>
          <w:rFonts w:hint="eastAsia" w:ascii="仿宋" w:hAnsi="仿宋" w:eastAsia="仿宋" w:cs="仿宋_GB2312"/>
          <w:color w:val="333333"/>
        </w:rPr>
        <w:t xml:space="preserve"> </w:t>
      </w:r>
      <w:bookmarkEnd w:id="0"/>
      <w:bookmarkEnd w:id="1"/>
      <w:r>
        <w:rPr>
          <w:rFonts w:hint="eastAsia" w:ascii="仿宋" w:hAnsi="仿宋" w:eastAsia="仿宋" w:cs="仿宋_GB2312"/>
          <w:color w:val="333333"/>
        </w:rPr>
        <w:t xml:space="preserve">                               </w:t>
      </w:r>
    </w:p>
    <w:p w14:paraId="2DCAD908">
      <w:pPr>
        <w:keepNext w:val="0"/>
        <w:keepLines w:val="0"/>
        <w:pageBreakBefore w:val="0"/>
        <w:widowControl/>
        <w:kinsoku/>
        <w:wordWrap/>
        <w:overflowPunct/>
        <w:topLinePunct w:val="0"/>
        <w:autoSpaceDE w:val="0"/>
        <w:autoSpaceDN w:val="0"/>
        <w:bidi w:val="0"/>
        <w:adjustRightInd/>
        <w:snapToGrid/>
        <w:spacing w:line="540" w:lineRule="exact"/>
        <w:ind w:left="105" w:leftChars="50" w:right="105" w:rightChars="50" w:firstLine="596" w:firstLineChars="200"/>
        <w:textAlignment w:val="auto"/>
        <w:rPr>
          <w:rFonts w:ascii="仿宋" w:hAnsi="仿宋" w:eastAsia="仿宋" w:cs="仿宋_GB2312"/>
          <w:color w:val="221E1F"/>
          <w:spacing w:val="-11"/>
          <w:sz w:val="32"/>
          <w:szCs w:val="32"/>
        </w:rPr>
      </w:pPr>
      <w:r>
        <w:rPr>
          <w:rFonts w:hint="eastAsia" w:ascii="仿宋" w:hAnsi="仿宋" w:eastAsia="仿宋" w:cs="仿宋_GB2312"/>
          <w:color w:val="221E1F"/>
          <w:spacing w:val="-11"/>
          <w:sz w:val="32"/>
          <w:szCs w:val="32"/>
        </w:rPr>
        <w:t>上述事实</w:t>
      </w:r>
      <w:r>
        <w:rPr>
          <w:rFonts w:hint="eastAsia" w:ascii="仿宋" w:hAnsi="仿宋" w:eastAsia="仿宋" w:cs="仿宋_GB2312"/>
          <w:color w:val="221E1F"/>
          <w:spacing w:val="-10"/>
          <w:sz w:val="32"/>
          <w:szCs w:val="32"/>
        </w:rPr>
        <w:t>，</w:t>
      </w:r>
      <w:r>
        <w:rPr>
          <w:rFonts w:hint="eastAsia" w:ascii="仿宋" w:hAnsi="仿宋" w:eastAsia="仿宋" w:cs="仿宋_GB2312"/>
          <w:color w:val="221E1F"/>
          <w:spacing w:val="-11"/>
          <w:sz w:val="32"/>
          <w:szCs w:val="32"/>
        </w:rPr>
        <w:t>主要有以下证据证明；</w:t>
      </w:r>
    </w:p>
    <w:p w14:paraId="1DD8BCEA">
      <w:pPr>
        <w:keepNext w:val="0"/>
        <w:keepLines w:val="0"/>
        <w:pageBreakBefore w:val="0"/>
        <w:kinsoku/>
        <w:wordWrap/>
        <w:overflowPunct/>
        <w:topLinePunct w:val="0"/>
        <w:autoSpaceDE w:val="0"/>
        <w:autoSpaceDN w:val="0"/>
        <w:bidi w:val="0"/>
        <w:adjustRightInd/>
        <w:snapToGrid/>
        <w:spacing w:line="540" w:lineRule="exact"/>
        <w:ind w:left="105" w:leftChars="50" w:right="105" w:rightChars="50" w:firstLine="596" w:firstLineChars="200"/>
        <w:textAlignment w:val="auto"/>
        <w:rPr>
          <w:rFonts w:ascii="仿宋" w:hAnsi="仿宋" w:eastAsia="仿宋" w:cs="仿宋_GB2312"/>
          <w:color w:val="221E1F"/>
          <w:spacing w:val="-11"/>
          <w:sz w:val="32"/>
          <w:szCs w:val="32"/>
        </w:rPr>
      </w:pPr>
      <w:r>
        <w:rPr>
          <w:rFonts w:hint="eastAsia" w:ascii="仿宋" w:hAnsi="仿宋" w:eastAsia="仿宋" w:cs="仿宋_GB2312"/>
          <w:color w:val="221E1F"/>
          <w:spacing w:val="-11"/>
          <w:sz w:val="32"/>
          <w:szCs w:val="32"/>
        </w:rPr>
        <w:t xml:space="preserve">1.营业执照及经营者身份证复印件，证明当事人主体经营资格及经营者身份；                                                </w:t>
      </w:r>
    </w:p>
    <w:p w14:paraId="7739D98B">
      <w:pPr>
        <w:keepNext w:val="0"/>
        <w:keepLines w:val="0"/>
        <w:pageBreakBefore w:val="0"/>
        <w:kinsoku/>
        <w:wordWrap/>
        <w:overflowPunct/>
        <w:topLinePunct w:val="0"/>
        <w:bidi w:val="0"/>
        <w:adjustRightInd/>
        <w:snapToGrid/>
        <w:spacing w:line="540" w:lineRule="exact"/>
        <w:ind w:left="105" w:leftChars="50" w:right="105" w:rightChars="50" w:firstLine="640" w:firstLineChars="200"/>
        <w:textAlignment w:val="auto"/>
        <w:rPr>
          <w:rFonts w:ascii="仿宋" w:hAnsi="仿宋" w:eastAsia="仿宋" w:cs="仿宋_GB2312"/>
          <w:color w:val="221E1F"/>
          <w:sz w:val="32"/>
          <w:szCs w:val="32"/>
        </w:rPr>
      </w:pPr>
      <w:r>
        <w:rPr>
          <w:rFonts w:hint="eastAsia" w:ascii="仿宋" w:hAnsi="仿宋" w:eastAsia="仿宋" w:cs="仿宋_GB2312"/>
          <w:color w:val="221E1F"/>
          <w:sz w:val="32"/>
          <w:szCs w:val="32"/>
        </w:rPr>
        <w:t>2.现场笔录，证明我局执法人员现场检查的情况；</w:t>
      </w:r>
    </w:p>
    <w:p w14:paraId="72CCC906">
      <w:pPr>
        <w:keepNext w:val="0"/>
        <w:keepLines w:val="0"/>
        <w:pageBreakBefore w:val="0"/>
        <w:kinsoku/>
        <w:wordWrap/>
        <w:overflowPunct/>
        <w:topLinePunct w:val="0"/>
        <w:bidi w:val="0"/>
        <w:adjustRightInd/>
        <w:snapToGrid/>
        <w:spacing w:line="540" w:lineRule="exact"/>
        <w:ind w:left="105" w:leftChars="50" w:right="105" w:rightChars="50" w:firstLine="640" w:firstLineChars="200"/>
        <w:textAlignment w:val="auto"/>
        <w:rPr>
          <w:rFonts w:ascii="仿宋" w:hAnsi="仿宋" w:eastAsia="仿宋" w:cs="仿宋_GB2312"/>
          <w:color w:val="221E1F"/>
          <w:sz w:val="32"/>
          <w:szCs w:val="32"/>
        </w:rPr>
      </w:pPr>
      <w:r>
        <w:rPr>
          <w:rFonts w:hint="eastAsia" w:ascii="仿宋" w:hAnsi="仿宋" w:eastAsia="仿宋" w:cs="仿宋_GB2312"/>
          <w:color w:val="221E1F"/>
          <w:sz w:val="32"/>
          <w:szCs w:val="32"/>
        </w:rPr>
        <w:t>3.询问笔录，证明当事人</w:t>
      </w:r>
      <w:r>
        <w:rPr>
          <w:rFonts w:hint="eastAsia" w:ascii="仿宋" w:hAnsi="仿宋" w:eastAsia="仿宋" w:cs="仿宋_GB2312"/>
          <w:sz w:val="32"/>
          <w:szCs w:val="32"/>
        </w:rPr>
        <w:t>侵犯他人注册商标专用权的事实</w:t>
      </w:r>
      <w:r>
        <w:rPr>
          <w:rFonts w:hint="eastAsia" w:ascii="仿宋" w:hAnsi="仿宋" w:eastAsia="仿宋" w:cs="仿宋_GB2312"/>
          <w:color w:val="221E1F"/>
          <w:sz w:val="32"/>
          <w:szCs w:val="32"/>
        </w:rPr>
        <w:t xml:space="preserve">；    </w:t>
      </w:r>
    </w:p>
    <w:p w14:paraId="5792209F">
      <w:pPr>
        <w:keepNext w:val="0"/>
        <w:keepLines w:val="0"/>
        <w:pageBreakBefore w:val="0"/>
        <w:kinsoku/>
        <w:wordWrap/>
        <w:overflowPunct/>
        <w:topLinePunct w:val="0"/>
        <w:bidi w:val="0"/>
        <w:adjustRightInd/>
        <w:snapToGrid/>
        <w:spacing w:line="540" w:lineRule="exact"/>
        <w:ind w:left="105" w:leftChars="50" w:right="105" w:rightChars="50" w:firstLine="640" w:firstLineChars="200"/>
        <w:textAlignment w:val="auto"/>
        <w:rPr>
          <w:rFonts w:ascii="仿宋" w:hAnsi="仿宋" w:eastAsia="仿宋" w:cs="仿宋_GB2312"/>
          <w:color w:val="221E1F"/>
          <w:sz w:val="32"/>
          <w:szCs w:val="32"/>
        </w:rPr>
      </w:pPr>
      <w:r>
        <w:rPr>
          <w:rFonts w:hint="eastAsia" w:ascii="仿宋" w:hAnsi="仿宋" w:eastAsia="仿宋" w:cs="仿宋_GB2312"/>
          <w:color w:val="221E1F"/>
          <w:sz w:val="32"/>
          <w:szCs w:val="32"/>
        </w:rPr>
        <w:t xml:space="preserve">4.实施行政强制措施决定书及财物清单，证明涉嫌侵权商品的被扣押情况； </w:t>
      </w:r>
    </w:p>
    <w:p w14:paraId="3C2202ED">
      <w:pPr>
        <w:keepNext w:val="0"/>
        <w:keepLines w:val="0"/>
        <w:pageBreakBefore w:val="0"/>
        <w:kinsoku/>
        <w:wordWrap/>
        <w:overflowPunct/>
        <w:topLinePunct w:val="0"/>
        <w:bidi w:val="0"/>
        <w:adjustRightInd/>
        <w:snapToGrid/>
        <w:spacing w:line="540" w:lineRule="exact"/>
        <w:ind w:left="105" w:leftChars="50" w:right="105" w:rightChars="50" w:firstLine="640" w:firstLineChars="200"/>
        <w:textAlignment w:val="auto"/>
        <w:rPr>
          <w:rFonts w:ascii="仿宋" w:hAnsi="仿宋" w:eastAsia="仿宋" w:cs="仿宋_GB2312"/>
          <w:color w:val="221E1F"/>
          <w:sz w:val="32"/>
          <w:szCs w:val="32"/>
        </w:rPr>
      </w:pPr>
      <w:r>
        <w:rPr>
          <w:rFonts w:hint="eastAsia" w:ascii="仿宋" w:hAnsi="仿宋" w:eastAsia="仿宋" w:cs="仿宋_GB2312"/>
          <w:color w:val="221E1F"/>
          <w:sz w:val="32"/>
          <w:szCs w:val="32"/>
        </w:rPr>
        <w:t>5.涉案侵权产品图片，证明侵权产品的情况；</w:t>
      </w:r>
    </w:p>
    <w:p w14:paraId="357CAA2E">
      <w:pPr>
        <w:keepNext w:val="0"/>
        <w:keepLines w:val="0"/>
        <w:pageBreakBefore w:val="0"/>
        <w:kinsoku/>
        <w:wordWrap/>
        <w:overflowPunct/>
        <w:topLinePunct w:val="0"/>
        <w:bidi w:val="0"/>
        <w:adjustRightInd/>
        <w:snapToGrid/>
        <w:spacing w:line="540" w:lineRule="exact"/>
        <w:ind w:left="105" w:leftChars="50" w:right="105" w:rightChars="50" w:firstLine="640" w:firstLineChars="200"/>
        <w:textAlignment w:val="auto"/>
        <w:rPr>
          <w:rFonts w:ascii="仿宋" w:hAnsi="仿宋" w:eastAsia="仿宋" w:cs="仿宋_GB2312"/>
          <w:color w:val="221E1F"/>
          <w:sz w:val="32"/>
          <w:szCs w:val="32"/>
        </w:rPr>
      </w:pPr>
      <w:r>
        <w:rPr>
          <w:rFonts w:hint="eastAsia" w:ascii="仿宋" w:hAnsi="仿宋" w:eastAsia="仿宋" w:cs="仿宋_GB2312"/>
          <w:color w:val="221E1F"/>
          <w:sz w:val="32"/>
          <w:szCs w:val="32"/>
        </w:rPr>
        <w:t xml:space="preserve">6. </w:t>
      </w:r>
      <w:r>
        <w:rPr>
          <w:rFonts w:hint="eastAsia" w:ascii="仿宋" w:hAnsi="仿宋" w:eastAsia="仿宋" w:cs="仿宋_GB2312"/>
          <w:sz w:val="32"/>
          <w:szCs w:val="32"/>
        </w:rPr>
        <w:t>鉴定证明，证明当事人侵权情况。</w:t>
      </w:r>
      <w:r>
        <w:rPr>
          <w:rFonts w:hint="eastAsia" w:ascii="仿宋" w:hAnsi="仿宋" w:eastAsia="仿宋" w:cs="仿宋_GB2312"/>
          <w:color w:val="221E1F"/>
          <w:sz w:val="32"/>
          <w:szCs w:val="32"/>
        </w:rPr>
        <w:t xml:space="preserve"> </w:t>
      </w:r>
    </w:p>
    <w:p w14:paraId="2824A9E6">
      <w:pPr>
        <w:keepNext w:val="0"/>
        <w:keepLines w:val="0"/>
        <w:pageBreakBefore w:val="0"/>
        <w:kinsoku/>
        <w:wordWrap/>
        <w:overflowPunct/>
        <w:topLinePunct w:val="0"/>
        <w:bidi w:val="0"/>
        <w:adjustRightInd/>
        <w:snapToGrid/>
        <w:spacing w:line="540" w:lineRule="exact"/>
        <w:ind w:left="105" w:leftChars="50" w:right="105" w:rightChars="50" w:firstLine="640" w:firstLineChars="200"/>
        <w:textAlignment w:val="auto"/>
        <w:rPr>
          <w:rFonts w:ascii="仿宋" w:hAnsi="仿宋" w:eastAsia="仿宋" w:cs="仿宋"/>
          <w:sz w:val="32"/>
          <w:szCs w:val="32"/>
        </w:rPr>
      </w:pPr>
      <w:r>
        <w:rPr>
          <w:rFonts w:hint="eastAsia" w:ascii="仿宋" w:hAnsi="仿宋" w:eastAsia="仿宋" w:cs="仿宋_GB2312"/>
          <w:color w:val="221E1F"/>
          <w:sz w:val="32"/>
          <w:szCs w:val="32"/>
        </w:rPr>
        <w:t>7.耐克</w:t>
      </w:r>
      <w:r>
        <w:rPr>
          <w:rFonts w:hint="eastAsia" w:ascii="仿宋" w:hAnsi="仿宋" w:eastAsia="仿宋" w:cs="仿宋"/>
          <w:sz w:val="32"/>
          <w:szCs w:val="32"/>
        </w:rPr>
        <w:t xml:space="preserve">商标注册证及授权委托书，证明耐克商标注册情况和被授权人情况。                      </w:t>
      </w:r>
    </w:p>
    <w:p w14:paraId="4E94F363">
      <w:pPr>
        <w:keepNext w:val="0"/>
        <w:keepLines w:val="0"/>
        <w:pageBreakBefore w:val="0"/>
        <w:widowControl/>
        <w:kinsoku/>
        <w:wordWrap/>
        <w:overflowPunct/>
        <w:topLinePunct w:val="0"/>
        <w:bidi w:val="0"/>
        <w:adjustRightInd/>
        <w:snapToGrid/>
        <w:spacing w:line="540" w:lineRule="exact"/>
        <w:ind w:left="105" w:leftChars="50" w:right="105" w:rightChars="50" w:firstLine="640" w:firstLineChars="200"/>
        <w:textAlignment w:val="auto"/>
        <w:rPr>
          <w:rFonts w:ascii="仿宋" w:hAnsi="仿宋" w:eastAsia="仿宋" w:cs="仿宋_GB2312"/>
          <w:color w:val="221E1F"/>
          <w:sz w:val="32"/>
          <w:szCs w:val="32"/>
        </w:rPr>
      </w:pPr>
      <w:r>
        <w:rPr>
          <w:rFonts w:hint="eastAsia" w:ascii="仿宋" w:hAnsi="仿宋" w:eastAsia="仿宋" w:cs="仿宋_GB2312"/>
          <w:sz w:val="32"/>
          <w:szCs w:val="32"/>
        </w:rPr>
        <w:t>当事人的上述行为，违反了《中华人民共和国商标法》</w:t>
      </w:r>
      <w:r>
        <w:rPr>
          <w:rFonts w:hint="eastAsia" w:ascii="仿宋" w:hAnsi="仿宋" w:eastAsia="仿宋"/>
          <w:sz w:val="32"/>
          <w:szCs w:val="32"/>
        </w:rPr>
        <w:t>第五十七条：</w:t>
      </w:r>
      <w:r>
        <w:rPr>
          <w:rFonts w:hint="eastAsia" w:ascii="仿宋" w:hAnsi="仿宋" w:eastAsia="仿宋" w:cs="仿宋_GB2312"/>
          <w:sz w:val="32"/>
          <w:szCs w:val="32"/>
        </w:rPr>
        <w:t>“有下列行为之一的，均属侵犯注册商标专用权：</w:t>
      </w:r>
      <w:r>
        <w:rPr>
          <w:rFonts w:ascii="仿宋" w:hAnsi="仿宋" w:eastAsia="仿宋" w:cs="Arial"/>
          <w:color w:val="333333"/>
          <w:kern w:val="0"/>
          <w:sz w:val="32"/>
          <w:szCs w:val="32"/>
        </w:rPr>
        <w:t>（一）未经商标</w:t>
      </w:r>
      <w:r>
        <w:rPr>
          <w:rStyle w:val="9"/>
          <w:rFonts w:ascii="仿宋" w:hAnsi="仿宋" w:eastAsia="仿宋"/>
          <w:i w:val="0"/>
          <w:sz w:val="32"/>
          <w:szCs w:val="32"/>
        </w:rPr>
        <w:t>注册人</w:t>
      </w:r>
      <w:r>
        <w:rPr>
          <w:rFonts w:ascii="仿宋" w:hAnsi="仿宋" w:eastAsia="仿宋" w:cs="Arial"/>
          <w:color w:val="333333"/>
          <w:kern w:val="0"/>
          <w:sz w:val="32"/>
          <w:szCs w:val="32"/>
        </w:rPr>
        <w:t>的许可，在同一种商品上使用与其注册商标相同的商标的；</w:t>
      </w:r>
      <w:r>
        <w:rPr>
          <w:rFonts w:hint="eastAsia" w:ascii="仿宋" w:hAnsi="仿宋" w:eastAsia="仿宋" w:cs="仿宋_GB2312"/>
          <w:color w:val="000000"/>
          <w:sz w:val="32"/>
          <w:szCs w:val="32"/>
          <w:lang w:val="zh-CN"/>
        </w:rPr>
        <w:t>（六）故意为侵犯他人商标专用权行为提供便利条件，帮助他人实施侵犯商标专用权行为的；</w:t>
      </w:r>
      <w:r>
        <w:rPr>
          <w:rFonts w:hint="eastAsia" w:ascii="仿宋" w:hAnsi="仿宋" w:eastAsia="仿宋" w:cs="仿宋_GB2312"/>
          <w:sz w:val="32"/>
          <w:szCs w:val="32"/>
        </w:rPr>
        <w:t>”之规定，其行为属于侵犯注册商标专用权。根据当事人违法的事实、情节、及社会危害性，参照《河南省市场监督管理行政处罚裁量权适用通则》第十八条第一款“当事人不具备不予行政处罚、减轻、从轻或者从重行政处罚情形的，应当给予一般行政处罚。”之规定，应当给予一般行政处罚。</w:t>
      </w:r>
    </w:p>
    <w:p w14:paraId="551403CB">
      <w:pPr>
        <w:keepNext w:val="0"/>
        <w:keepLines w:val="0"/>
        <w:pageBreakBefore w:val="0"/>
        <w:kinsoku/>
        <w:wordWrap/>
        <w:overflowPunct/>
        <w:topLinePunct w:val="0"/>
        <w:bidi w:val="0"/>
        <w:adjustRightInd/>
        <w:snapToGrid/>
        <w:spacing w:line="540" w:lineRule="exact"/>
        <w:ind w:firstLine="640" w:firstLineChars="200"/>
        <w:textAlignment w:val="auto"/>
        <w:rPr>
          <w:rFonts w:ascii="仿宋" w:hAnsi="仿宋" w:eastAsia="仿宋"/>
          <w:sz w:val="32"/>
          <w:szCs w:val="32"/>
        </w:rPr>
      </w:pPr>
      <w:r>
        <w:rPr>
          <w:rFonts w:hint="eastAsia" w:ascii="仿宋" w:hAnsi="仿宋" w:eastAsia="仿宋"/>
          <w:sz w:val="32"/>
          <w:szCs w:val="32"/>
        </w:rPr>
        <w:t>2025年2月25日，我局向当事人送达偃市监罚告〔2025〕16号《行政处罚告知书》，</w:t>
      </w:r>
      <w:r>
        <w:rPr>
          <w:rFonts w:hint="eastAsia" w:ascii="仿宋" w:hAnsi="仿宋" w:eastAsia="仿宋" w:cs="仿宋"/>
          <w:sz w:val="32"/>
          <w:szCs w:val="32"/>
        </w:rPr>
        <w:t>告</w:t>
      </w:r>
      <w:r>
        <w:rPr>
          <w:rFonts w:hint="eastAsia" w:ascii="仿宋" w:hAnsi="仿宋" w:eastAsia="仿宋" w:cs="仿宋"/>
          <w:color w:val="333333"/>
          <w:sz w:val="32"/>
          <w:szCs w:val="32"/>
        </w:rPr>
        <w:t>知当事人我局拟做出行政处罚决定的事实、理由、依据、内容以及当事人依法享有的陈述权、申辩权，</w:t>
      </w:r>
      <w:r>
        <w:rPr>
          <w:rFonts w:hint="eastAsia" w:ascii="仿宋" w:hAnsi="仿宋" w:eastAsia="仿宋" w:cs="仿宋"/>
          <w:sz w:val="32"/>
          <w:szCs w:val="32"/>
        </w:rPr>
        <w:t>并可以要求听证</w:t>
      </w:r>
      <w:r>
        <w:rPr>
          <w:rFonts w:hint="eastAsia" w:ascii="仿宋" w:hAnsi="仿宋" w:eastAsia="仿宋" w:cs="仿宋"/>
          <w:color w:val="333333"/>
          <w:sz w:val="32"/>
          <w:szCs w:val="32"/>
        </w:rPr>
        <w:t>。</w:t>
      </w:r>
      <w:r>
        <w:rPr>
          <w:rFonts w:hint="eastAsia" w:ascii="仿宋" w:hAnsi="仿宋" w:eastAsia="仿宋"/>
          <w:sz w:val="32"/>
          <w:szCs w:val="32"/>
        </w:rPr>
        <w:t>在规定的时间内，当事人未提出陈述、申辩权意见，也未要求听证。</w:t>
      </w:r>
    </w:p>
    <w:p w14:paraId="7D82548E">
      <w:pPr>
        <w:pStyle w:val="10"/>
        <w:keepNext w:val="0"/>
        <w:keepLines w:val="0"/>
        <w:pageBreakBefore w:val="0"/>
        <w:shd w:val="clear" w:color="auto" w:fill="FFFFFF"/>
        <w:kinsoku/>
        <w:wordWrap/>
        <w:overflowPunct/>
        <w:topLinePunct w:val="0"/>
        <w:bidi w:val="0"/>
        <w:adjustRightInd/>
        <w:snapToGrid/>
        <w:spacing w:before="0" w:beforeAutospacing="0" w:after="0" w:afterAutospacing="0" w:line="540" w:lineRule="exact"/>
        <w:ind w:left="105" w:leftChars="50" w:right="105" w:rightChars="50" w:firstLine="640" w:firstLineChars="200"/>
        <w:textAlignment w:val="auto"/>
        <w:rPr>
          <w:rFonts w:ascii="仿宋" w:hAnsi="仿宋" w:eastAsia="仿宋" w:cs="仿宋_GB2312"/>
          <w:sz w:val="32"/>
          <w:szCs w:val="32"/>
        </w:rPr>
      </w:pPr>
      <w:r>
        <w:rPr>
          <w:rFonts w:hint="eastAsia" w:ascii="仿宋" w:hAnsi="仿宋" w:eastAsia="仿宋"/>
          <w:sz w:val="32"/>
          <w:szCs w:val="32"/>
        </w:rPr>
        <w:t>依据《中华人民共和国商标法》第六十条第二款 “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之规定，参照《河南省市场监督管理行政处罚裁量基准（2023版）》9.1.3“依据《商标法》第六十条第二款实施的行政处罚裁量等级 一般 违法情形 不具有从轻、从重处罚情形。裁量基准 没收、销毁侵权商品和主要用于制造侵权商品、伪造注册商标标识的工具，违法经营额5万元以上的，处违法经营额3.5倍以下的罚款，没有违法经营额或者违法经营额不足5万元的，处17.5万元以下的罚款。”之规定，经我局研究，决定</w:t>
      </w:r>
      <w:r>
        <w:rPr>
          <w:rFonts w:hint="eastAsia" w:ascii="仿宋" w:hAnsi="仿宋" w:eastAsia="仿宋" w:cs="仿宋_GB2312"/>
          <w:sz w:val="32"/>
          <w:szCs w:val="32"/>
        </w:rPr>
        <w:t>责令偃师市红牡丹制鞋厂立即停止侵权行为，没收有耐克商标标识的鞋23双、标有耐克商标标识的鞋帮440双，</w:t>
      </w:r>
      <w:r>
        <w:rPr>
          <w:rFonts w:hint="eastAsia" w:ascii="仿宋" w:hAnsi="仿宋" w:eastAsia="仿宋" w:cs="仿宋_GB2312"/>
          <w:color w:val="221E1F"/>
          <w:sz w:val="32"/>
          <w:szCs w:val="32"/>
        </w:rPr>
        <w:t>处</w:t>
      </w:r>
      <w:r>
        <w:rPr>
          <w:rFonts w:hint="eastAsia" w:ascii="仿宋" w:hAnsi="仿宋" w:eastAsia="仿宋" w:cs="仿宋_GB2312"/>
          <w:sz w:val="32"/>
          <w:szCs w:val="32"/>
        </w:rPr>
        <w:t>10000</w:t>
      </w:r>
      <w:r>
        <w:rPr>
          <w:rFonts w:hint="eastAsia" w:ascii="仿宋" w:hAnsi="仿宋" w:eastAsia="仿宋" w:cs="仿宋_GB2312"/>
          <w:color w:val="221E1F"/>
          <w:sz w:val="32"/>
          <w:szCs w:val="32"/>
        </w:rPr>
        <w:t>元罚款</w:t>
      </w:r>
      <w:r>
        <w:rPr>
          <w:rFonts w:hint="eastAsia" w:ascii="仿宋" w:hAnsi="仿宋" w:eastAsia="仿宋" w:cs="仿宋_GB2312"/>
          <w:sz w:val="32"/>
          <w:szCs w:val="32"/>
        </w:rPr>
        <w:t xml:space="preserve">。 </w:t>
      </w:r>
    </w:p>
    <w:p w14:paraId="29C004C2">
      <w:pPr>
        <w:pStyle w:val="10"/>
        <w:keepNext w:val="0"/>
        <w:keepLines w:val="0"/>
        <w:pageBreakBefore w:val="0"/>
        <w:widowControl/>
        <w:shd w:val="clear" w:color="auto" w:fill="FFFFFF"/>
        <w:kinsoku/>
        <w:wordWrap/>
        <w:overflowPunct/>
        <w:topLinePunct w:val="0"/>
        <w:bidi w:val="0"/>
        <w:adjustRightInd/>
        <w:snapToGrid/>
        <w:spacing w:before="0" w:beforeAutospacing="0" w:after="0" w:afterAutospacing="0" w:line="540" w:lineRule="exact"/>
        <w:ind w:left="105" w:leftChars="50" w:right="105" w:rightChars="50" w:firstLine="640" w:firstLineChars="200"/>
        <w:textAlignment w:val="auto"/>
        <w:rPr>
          <w:rFonts w:ascii="仿宋" w:hAnsi="仿宋" w:eastAsia="仿宋"/>
          <w:sz w:val="32"/>
          <w:szCs w:val="32"/>
        </w:rPr>
      </w:pPr>
      <w:r>
        <w:rPr>
          <w:rFonts w:hint="eastAsia" w:ascii="仿宋" w:hAnsi="仿宋" w:eastAsia="仿宋"/>
          <w:sz w:val="32"/>
          <w:szCs w:val="32"/>
        </w:rPr>
        <w:t xml:space="preserve">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  </w:t>
      </w:r>
    </w:p>
    <w:p w14:paraId="78AD7B5C">
      <w:pPr>
        <w:keepNext w:val="0"/>
        <w:keepLines w:val="0"/>
        <w:pageBreakBefore w:val="0"/>
        <w:kinsoku/>
        <w:wordWrap/>
        <w:overflowPunct/>
        <w:topLinePunct w:val="0"/>
        <w:bidi w:val="0"/>
        <w:adjustRightInd/>
        <w:snapToGrid/>
        <w:spacing w:line="540" w:lineRule="exact"/>
        <w:ind w:firstLine="640" w:firstLineChars="200"/>
        <w:textAlignment w:val="auto"/>
        <w:rPr>
          <w:rFonts w:ascii="仿宋" w:hAnsi="仿宋" w:eastAsia="仿宋"/>
          <w:sz w:val="32"/>
          <w:szCs w:val="32"/>
        </w:rPr>
      </w:pPr>
      <w:r>
        <w:rPr>
          <w:rFonts w:hint="eastAsia" w:ascii="仿宋" w:hAnsi="仿宋" w:eastAsia="仿宋"/>
          <w:sz w:val="32"/>
          <w:szCs w:val="32"/>
        </w:rPr>
        <w:t>根据《中华人民共和国行政处罚法》第七十二条规定，当事人逾期不履行行政处罚决定的，本机关可以采取以下措施：（一）到期不缴纳罚款的，每日按罚款数额的百分之三加处罚款；（二）申请人民法院强制执行。</w:t>
      </w:r>
    </w:p>
    <w:p w14:paraId="7314D1CF">
      <w:pPr>
        <w:keepNext w:val="0"/>
        <w:keepLines w:val="0"/>
        <w:pageBreakBefore w:val="0"/>
        <w:kinsoku/>
        <w:wordWrap/>
        <w:overflowPunct/>
        <w:topLinePunct w:val="0"/>
        <w:bidi w:val="0"/>
        <w:adjustRightInd/>
        <w:snapToGrid/>
        <w:spacing w:line="540" w:lineRule="exact"/>
        <w:ind w:firstLine="640" w:firstLineChars="200"/>
        <w:textAlignment w:val="auto"/>
        <w:rPr>
          <w:rFonts w:ascii="仿宋" w:hAnsi="仿宋" w:eastAsia="仿宋"/>
          <w:sz w:val="32"/>
          <w:szCs w:val="32"/>
        </w:rPr>
      </w:pPr>
      <w:r>
        <w:rPr>
          <w:rFonts w:hint="eastAsia" w:ascii="仿宋" w:hAnsi="仿宋" w:eastAsia="仿宋"/>
          <w:sz w:val="32"/>
          <w:szCs w:val="32"/>
        </w:rPr>
        <w:t xml:space="preserve">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       </w:t>
      </w:r>
    </w:p>
    <w:p w14:paraId="5A30BFB1">
      <w:pPr>
        <w:keepNext w:val="0"/>
        <w:keepLines w:val="0"/>
        <w:pageBreakBefore w:val="0"/>
        <w:kinsoku/>
        <w:wordWrap/>
        <w:overflowPunct/>
        <w:topLinePunct w:val="0"/>
        <w:bidi w:val="0"/>
        <w:adjustRightInd/>
        <w:snapToGrid/>
        <w:spacing w:line="540" w:lineRule="exact"/>
        <w:ind w:firstLine="2880" w:firstLineChars="900"/>
        <w:textAlignment w:val="auto"/>
        <w:rPr>
          <w:rFonts w:hint="eastAsia" w:ascii="仿宋" w:hAnsi="仿宋" w:eastAsia="仿宋"/>
          <w:sz w:val="32"/>
          <w:szCs w:val="32"/>
        </w:rPr>
      </w:pPr>
    </w:p>
    <w:p w14:paraId="690F4F46">
      <w:pPr>
        <w:keepNext w:val="0"/>
        <w:keepLines w:val="0"/>
        <w:pageBreakBefore w:val="0"/>
        <w:kinsoku/>
        <w:wordWrap/>
        <w:overflowPunct/>
        <w:topLinePunct w:val="0"/>
        <w:bidi w:val="0"/>
        <w:adjustRightInd/>
        <w:snapToGrid/>
        <w:spacing w:line="540" w:lineRule="exact"/>
        <w:ind w:firstLine="2880" w:firstLineChars="900"/>
        <w:textAlignment w:val="auto"/>
        <w:rPr>
          <w:rFonts w:ascii="仿宋" w:hAnsi="仿宋" w:eastAsia="仿宋"/>
          <w:sz w:val="32"/>
          <w:szCs w:val="32"/>
        </w:rPr>
      </w:pPr>
      <w:r>
        <w:rPr>
          <w:rFonts w:hint="eastAsia" w:ascii="仿宋" w:hAnsi="仿宋" w:eastAsia="仿宋"/>
          <w:sz w:val="32"/>
          <w:szCs w:val="32"/>
        </w:rPr>
        <w:t>洛阳市偃师区市场监督管理局</w:t>
      </w:r>
    </w:p>
    <w:p w14:paraId="73ABF360">
      <w:pPr>
        <w:keepNext w:val="0"/>
        <w:keepLines w:val="0"/>
        <w:pageBreakBefore w:val="0"/>
        <w:kinsoku/>
        <w:wordWrap/>
        <w:overflowPunct/>
        <w:topLinePunct w:val="0"/>
        <w:bidi w:val="0"/>
        <w:adjustRightInd/>
        <w:snapToGrid/>
        <w:spacing w:line="540" w:lineRule="exact"/>
        <w:ind w:firstLine="640" w:firstLineChars="200"/>
        <w:textAlignment w:val="auto"/>
        <w:rPr>
          <w:rFonts w:ascii="仿宋" w:hAnsi="仿宋" w:eastAsia="仿宋"/>
          <w:sz w:val="32"/>
          <w:szCs w:val="32"/>
        </w:rPr>
      </w:pPr>
    </w:p>
    <w:p w14:paraId="7C6ADB1A">
      <w:pPr>
        <w:keepNext w:val="0"/>
        <w:keepLines w:val="0"/>
        <w:pageBreakBefore w:val="0"/>
        <w:kinsoku/>
        <w:wordWrap/>
        <w:overflowPunct/>
        <w:topLinePunct w:val="0"/>
        <w:bidi w:val="0"/>
        <w:adjustRightInd/>
        <w:snapToGrid/>
        <w:spacing w:line="540" w:lineRule="exact"/>
        <w:ind w:firstLine="4160" w:firstLineChars="1300"/>
        <w:textAlignment w:val="auto"/>
        <w:rPr>
          <w:rFonts w:hint="eastAsia" w:ascii="仿宋" w:hAnsi="仿宋" w:eastAsia="仿宋"/>
          <w:color w:val="FF0000"/>
          <w:sz w:val="32"/>
          <w:szCs w:val="32"/>
        </w:rPr>
      </w:pPr>
      <w:r>
        <w:rPr>
          <w:rFonts w:hint="eastAsia" w:ascii="仿宋" w:hAnsi="仿宋" w:eastAsia="仿宋"/>
          <w:color w:val="auto"/>
          <w:sz w:val="32"/>
          <w:szCs w:val="32"/>
        </w:rPr>
        <w:t>2025年3月5日</w:t>
      </w:r>
    </w:p>
    <w:p w14:paraId="51767612">
      <w:pPr>
        <w:keepNext w:val="0"/>
        <w:keepLines w:val="0"/>
        <w:pageBreakBefore w:val="0"/>
        <w:kinsoku/>
        <w:wordWrap/>
        <w:overflowPunct/>
        <w:topLinePunct w:val="0"/>
        <w:bidi w:val="0"/>
        <w:adjustRightInd/>
        <w:snapToGrid/>
        <w:spacing w:line="540" w:lineRule="exact"/>
        <w:ind w:firstLine="4160" w:firstLineChars="1300"/>
        <w:textAlignment w:val="auto"/>
        <w:rPr>
          <w:rFonts w:hint="eastAsia" w:ascii="仿宋" w:hAnsi="仿宋" w:eastAsia="仿宋"/>
          <w:color w:val="FF0000"/>
          <w:sz w:val="32"/>
          <w:szCs w:val="32"/>
        </w:rPr>
      </w:pPr>
    </w:p>
    <w:p w14:paraId="2483B6A8">
      <w:pPr>
        <w:keepNext w:val="0"/>
        <w:keepLines w:val="0"/>
        <w:pageBreakBefore w:val="0"/>
        <w:kinsoku/>
        <w:wordWrap/>
        <w:overflowPunct/>
        <w:topLinePunct w:val="0"/>
        <w:bidi w:val="0"/>
        <w:adjustRightInd/>
        <w:snapToGrid/>
        <w:spacing w:line="540" w:lineRule="exact"/>
        <w:textAlignment w:val="auto"/>
        <w:rPr>
          <w:rFonts w:ascii="仿宋" w:hAnsi="仿宋" w:eastAsia="仿宋"/>
          <w:sz w:val="32"/>
          <w:szCs w:val="32"/>
        </w:rPr>
      </w:pPr>
      <w:r>
        <w:rPr>
          <w:rFonts w:hint="eastAsia" w:ascii="仿宋" w:hAnsi="仿宋" w:eastAsia="仿宋"/>
          <w:sz w:val="32"/>
          <w:szCs w:val="32"/>
        </w:rPr>
        <w:t>（市场监督管理部门将依法向社会公开行政处罚决定信息）</w:t>
      </w:r>
    </w:p>
    <w:p w14:paraId="7A3BCB5F">
      <w:pPr>
        <w:keepNext w:val="0"/>
        <w:keepLines w:val="0"/>
        <w:pageBreakBefore w:val="0"/>
        <w:kinsoku/>
        <w:wordWrap/>
        <w:overflowPunct/>
        <w:topLinePunct w:val="0"/>
        <w:bidi w:val="0"/>
        <w:adjustRightInd/>
        <w:snapToGrid/>
        <w:spacing w:line="540" w:lineRule="exact"/>
        <w:textAlignment w:val="auto"/>
        <w:rPr>
          <w:rFonts w:ascii="仿宋" w:hAnsi="仿宋" w:eastAsia="仿宋"/>
          <w:spacing w:val="-12"/>
          <w:sz w:val="32"/>
          <w:szCs w:val="32"/>
        </w:rPr>
      </w:pPr>
      <w:r>
        <w:rPr>
          <w:rFonts w:ascii="仿宋" w:hAnsi="仿宋" w:eastAsia="仿宋"/>
          <w:spacing w:val="-12"/>
          <w:sz w:val="32"/>
          <w:szCs w:val="32"/>
        </w:rPr>
        <mc:AlternateContent>
          <mc:Choice Requires="wps">
            <w:drawing>
              <wp:anchor distT="0" distB="0" distL="114300" distR="114300" simplePos="0" relativeHeight="251659264" behindDoc="0" locked="0" layoutInCell="1" allowOverlap="1">
                <wp:simplePos x="0" y="0"/>
                <wp:positionH relativeFrom="column">
                  <wp:posOffset>53340</wp:posOffset>
                </wp:positionH>
                <wp:positionV relativeFrom="paragraph">
                  <wp:posOffset>20955</wp:posOffset>
                </wp:positionV>
                <wp:extent cx="5379720" cy="0"/>
                <wp:effectExtent l="0" t="7620" r="0" b="15240"/>
                <wp:wrapNone/>
                <wp:docPr id="1768780386" name="直接连接符 4"/>
                <wp:cNvGraphicFramePr/>
                <a:graphic xmlns:a="http://schemas.openxmlformats.org/drawingml/2006/main">
                  <a:graphicData uri="http://schemas.microsoft.com/office/word/2010/wordprocessingShape">
                    <wps:wsp>
                      <wps:cNvCnPr/>
                      <wps:spPr>
                        <a:xfrm>
                          <a:off x="0" y="0"/>
                          <a:ext cx="5379720" cy="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4" o:spid="_x0000_s1026" o:spt="20" style="position:absolute;left:0pt;margin-left:4.2pt;margin-top:1.65pt;height:0pt;width:423.6pt;z-index:251659264;mso-width-relative:page;mso-height-relative:page;" filled="f" stroked="t" coordsize="21600,21600" o:gfxdata="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LX4CXUAAAABQEAAA8AAAAAAAAAAQAgAAAAIgAAAGRycy9kb3ducmV2LnhtbFBL&#10;AQIUABQAAAAIAIdO4kCagSr7+gEAAPADAAAOAAAAAAAAAAEAIAAAACMBAABkcnMvZTJvRG9jLnht&#10;bFBLBQYAAAAABgAGAFkBAACPBQAAAAA=&#10;">
                <v:fill on="f" focussize="0,0"/>
                <v:stroke weight="1.25pt" color="#000000" joinstyle="round"/>
                <v:imagedata o:title=""/>
                <o:lock v:ext="edit" aspectratio="f"/>
              </v:line>
            </w:pict>
          </mc:Fallback>
        </mc:AlternateContent>
      </w:r>
      <w:r>
        <w:rPr>
          <w:rFonts w:ascii="仿宋" w:hAnsi="仿宋" w:eastAsia="仿宋"/>
          <w:spacing w:val="-12"/>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411636769"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L7/OR1wAAAAoBAAAPAAAAAAAAAAEAIAAAACIAAABkcnMvZG93bnJl&#10;di54bWxQSwECFAAUAAAACACHTuJA/RgWlP4BAADwAwAADgAAAAAAAAABACAAAAAmAQAAZHJzL2Uy&#10;b0RvYy54bWxQSwUGAAAAAAYABgBZAQAAlgUAAAAA&#10;">
                <v:fill on="f" focussize="0,0"/>
                <v:stroke weight="0.737007874015748pt" color="#000000" joinstyle="round" endcap="square"/>
                <v:imagedata o:title=""/>
                <o:lock v:ext="edit" aspectratio="f"/>
              </v:line>
            </w:pict>
          </mc:Fallback>
        </mc:AlternateContent>
      </w:r>
      <w:r>
        <w:rPr>
          <w:rFonts w:hint="eastAsia" w:ascii="仿宋" w:hAnsi="仿宋" w:eastAsia="仿宋"/>
          <w:spacing w:val="-12"/>
          <w:sz w:val="32"/>
          <w:szCs w:val="32"/>
        </w:rPr>
        <w:t>本文书一式</w:t>
      </w:r>
      <w:r>
        <w:rPr>
          <w:rFonts w:hint="eastAsia" w:ascii="仿宋" w:hAnsi="仿宋" w:eastAsia="仿宋"/>
          <w:spacing w:val="-12"/>
          <w:sz w:val="32"/>
          <w:szCs w:val="32"/>
          <w:u w:val="single"/>
        </w:rPr>
        <w:t>三</w:t>
      </w:r>
      <w:r>
        <w:rPr>
          <w:rFonts w:hint="eastAsia" w:ascii="仿宋" w:hAnsi="仿宋" w:eastAsia="仿宋"/>
          <w:spacing w:val="-12"/>
          <w:sz w:val="32"/>
          <w:szCs w:val="32"/>
        </w:rPr>
        <w:t>份，</w:t>
      </w:r>
      <w:r>
        <w:rPr>
          <w:rFonts w:hint="eastAsia" w:ascii="仿宋" w:hAnsi="仿宋" w:eastAsia="仿宋"/>
          <w:spacing w:val="-12"/>
          <w:sz w:val="32"/>
          <w:szCs w:val="32"/>
          <w:u w:val="single"/>
        </w:rPr>
        <w:t>一</w:t>
      </w:r>
      <w:r>
        <w:rPr>
          <w:rFonts w:hint="eastAsia" w:ascii="仿宋" w:hAnsi="仿宋" w:eastAsia="仿宋"/>
          <w:spacing w:val="-12"/>
          <w:sz w:val="32"/>
          <w:szCs w:val="32"/>
        </w:rPr>
        <w:t>份送达，</w:t>
      </w:r>
      <w:r>
        <w:rPr>
          <w:rFonts w:hint="eastAsia" w:ascii="仿宋" w:hAnsi="仿宋" w:eastAsia="仿宋"/>
          <w:spacing w:val="-12"/>
          <w:sz w:val="32"/>
          <w:szCs w:val="32"/>
          <w:u w:val="single"/>
        </w:rPr>
        <w:t>一</w:t>
      </w:r>
      <w:r>
        <w:rPr>
          <w:rFonts w:hint="eastAsia" w:ascii="仿宋" w:hAnsi="仿宋" w:eastAsia="仿宋"/>
          <w:spacing w:val="-12"/>
          <w:sz w:val="32"/>
          <w:szCs w:val="32"/>
        </w:rPr>
        <w:t>份归档，</w:t>
      </w:r>
      <w:r>
        <w:rPr>
          <w:rFonts w:hint="eastAsia" w:ascii="仿宋" w:hAnsi="仿宋" w:eastAsia="仿宋"/>
          <w:spacing w:val="-12"/>
          <w:sz w:val="32"/>
          <w:szCs w:val="32"/>
          <w:u w:val="single"/>
        </w:rPr>
        <w:t>一</w:t>
      </w:r>
      <w:r>
        <w:rPr>
          <w:rFonts w:hint="eastAsia" w:ascii="仿宋" w:hAnsi="仿宋" w:eastAsia="仿宋"/>
          <w:spacing w:val="-12"/>
          <w:sz w:val="32"/>
          <w:szCs w:val="32"/>
        </w:rPr>
        <w:t>份办案机构留存。</w:t>
      </w:r>
    </w:p>
    <w:p w14:paraId="64A19023"/>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E099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40F757">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40F757">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B1B3EFC"/>
    <w:rsid w:val="2C775033"/>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CE35D4B"/>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9B1F62"/>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Emphasis"/>
    <w:basedOn w:val="8"/>
    <w:qFormat/>
    <w:uiPriority w:val="20"/>
    <w:rPr>
      <w:i/>
      <w:iCs/>
    </w:rPr>
  </w:style>
  <w:style w:type="paragraph" w:customStyle="1" w:styleId="10">
    <w:name w:val="contentarticle"/>
    <w:basedOn w:val="1"/>
    <w:qFormat/>
    <w:uiPriority w:val="0"/>
    <w:pPr>
      <w:spacing w:before="100" w:beforeAutospacing="1" w:after="100" w:afterAutospacing="1"/>
    </w:pPr>
    <w:rPr>
      <w:rFonts w:ascii="宋体" w:hAnsi="宋体" w:eastAsia="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2526</Words>
  <Characters>2808</Characters>
  <Lines>0</Lines>
  <Paragraphs>0</Paragraphs>
  <TotalTime>0</TotalTime>
  <ScaleCrop>false</ScaleCrop>
  <LinksUpToDate>false</LinksUpToDate>
  <CharactersWithSpaces>3005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2025-08-19T07:06:35Z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603AF5C05E0E4021A7737FCDDDFCE6DD_13</vt:lpwstr>
  </property>
  <property fmtid="{D5CDD505-2E9C-101B-9397-08002B2CF9AE}" pid="4" name="KSOTemplateDocerSaveRecord">
    <vt:lpwstr>eyJoZGlkIjoiOTJkNzdiMWY1ZWU2ZWU3NmE4ZTUxNGRmYWVhMzdjNDQiLCJ1c2VySWQiOiI4ODA3MzMzNDYifQ==</vt:lpwstr>
  </property>
</Properties>
</file>