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CB263">
      <w:pPr>
        <w:ind w:firstLine="1040"/>
        <w:rPr>
          <w:rFonts w:ascii="Times New Roman" w:hAnsi="Times New Roman"/>
          <w:sz w:val="44"/>
          <w:szCs w:val="44"/>
        </w:rPr>
      </w:pPr>
      <w:r>
        <w:rPr>
          <w:rFonts w:hint="eastAsia" w:ascii="Times New Roman" w:hAnsi="Times New Roman"/>
          <w:sz w:val="44"/>
          <w:szCs w:val="44"/>
        </w:rPr>
        <w:t xml:space="preserve"> </w:t>
      </w:r>
    </w:p>
    <w:p w14:paraId="52DAC6F7">
      <w:pPr>
        <w:ind w:firstLine="1040"/>
        <w:rPr>
          <w:rFonts w:ascii="Times New Roman" w:hAnsi="Times New Roman"/>
          <w:sz w:val="44"/>
          <w:szCs w:val="44"/>
        </w:rPr>
      </w:pPr>
    </w:p>
    <w:p w14:paraId="2E607BC9">
      <w:pPr>
        <w:ind w:firstLine="1040"/>
        <w:rPr>
          <w:rFonts w:ascii="Times New Roman" w:hAnsi="Times New Roman"/>
          <w:sz w:val="44"/>
          <w:szCs w:val="44"/>
        </w:rPr>
      </w:pPr>
      <w:r>
        <w:rPr>
          <w:rFonts w:ascii="Times New Roman" w:hAnsi="Times New Roman"/>
          <w:sz w:val="44"/>
          <w:szCs w:val="44"/>
        </w:rPr>
        <w:pict>
          <v:shape id="_x0000_s2050" o:spid="_x0000_s2050" o:spt="202" type="#_x0000_t202" style="position:absolute;left:0pt;height:31.2pt;width:76.55pt;mso-position-horizontal:right;mso-position-horizontal-relative:margin;mso-position-vertical:top;mso-position-vertical-relative:margin;mso-wrap-distance-bottom:0pt;mso-wrap-distance-left:9pt;mso-wrap-distance-right:9pt;mso-wrap-distance-top:0pt;z-index:251660288;mso-width-relative:page;mso-height-relative:page;" filled="f" coordsize="21600,21600">
            <v:path/>
            <v:fill on="f" focussize="0,0"/>
            <v:stroke weight="4.5pt" linestyle="thickThin"/>
            <v:imagedata o:title=""/>
            <o:lock v:ext="edit"/>
            <v:textbox inset="0mm,0mm,0mm,0mm">
              <w:txbxContent>
                <w:p w14:paraId="744154E4">
                  <w:pPr>
                    <w:spacing w:line="480" w:lineRule="exact"/>
                    <w:jc w:val="center"/>
                    <w:rPr>
                      <w:b/>
                      <w:sz w:val="32"/>
                      <w:szCs w:val="32"/>
                    </w:rPr>
                  </w:pPr>
                  <w:r>
                    <w:rPr>
                      <w:rFonts w:hint="eastAsia"/>
                      <w:b/>
                      <w:sz w:val="32"/>
                      <w:szCs w:val="32"/>
                    </w:rPr>
                    <w:t>报批版</w:t>
                  </w:r>
                </w:p>
              </w:txbxContent>
            </v:textbox>
            <w10:wrap type="square"/>
          </v:shape>
        </w:pict>
      </w:r>
    </w:p>
    <w:p w14:paraId="7D53E1A1">
      <w:pPr>
        <w:ind w:firstLine="1038"/>
        <w:rPr>
          <w:rFonts w:ascii="Times New Roman" w:hAnsi="Times New Roman"/>
          <w:sz w:val="44"/>
          <w:szCs w:val="44"/>
        </w:rPr>
      </w:pPr>
    </w:p>
    <w:p w14:paraId="7E93943E">
      <w:pPr>
        <w:adjustRightInd w:val="0"/>
        <w:snapToGrid w:val="0"/>
        <w:jc w:val="center"/>
        <w:outlineLvl w:val="0"/>
        <w:rPr>
          <w:rFonts w:ascii="Times New Roman" w:hAnsi="Times New Roman"/>
          <w:bCs/>
          <w:sz w:val="72"/>
          <w:szCs w:val="72"/>
        </w:rPr>
      </w:pPr>
      <w:r>
        <w:rPr>
          <w:rFonts w:ascii="Times New Roman" w:hAnsi="Times New Roman"/>
          <w:bCs/>
          <w:sz w:val="72"/>
          <w:szCs w:val="72"/>
        </w:rPr>
        <w:t>建设项目环境影响报告表</w:t>
      </w:r>
    </w:p>
    <w:p w14:paraId="0292DC8D">
      <w:pPr>
        <w:adjustRightInd w:val="0"/>
        <w:snapToGrid w:val="0"/>
        <w:spacing w:beforeLines="80"/>
        <w:jc w:val="center"/>
        <w:rPr>
          <w:rFonts w:ascii="楷体_GB2312" w:hAnsi="楷体" w:eastAsia="楷体_GB2312"/>
          <w:bCs/>
          <w:sz w:val="48"/>
          <w:szCs w:val="48"/>
        </w:rPr>
      </w:pPr>
      <w:r>
        <w:rPr>
          <w:rFonts w:hint="eastAsia" w:ascii="楷体_GB2312" w:hAnsi="楷体" w:eastAsia="楷体_GB2312"/>
          <w:bCs/>
          <w:sz w:val="48"/>
          <w:szCs w:val="48"/>
        </w:rPr>
        <w:t>（污染影响类）</w:t>
      </w:r>
    </w:p>
    <w:p w14:paraId="7ED8FF68">
      <w:pPr>
        <w:ind w:firstLine="1040"/>
        <w:rPr>
          <w:rFonts w:ascii="Times New Roman" w:hAnsi="Times New Roman"/>
          <w:sz w:val="44"/>
          <w:szCs w:val="44"/>
        </w:rPr>
      </w:pPr>
    </w:p>
    <w:p w14:paraId="79B47D2B">
      <w:pPr>
        <w:ind w:firstLine="1040"/>
        <w:rPr>
          <w:rFonts w:ascii="Times New Roman" w:hAnsi="Times New Roman"/>
          <w:sz w:val="44"/>
          <w:szCs w:val="44"/>
        </w:rPr>
      </w:pPr>
    </w:p>
    <w:p w14:paraId="28512E44">
      <w:pPr>
        <w:ind w:firstLine="1040"/>
        <w:rPr>
          <w:rFonts w:ascii="Times New Roman" w:hAnsi="Times New Roman"/>
          <w:sz w:val="44"/>
          <w:szCs w:val="44"/>
        </w:rPr>
      </w:pPr>
    </w:p>
    <w:p w14:paraId="53B9965F">
      <w:pPr>
        <w:ind w:firstLine="1040"/>
        <w:rPr>
          <w:rFonts w:ascii="Times New Roman" w:hAnsi="Times New Roman"/>
          <w:sz w:val="44"/>
          <w:szCs w:val="44"/>
        </w:rPr>
      </w:pPr>
    </w:p>
    <w:p w14:paraId="30F80469">
      <w:pPr>
        <w:ind w:firstLine="1040"/>
        <w:rPr>
          <w:rFonts w:ascii="Times New Roman" w:hAnsi="Times New Roman"/>
          <w:sz w:val="44"/>
          <w:szCs w:val="44"/>
        </w:rPr>
      </w:pPr>
    </w:p>
    <w:p w14:paraId="53C078CD">
      <w:pPr>
        <w:ind w:firstLine="1040"/>
        <w:rPr>
          <w:rFonts w:ascii="Times New Roman" w:hAnsi="Times New Roman" w:eastAsia="楷体_GB2312"/>
          <w:sz w:val="36"/>
          <w:szCs w:val="44"/>
        </w:rPr>
      </w:pPr>
    </w:p>
    <w:p w14:paraId="4B73F1F4">
      <w:pPr>
        <w:rPr>
          <w:rFonts w:ascii="Times New Roman" w:hAnsi="Times New Roman" w:eastAsia="楷体_GB2312"/>
          <w:sz w:val="36"/>
          <w:szCs w:val="44"/>
        </w:rPr>
      </w:pPr>
    </w:p>
    <w:tbl>
      <w:tblPr>
        <w:tblStyle w:val="88"/>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3"/>
        <w:gridCol w:w="1162"/>
        <w:gridCol w:w="6301"/>
      </w:tblGrid>
      <w:tr w14:paraId="5DB2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3" w:type="dxa"/>
            <w:tcBorders>
              <w:top w:val="nil"/>
              <w:left w:val="nil"/>
              <w:bottom w:val="nil"/>
              <w:right w:val="nil"/>
            </w:tcBorders>
          </w:tcPr>
          <w:p w14:paraId="3E7DFD63">
            <w:pPr>
              <w:spacing w:line="720" w:lineRule="exact"/>
              <w:rPr>
                <w:rFonts w:ascii="楷体_GB2312" w:eastAsia="楷体_GB2312"/>
                <w:sz w:val="44"/>
                <w:szCs w:val="44"/>
              </w:rPr>
            </w:pPr>
            <w:bookmarkStart w:id="0" w:name="_Hlk57884087"/>
            <w:r>
              <w:rPr>
                <w:rFonts w:hint="eastAsia" w:ascii="楷体_GB2312" w:eastAsia="楷体_GB2312"/>
                <w:sz w:val="36"/>
                <w:szCs w:val="36"/>
              </w:rPr>
              <w:t>项目名称：</w:t>
            </w:r>
          </w:p>
        </w:tc>
        <w:tc>
          <w:tcPr>
            <w:tcW w:w="7463" w:type="dxa"/>
            <w:gridSpan w:val="2"/>
            <w:tcBorders>
              <w:top w:val="nil"/>
              <w:left w:val="nil"/>
              <w:right w:val="nil"/>
            </w:tcBorders>
          </w:tcPr>
          <w:p w14:paraId="5D7A4C9B">
            <w:pPr>
              <w:spacing w:line="720" w:lineRule="exact"/>
              <w:jc w:val="center"/>
              <w:rPr>
                <w:rFonts w:ascii="楷体_GB2312" w:eastAsia="楷体_GB2312"/>
                <w:sz w:val="44"/>
                <w:szCs w:val="44"/>
              </w:rPr>
            </w:pPr>
            <w:r>
              <w:rPr>
                <w:rFonts w:hint="eastAsia" w:ascii="楷体_GB2312" w:eastAsia="楷体_GB2312"/>
                <w:sz w:val="36"/>
                <w:szCs w:val="36"/>
              </w:rPr>
              <w:t>洛阳市迈威鞋业有限公司年产50万</w:t>
            </w:r>
          </w:p>
        </w:tc>
      </w:tr>
      <w:tr w14:paraId="3A6D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3" w:type="dxa"/>
            <w:tcBorders>
              <w:top w:val="nil"/>
              <w:left w:val="nil"/>
              <w:bottom w:val="nil"/>
              <w:right w:val="nil"/>
            </w:tcBorders>
          </w:tcPr>
          <w:p w14:paraId="0BB79104">
            <w:pPr>
              <w:spacing w:line="720" w:lineRule="exact"/>
              <w:rPr>
                <w:rFonts w:ascii="楷体_GB2312" w:eastAsia="楷体_GB2312"/>
                <w:sz w:val="36"/>
                <w:szCs w:val="36"/>
              </w:rPr>
            </w:pPr>
          </w:p>
        </w:tc>
        <w:tc>
          <w:tcPr>
            <w:tcW w:w="7463" w:type="dxa"/>
            <w:gridSpan w:val="2"/>
            <w:tcBorders>
              <w:top w:val="nil"/>
              <w:left w:val="nil"/>
              <w:right w:val="nil"/>
            </w:tcBorders>
          </w:tcPr>
          <w:p w14:paraId="6C039A3D">
            <w:pPr>
              <w:spacing w:line="720" w:lineRule="exact"/>
              <w:jc w:val="center"/>
              <w:rPr>
                <w:rFonts w:ascii="楷体_GB2312" w:eastAsia="楷体_GB2312"/>
                <w:sz w:val="36"/>
                <w:szCs w:val="36"/>
              </w:rPr>
            </w:pPr>
            <w:r>
              <w:rPr>
                <w:rFonts w:hint="eastAsia" w:ascii="楷体_GB2312" w:eastAsia="楷体_GB2312"/>
                <w:sz w:val="36"/>
                <w:szCs w:val="36"/>
              </w:rPr>
              <w:t>双布鞋、100万双鞋底片项目</w:t>
            </w:r>
          </w:p>
        </w:tc>
      </w:tr>
      <w:tr w14:paraId="491E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55" w:type="dxa"/>
            <w:gridSpan w:val="2"/>
            <w:tcBorders>
              <w:top w:val="nil"/>
              <w:left w:val="nil"/>
              <w:bottom w:val="nil"/>
              <w:right w:val="nil"/>
            </w:tcBorders>
          </w:tcPr>
          <w:p w14:paraId="2B14DBEE">
            <w:pPr>
              <w:spacing w:line="720" w:lineRule="exact"/>
              <w:rPr>
                <w:rFonts w:ascii="楷体_GB2312" w:eastAsia="楷体_GB2312"/>
                <w:sz w:val="44"/>
                <w:szCs w:val="44"/>
              </w:rPr>
            </w:pPr>
            <w:r>
              <w:rPr>
                <w:rFonts w:hint="eastAsia" w:ascii="楷体_GB2312" w:eastAsia="楷体_GB2312"/>
                <w:sz w:val="36"/>
                <w:szCs w:val="36"/>
              </w:rPr>
              <w:t>建设单位（盖章）：</w:t>
            </w:r>
          </w:p>
        </w:tc>
        <w:tc>
          <w:tcPr>
            <w:tcW w:w="6301" w:type="dxa"/>
            <w:tcBorders>
              <w:left w:val="nil"/>
              <w:right w:val="nil"/>
            </w:tcBorders>
          </w:tcPr>
          <w:p w14:paraId="4DDAC462">
            <w:pPr>
              <w:spacing w:line="720" w:lineRule="exact"/>
              <w:jc w:val="center"/>
              <w:rPr>
                <w:rFonts w:ascii="楷体_GB2312" w:eastAsia="楷体_GB2312"/>
                <w:sz w:val="44"/>
                <w:szCs w:val="44"/>
              </w:rPr>
            </w:pPr>
            <w:r>
              <w:rPr>
                <w:rFonts w:hint="eastAsia" w:ascii="楷体_GB2312" w:eastAsia="楷体_GB2312"/>
                <w:sz w:val="36"/>
                <w:szCs w:val="36"/>
              </w:rPr>
              <w:t>洛阳市迈威鞋业有限公司</w:t>
            </w:r>
          </w:p>
        </w:tc>
      </w:tr>
      <w:tr w14:paraId="4D5A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3" w:type="dxa"/>
            <w:tcBorders>
              <w:top w:val="nil"/>
              <w:left w:val="nil"/>
              <w:bottom w:val="nil"/>
              <w:right w:val="nil"/>
            </w:tcBorders>
          </w:tcPr>
          <w:p w14:paraId="27F3F21E">
            <w:pPr>
              <w:spacing w:line="720" w:lineRule="exact"/>
              <w:rPr>
                <w:rFonts w:ascii="楷体_GB2312" w:eastAsia="楷体_GB2312"/>
                <w:sz w:val="44"/>
                <w:szCs w:val="44"/>
              </w:rPr>
            </w:pPr>
            <w:r>
              <w:rPr>
                <w:rFonts w:hint="eastAsia" w:ascii="楷体_GB2312" w:eastAsia="楷体_GB2312"/>
                <w:sz w:val="36"/>
                <w:szCs w:val="36"/>
              </w:rPr>
              <w:t>编制日期：</w:t>
            </w:r>
          </w:p>
        </w:tc>
        <w:tc>
          <w:tcPr>
            <w:tcW w:w="7463" w:type="dxa"/>
            <w:gridSpan w:val="2"/>
            <w:tcBorders>
              <w:top w:val="nil"/>
              <w:left w:val="nil"/>
              <w:right w:val="nil"/>
            </w:tcBorders>
          </w:tcPr>
          <w:p w14:paraId="18D03819">
            <w:pPr>
              <w:spacing w:line="720" w:lineRule="exact"/>
              <w:ind w:left="2400" w:leftChars="1000"/>
              <w:rPr>
                <w:rFonts w:ascii="楷体_GB2312" w:eastAsia="楷体_GB2312"/>
                <w:sz w:val="44"/>
                <w:szCs w:val="44"/>
              </w:rPr>
            </w:pPr>
            <w:r>
              <w:rPr>
                <w:rFonts w:hint="eastAsia" w:ascii="楷体_GB2312" w:eastAsia="楷体_GB2312"/>
                <w:sz w:val="36"/>
                <w:szCs w:val="36"/>
              </w:rPr>
              <w:t>2025年8月</w:t>
            </w:r>
          </w:p>
        </w:tc>
      </w:tr>
    </w:tbl>
    <w:p w14:paraId="6FBE4AE8">
      <w:pPr>
        <w:adjustRightInd w:val="0"/>
        <w:snapToGrid w:val="0"/>
        <w:spacing w:line="288" w:lineRule="auto"/>
        <w:ind w:firstLine="1040"/>
        <w:rPr>
          <w:rFonts w:ascii="Times New Roman" w:hAnsi="Times New Roman"/>
          <w:sz w:val="36"/>
          <w:szCs w:val="36"/>
        </w:rPr>
      </w:pPr>
    </w:p>
    <w:p w14:paraId="0580883A">
      <w:pPr>
        <w:adjustRightInd w:val="0"/>
        <w:snapToGrid w:val="0"/>
        <w:spacing w:line="288" w:lineRule="auto"/>
        <w:ind w:firstLine="1040"/>
        <w:rPr>
          <w:rFonts w:ascii="Times New Roman" w:hAnsi="Times New Roman"/>
          <w:sz w:val="36"/>
          <w:szCs w:val="36"/>
        </w:rPr>
      </w:pPr>
    </w:p>
    <w:bookmarkEnd w:id="0"/>
    <w:p w14:paraId="06881596">
      <w:pPr>
        <w:adjustRightInd w:val="0"/>
        <w:snapToGrid w:val="0"/>
        <w:spacing w:line="288" w:lineRule="auto"/>
        <w:ind w:firstLine="1040"/>
        <w:jc w:val="center"/>
        <w:rPr>
          <w:rFonts w:ascii="楷体_GB2312" w:hAnsi="楷体" w:eastAsia="楷体_GB2312"/>
          <w:sz w:val="36"/>
          <w:szCs w:val="36"/>
        </w:rPr>
      </w:pPr>
      <w:r>
        <w:rPr>
          <w:rFonts w:hint="eastAsia" w:ascii="楷体_GB2312" w:hAnsi="楷体" w:eastAsia="楷体_GB2312"/>
          <w:sz w:val="36"/>
          <w:szCs w:val="36"/>
        </w:rPr>
        <w:t>中华人民共和国生态环境部制</w:t>
      </w:r>
    </w:p>
    <w:p w14:paraId="38D2CCC1">
      <w:pPr>
        <w:adjustRightInd w:val="0"/>
        <w:snapToGrid w:val="0"/>
        <w:spacing w:line="288" w:lineRule="auto"/>
        <w:ind w:firstLine="1040"/>
        <w:rPr>
          <w:rFonts w:ascii="楷体_GB2312" w:hAnsi="楷体" w:eastAsia="楷体_GB2312"/>
          <w:sz w:val="36"/>
          <w:szCs w:val="36"/>
        </w:rPr>
      </w:pPr>
    </w:p>
    <w:p w14:paraId="250DBE52">
      <w:pPr>
        <w:adjustRightInd w:val="0"/>
        <w:snapToGrid w:val="0"/>
        <w:spacing w:line="288" w:lineRule="auto"/>
        <w:ind w:firstLine="1040"/>
        <w:rPr>
          <w:rFonts w:ascii="楷体_GB2312" w:hAnsi="楷体" w:eastAsia="楷体_GB2312"/>
          <w:sz w:val="36"/>
          <w:szCs w:val="36"/>
        </w:rPr>
        <w:sectPr>
          <w:headerReference r:id="rId3" w:type="default"/>
          <w:headerReference r:id="rId4" w:type="even"/>
          <w:pgSz w:w="11907" w:h="16840"/>
          <w:pgMar w:top="1588" w:right="1418" w:bottom="1588" w:left="1418" w:header="851" w:footer="992" w:gutter="0"/>
          <w:pgNumType w:start="1"/>
          <w:cols w:space="425" w:num="1"/>
          <w:docGrid w:type="linesAndChars" w:linePitch="312" w:charSpace="0"/>
        </w:sectPr>
      </w:pPr>
    </w:p>
    <w:p w14:paraId="393B97B2">
      <w:pPr>
        <w:adjustRightInd w:val="0"/>
        <w:snapToGrid w:val="0"/>
        <w:spacing w:line="288" w:lineRule="auto"/>
        <w:rPr>
          <w:rFonts w:ascii="楷体_GB2312" w:hAnsi="楷体" w:eastAsia="楷体_GB2312"/>
          <w:sz w:val="36"/>
          <w:szCs w:val="36"/>
        </w:rPr>
        <w:sectPr>
          <w:footerReference r:id="rId5" w:type="default"/>
          <w:pgSz w:w="11907" w:h="16840"/>
          <w:pgMar w:top="1588" w:right="1418" w:bottom="1588" w:left="1418" w:header="851" w:footer="992" w:gutter="0"/>
          <w:pgNumType w:start="1"/>
          <w:cols w:space="425" w:num="1"/>
          <w:docGrid w:type="linesAndChars" w:linePitch="312" w:charSpace="0"/>
        </w:sectPr>
      </w:pPr>
    </w:p>
    <w:p w14:paraId="4BAE5644">
      <w:pPr>
        <w:pStyle w:val="152"/>
      </w:pPr>
      <w:r>
        <w:rPr>
          <w:rFonts w:hint="eastAsia"/>
        </w:rPr>
        <w:t>一、建设项目基本情况</w:t>
      </w:r>
    </w:p>
    <w:tbl>
      <w:tblPr>
        <w:tblStyle w:val="88"/>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008"/>
        <w:gridCol w:w="1702"/>
        <w:gridCol w:w="1985"/>
        <w:gridCol w:w="3425"/>
      </w:tblGrid>
      <w:tr w14:paraId="2BEF4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5B238360">
            <w:pPr>
              <w:pStyle w:val="156"/>
              <w:spacing w:line="400" w:lineRule="exact"/>
              <w:ind w:firstLine="0" w:firstLineChars="0"/>
              <w:jc w:val="center"/>
              <w:rPr>
                <w:rFonts w:eastAsia="宋体" w:cs="Times New Roman"/>
                <w:szCs w:val="24"/>
              </w:rPr>
            </w:pPr>
            <w:r>
              <w:rPr>
                <w:rFonts w:eastAsia="宋体" w:cs="Times New Roman"/>
                <w:szCs w:val="24"/>
              </w:rPr>
              <w:t>建设项目名称</w:t>
            </w:r>
          </w:p>
        </w:tc>
        <w:tc>
          <w:tcPr>
            <w:tcW w:w="3899" w:type="pct"/>
            <w:gridSpan w:val="3"/>
            <w:vAlign w:val="center"/>
          </w:tcPr>
          <w:p w14:paraId="257F6432">
            <w:pPr>
              <w:pStyle w:val="156"/>
              <w:spacing w:line="400" w:lineRule="exact"/>
              <w:ind w:firstLine="0" w:firstLineChars="0"/>
              <w:jc w:val="center"/>
              <w:rPr>
                <w:rFonts w:eastAsia="宋体" w:cs="Times New Roman"/>
                <w:szCs w:val="24"/>
              </w:rPr>
            </w:pPr>
            <w:r>
              <w:rPr>
                <w:rFonts w:eastAsia="宋体" w:cs="Times New Roman"/>
                <w:szCs w:val="24"/>
              </w:rPr>
              <w:t>洛阳市</w:t>
            </w:r>
            <w:r>
              <w:rPr>
                <w:rFonts w:hint="eastAsia" w:eastAsia="宋体" w:cs="Times New Roman"/>
                <w:szCs w:val="24"/>
              </w:rPr>
              <w:t>迈威</w:t>
            </w:r>
            <w:r>
              <w:rPr>
                <w:rFonts w:eastAsia="宋体" w:cs="Times New Roman"/>
                <w:szCs w:val="24"/>
              </w:rPr>
              <w:t>鞋业有限公司年产</w:t>
            </w:r>
            <w:r>
              <w:rPr>
                <w:rFonts w:hint="eastAsia" w:eastAsia="宋体" w:cs="Times New Roman"/>
                <w:szCs w:val="24"/>
              </w:rPr>
              <w:t>5</w:t>
            </w:r>
            <w:r>
              <w:rPr>
                <w:rFonts w:eastAsia="宋体" w:cs="Times New Roman"/>
                <w:szCs w:val="24"/>
              </w:rPr>
              <w:t>0万双布鞋、</w:t>
            </w:r>
            <w:r>
              <w:rPr>
                <w:rFonts w:hint="eastAsia" w:eastAsia="宋体" w:cs="Times New Roman"/>
                <w:szCs w:val="24"/>
              </w:rPr>
              <w:t>100万双鞋底片</w:t>
            </w:r>
            <w:r>
              <w:rPr>
                <w:rFonts w:eastAsia="宋体" w:cs="Times New Roman"/>
                <w:szCs w:val="24"/>
              </w:rPr>
              <w:t>项目</w:t>
            </w:r>
          </w:p>
        </w:tc>
      </w:tr>
      <w:tr w14:paraId="729A0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34CAD064">
            <w:pPr>
              <w:pStyle w:val="156"/>
              <w:spacing w:line="400" w:lineRule="exact"/>
              <w:ind w:firstLine="0" w:firstLineChars="0"/>
              <w:jc w:val="center"/>
              <w:rPr>
                <w:rFonts w:eastAsia="宋体" w:cs="Times New Roman"/>
                <w:szCs w:val="24"/>
              </w:rPr>
            </w:pPr>
            <w:r>
              <w:rPr>
                <w:rFonts w:eastAsia="宋体" w:cs="Times New Roman"/>
                <w:szCs w:val="24"/>
              </w:rPr>
              <w:t>项目代码</w:t>
            </w:r>
          </w:p>
        </w:tc>
        <w:tc>
          <w:tcPr>
            <w:tcW w:w="3899" w:type="pct"/>
            <w:gridSpan w:val="3"/>
            <w:vAlign w:val="center"/>
          </w:tcPr>
          <w:p w14:paraId="573ACA5E">
            <w:pPr>
              <w:pStyle w:val="156"/>
              <w:spacing w:line="400" w:lineRule="exact"/>
              <w:ind w:firstLine="0" w:firstLineChars="0"/>
              <w:jc w:val="center"/>
              <w:rPr>
                <w:rFonts w:eastAsia="宋体" w:cs="Times New Roman"/>
                <w:szCs w:val="24"/>
              </w:rPr>
            </w:pPr>
            <w:r>
              <w:rPr>
                <w:rFonts w:hint="eastAsia" w:eastAsia="宋体" w:cs="Times New Roman"/>
                <w:szCs w:val="24"/>
              </w:rPr>
              <w:t>2506-410381-04-01-871245</w:t>
            </w:r>
          </w:p>
        </w:tc>
      </w:tr>
      <w:tr w14:paraId="58264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1C2EE1C0">
            <w:pPr>
              <w:pStyle w:val="156"/>
              <w:spacing w:line="400" w:lineRule="exact"/>
              <w:ind w:firstLine="0" w:firstLineChars="0"/>
              <w:jc w:val="center"/>
              <w:rPr>
                <w:rFonts w:eastAsia="宋体" w:cs="Times New Roman"/>
                <w:szCs w:val="24"/>
              </w:rPr>
            </w:pPr>
            <w:r>
              <w:rPr>
                <w:rFonts w:eastAsia="宋体" w:cs="Times New Roman"/>
                <w:szCs w:val="24"/>
              </w:rPr>
              <w:t>建设单位联系人</w:t>
            </w:r>
          </w:p>
        </w:tc>
        <w:tc>
          <w:tcPr>
            <w:tcW w:w="933" w:type="pct"/>
            <w:vAlign w:val="center"/>
          </w:tcPr>
          <w:p w14:paraId="3BEB72F8">
            <w:pPr>
              <w:pStyle w:val="156"/>
              <w:spacing w:line="400" w:lineRule="exact"/>
              <w:ind w:firstLine="0" w:firstLineChars="0"/>
              <w:jc w:val="center"/>
              <w:rPr>
                <w:rFonts w:hint="default" w:eastAsia="宋体" w:cs="Times New Roman"/>
                <w:szCs w:val="24"/>
                <w:lang w:val="en-US" w:eastAsia="zh-CN"/>
              </w:rPr>
            </w:pPr>
            <w:r>
              <w:rPr>
                <w:rFonts w:hint="eastAsia" w:eastAsia="宋体" w:cs="Times New Roman"/>
                <w:szCs w:val="24"/>
                <w:lang w:val="en-US" w:eastAsia="zh-CN"/>
              </w:rPr>
              <w:t>*</w:t>
            </w:r>
          </w:p>
        </w:tc>
        <w:tc>
          <w:tcPr>
            <w:tcW w:w="1088" w:type="pct"/>
            <w:vAlign w:val="center"/>
          </w:tcPr>
          <w:p w14:paraId="591A28DC">
            <w:pPr>
              <w:pStyle w:val="156"/>
              <w:spacing w:line="400" w:lineRule="exact"/>
              <w:ind w:firstLine="0" w:firstLineChars="0"/>
              <w:jc w:val="center"/>
              <w:rPr>
                <w:rFonts w:eastAsia="宋体" w:cs="Times New Roman"/>
                <w:szCs w:val="24"/>
              </w:rPr>
            </w:pPr>
            <w:r>
              <w:rPr>
                <w:rFonts w:eastAsia="宋体" w:cs="Times New Roman"/>
                <w:szCs w:val="24"/>
              </w:rPr>
              <w:t>联系方式</w:t>
            </w:r>
          </w:p>
        </w:tc>
        <w:tc>
          <w:tcPr>
            <w:tcW w:w="1878" w:type="pct"/>
            <w:vAlign w:val="center"/>
          </w:tcPr>
          <w:p w14:paraId="068E2E7C">
            <w:pPr>
              <w:pStyle w:val="156"/>
              <w:spacing w:line="400" w:lineRule="exact"/>
              <w:ind w:firstLine="0" w:firstLineChars="0"/>
              <w:jc w:val="center"/>
              <w:rPr>
                <w:rFonts w:hint="default" w:eastAsia="宋体" w:cs="Times New Roman"/>
                <w:szCs w:val="24"/>
                <w:lang w:val="en-US" w:eastAsia="zh-CN"/>
              </w:rPr>
            </w:pPr>
            <w:r>
              <w:rPr>
                <w:rFonts w:hint="eastAsia" w:eastAsia="宋体" w:cs="Times New Roman"/>
                <w:kern w:val="0"/>
                <w:szCs w:val="24"/>
                <w:lang w:val="en-US" w:eastAsia="zh-CN"/>
              </w:rPr>
              <w:t>**</w:t>
            </w:r>
            <w:bookmarkStart w:id="5" w:name="_GoBack"/>
            <w:bookmarkEnd w:id="5"/>
          </w:p>
        </w:tc>
      </w:tr>
      <w:tr w14:paraId="3FFF0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28F02323">
            <w:pPr>
              <w:pStyle w:val="156"/>
              <w:spacing w:line="400" w:lineRule="exact"/>
              <w:ind w:firstLine="0" w:firstLineChars="0"/>
              <w:jc w:val="center"/>
              <w:rPr>
                <w:rFonts w:eastAsia="宋体" w:cs="Times New Roman"/>
                <w:szCs w:val="24"/>
              </w:rPr>
            </w:pPr>
            <w:r>
              <w:rPr>
                <w:rFonts w:eastAsia="宋体" w:cs="Times New Roman"/>
                <w:szCs w:val="24"/>
              </w:rPr>
              <w:t>建设地点</w:t>
            </w:r>
          </w:p>
        </w:tc>
        <w:tc>
          <w:tcPr>
            <w:tcW w:w="3899" w:type="pct"/>
            <w:gridSpan w:val="3"/>
            <w:vAlign w:val="center"/>
          </w:tcPr>
          <w:p w14:paraId="130A4AF5">
            <w:pPr>
              <w:pStyle w:val="156"/>
              <w:spacing w:line="400" w:lineRule="exact"/>
              <w:ind w:firstLine="0" w:firstLineChars="0"/>
              <w:jc w:val="center"/>
              <w:rPr>
                <w:rFonts w:eastAsia="宋体" w:cs="Times New Roman"/>
                <w:szCs w:val="24"/>
              </w:rPr>
            </w:pPr>
            <w:r>
              <w:rPr>
                <w:rFonts w:eastAsia="宋体" w:cs="Times New Roman"/>
                <w:szCs w:val="24"/>
              </w:rPr>
              <w:t>洛阳市偃师</w:t>
            </w:r>
            <w:r>
              <w:rPr>
                <w:rFonts w:hint="eastAsia" w:eastAsia="宋体" w:cs="Times New Roman"/>
                <w:szCs w:val="24"/>
              </w:rPr>
              <w:t>市先进制造业开发区</w:t>
            </w:r>
            <w:r>
              <w:rPr>
                <w:rFonts w:eastAsia="宋体" w:cs="Times New Roman"/>
                <w:szCs w:val="24"/>
              </w:rPr>
              <w:t>山化</w:t>
            </w:r>
            <w:r>
              <w:rPr>
                <w:rFonts w:hint="eastAsia" w:eastAsia="宋体" w:cs="Times New Roman"/>
                <w:szCs w:val="24"/>
              </w:rPr>
              <w:t>片</w:t>
            </w:r>
            <w:r>
              <w:rPr>
                <w:rFonts w:eastAsia="宋体" w:cs="Times New Roman"/>
                <w:szCs w:val="24"/>
              </w:rPr>
              <w:t>区</w:t>
            </w:r>
            <w:r>
              <w:rPr>
                <w:rFonts w:hint="eastAsia" w:eastAsia="宋体" w:cs="Times New Roman"/>
                <w:szCs w:val="24"/>
              </w:rPr>
              <w:t>东屯工业区</w:t>
            </w:r>
          </w:p>
        </w:tc>
      </w:tr>
      <w:tr w14:paraId="74E81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3D201EC3">
            <w:pPr>
              <w:pStyle w:val="156"/>
              <w:spacing w:line="400" w:lineRule="exact"/>
              <w:ind w:firstLine="0" w:firstLineChars="0"/>
              <w:jc w:val="center"/>
              <w:rPr>
                <w:rFonts w:eastAsia="宋体" w:cs="Times New Roman"/>
                <w:szCs w:val="24"/>
              </w:rPr>
            </w:pPr>
            <w:r>
              <w:rPr>
                <w:rFonts w:eastAsia="宋体" w:cs="Times New Roman"/>
                <w:szCs w:val="24"/>
              </w:rPr>
              <w:t>地理坐标</w:t>
            </w:r>
          </w:p>
        </w:tc>
        <w:tc>
          <w:tcPr>
            <w:tcW w:w="3899" w:type="pct"/>
            <w:gridSpan w:val="3"/>
            <w:vAlign w:val="center"/>
          </w:tcPr>
          <w:p w14:paraId="19A38D7B">
            <w:pPr>
              <w:pStyle w:val="156"/>
              <w:spacing w:line="400" w:lineRule="exact"/>
              <w:ind w:firstLine="0" w:firstLineChars="0"/>
              <w:jc w:val="center"/>
              <w:rPr>
                <w:rFonts w:eastAsia="宋体" w:cs="Times New Roman"/>
                <w:szCs w:val="24"/>
              </w:rPr>
            </w:pPr>
            <w:r>
              <w:rPr>
                <w:rFonts w:eastAsia="宋体" w:cs="Times New Roman"/>
                <w:szCs w:val="24"/>
              </w:rPr>
              <w:t>（112度</w:t>
            </w:r>
            <w:r>
              <w:rPr>
                <w:rFonts w:hint="eastAsia" w:eastAsia="宋体" w:cs="Times New Roman"/>
                <w:szCs w:val="24"/>
              </w:rPr>
              <w:t>49</w:t>
            </w:r>
            <w:r>
              <w:rPr>
                <w:rFonts w:eastAsia="宋体" w:cs="Times New Roman"/>
                <w:szCs w:val="24"/>
              </w:rPr>
              <w:t>分</w:t>
            </w:r>
            <w:r>
              <w:rPr>
                <w:rFonts w:hint="eastAsia" w:eastAsia="宋体" w:cs="Times New Roman"/>
                <w:szCs w:val="24"/>
              </w:rPr>
              <w:t>58.487</w:t>
            </w:r>
            <w:r>
              <w:rPr>
                <w:rFonts w:eastAsia="宋体" w:cs="Times New Roman"/>
                <w:szCs w:val="24"/>
              </w:rPr>
              <w:t>秒，</w:t>
            </w:r>
            <w:bookmarkStart w:id="1" w:name="OLE_LINK9"/>
            <w:bookmarkStart w:id="2" w:name="OLE_LINK10"/>
            <w:r>
              <w:rPr>
                <w:rFonts w:eastAsia="宋体" w:cs="Times New Roman"/>
                <w:szCs w:val="24"/>
              </w:rPr>
              <w:t>34度</w:t>
            </w:r>
            <w:r>
              <w:rPr>
                <w:rFonts w:hint="eastAsia" w:eastAsia="宋体" w:cs="Times New Roman"/>
                <w:szCs w:val="24"/>
              </w:rPr>
              <w:t>42</w:t>
            </w:r>
            <w:r>
              <w:rPr>
                <w:rFonts w:eastAsia="宋体" w:cs="Times New Roman"/>
                <w:szCs w:val="24"/>
              </w:rPr>
              <w:t>分</w:t>
            </w:r>
            <w:r>
              <w:rPr>
                <w:rFonts w:hint="eastAsia" w:eastAsia="宋体" w:cs="Times New Roman"/>
                <w:szCs w:val="24"/>
              </w:rPr>
              <w:t>59.952</w:t>
            </w:r>
            <w:r>
              <w:rPr>
                <w:rFonts w:eastAsia="宋体" w:cs="Times New Roman"/>
                <w:szCs w:val="24"/>
              </w:rPr>
              <w:t>秒</w:t>
            </w:r>
            <w:bookmarkEnd w:id="1"/>
            <w:bookmarkEnd w:id="2"/>
            <w:r>
              <w:rPr>
                <w:rFonts w:eastAsia="宋体" w:cs="Times New Roman"/>
                <w:szCs w:val="24"/>
              </w:rPr>
              <w:t>）</w:t>
            </w:r>
          </w:p>
        </w:tc>
      </w:tr>
      <w:tr w14:paraId="5817F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21274638">
            <w:pPr>
              <w:pStyle w:val="156"/>
              <w:spacing w:line="400" w:lineRule="exact"/>
              <w:ind w:firstLine="0" w:firstLineChars="0"/>
              <w:jc w:val="center"/>
              <w:rPr>
                <w:rFonts w:eastAsia="宋体" w:cs="Times New Roman"/>
                <w:szCs w:val="24"/>
              </w:rPr>
            </w:pPr>
            <w:r>
              <w:rPr>
                <w:rFonts w:eastAsia="宋体" w:cs="Times New Roman"/>
                <w:szCs w:val="24"/>
              </w:rPr>
              <w:t>国民经济</w:t>
            </w:r>
          </w:p>
          <w:p w14:paraId="585D8924">
            <w:pPr>
              <w:pStyle w:val="156"/>
              <w:spacing w:line="400" w:lineRule="exact"/>
              <w:ind w:firstLine="0" w:firstLineChars="0"/>
              <w:jc w:val="center"/>
              <w:rPr>
                <w:rFonts w:eastAsia="宋体" w:cs="Times New Roman"/>
                <w:szCs w:val="24"/>
              </w:rPr>
            </w:pPr>
            <w:r>
              <w:rPr>
                <w:rFonts w:eastAsia="宋体" w:cs="Times New Roman"/>
                <w:szCs w:val="24"/>
              </w:rPr>
              <w:t>行业类别</w:t>
            </w:r>
          </w:p>
        </w:tc>
        <w:tc>
          <w:tcPr>
            <w:tcW w:w="933" w:type="pct"/>
            <w:vAlign w:val="center"/>
          </w:tcPr>
          <w:p w14:paraId="22BB1499">
            <w:pPr>
              <w:pStyle w:val="156"/>
              <w:spacing w:line="400" w:lineRule="exact"/>
              <w:ind w:firstLine="0" w:firstLineChars="0"/>
              <w:rPr>
                <w:rFonts w:eastAsia="宋体" w:cs="Times New Roman"/>
                <w:szCs w:val="24"/>
              </w:rPr>
            </w:pPr>
            <w:r>
              <w:rPr>
                <w:rFonts w:eastAsia="宋体" w:cs="Times New Roman"/>
                <w:kern w:val="0"/>
                <w:szCs w:val="24"/>
              </w:rPr>
              <w:t>C1951 纺织面料鞋制造</w:t>
            </w:r>
          </w:p>
        </w:tc>
        <w:tc>
          <w:tcPr>
            <w:tcW w:w="1088" w:type="pct"/>
            <w:vAlign w:val="center"/>
          </w:tcPr>
          <w:p w14:paraId="07DC32EF">
            <w:pPr>
              <w:pStyle w:val="156"/>
              <w:spacing w:line="400" w:lineRule="exact"/>
              <w:ind w:firstLine="0" w:firstLineChars="0"/>
              <w:jc w:val="center"/>
              <w:rPr>
                <w:rFonts w:eastAsia="宋体" w:cs="Times New Roman"/>
                <w:szCs w:val="24"/>
              </w:rPr>
            </w:pPr>
            <w:r>
              <w:rPr>
                <w:rFonts w:eastAsia="宋体" w:cs="Times New Roman"/>
                <w:szCs w:val="24"/>
              </w:rPr>
              <w:t>建设项目</w:t>
            </w:r>
          </w:p>
          <w:p w14:paraId="1F47D73A">
            <w:pPr>
              <w:pStyle w:val="156"/>
              <w:spacing w:line="400" w:lineRule="exact"/>
              <w:ind w:firstLine="0" w:firstLineChars="0"/>
              <w:jc w:val="center"/>
              <w:rPr>
                <w:rFonts w:eastAsia="宋体" w:cs="Times New Roman"/>
                <w:spacing w:val="-6"/>
                <w:szCs w:val="24"/>
              </w:rPr>
            </w:pPr>
            <w:r>
              <w:rPr>
                <w:rFonts w:eastAsia="宋体" w:cs="Times New Roman"/>
                <w:szCs w:val="24"/>
              </w:rPr>
              <w:t>行业类别</w:t>
            </w:r>
          </w:p>
        </w:tc>
        <w:tc>
          <w:tcPr>
            <w:tcW w:w="1878" w:type="pct"/>
            <w:vAlign w:val="center"/>
          </w:tcPr>
          <w:p w14:paraId="1D3B1583">
            <w:pPr>
              <w:pStyle w:val="156"/>
              <w:spacing w:line="400" w:lineRule="exact"/>
              <w:ind w:firstLine="0" w:firstLineChars="0"/>
              <w:rPr>
                <w:rFonts w:eastAsia="宋体" w:cs="Times New Roman"/>
                <w:szCs w:val="24"/>
              </w:rPr>
            </w:pPr>
            <w:r>
              <w:rPr>
                <w:rFonts w:eastAsia="宋体" w:cs="Times New Roman"/>
                <w:kern w:val="0"/>
                <w:szCs w:val="24"/>
              </w:rPr>
              <w:t>十六、皮革、毛皮、羽毛及其制品和制鞋业19：32 制鞋业195</w:t>
            </w:r>
          </w:p>
        </w:tc>
      </w:tr>
      <w:tr w14:paraId="4312A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7E94D6B4">
            <w:pPr>
              <w:pStyle w:val="156"/>
              <w:spacing w:line="400" w:lineRule="exact"/>
              <w:ind w:firstLine="0" w:firstLineChars="0"/>
              <w:jc w:val="center"/>
              <w:rPr>
                <w:rFonts w:eastAsia="宋体" w:cs="Times New Roman"/>
                <w:szCs w:val="24"/>
              </w:rPr>
            </w:pPr>
            <w:r>
              <w:rPr>
                <w:rFonts w:eastAsia="宋体" w:cs="Times New Roman"/>
                <w:szCs w:val="24"/>
              </w:rPr>
              <w:t>建设性质</w:t>
            </w:r>
          </w:p>
        </w:tc>
        <w:tc>
          <w:tcPr>
            <w:tcW w:w="933" w:type="pct"/>
            <w:vAlign w:val="center"/>
          </w:tcPr>
          <w:p w14:paraId="344ED6A5">
            <w:pPr>
              <w:pStyle w:val="156"/>
              <w:spacing w:line="400" w:lineRule="exact"/>
              <w:ind w:firstLine="0" w:firstLineChars="0"/>
              <w:jc w:val="both"/>
              <w:rPr>
                <w:rFonts w:eastAsia="宋体" w:cs="Times New Roman"/>
                <w:szCs w:val="24"/>
              </w:rPr>
            </w:pPr>
            <w:r>
              <w:rPr>
                <w:rFonts w:eastAsia="宋体" w:cs="Times New Roman"/>
                <w:szCs w:val="24"/>
              </w:rPr>
              <w:sym w:font="Wingdings 2" w:char="F052"/>
            </w:r>
            <w:r>
              <w:rPr>
                <w:rFonts w:eastAsia="宋体" w:cs="Times New Roman"/>
                <w:szCs w:val="24"/>
              </w:rPr>
              <w:t>新建（迁建）</w:t>
            </w:r>
          </w:p>
          <w:p w14:paraId="2048D877">
            <w:pPr>
              <w:pStyle w:val="156"/>
              <w:spacing w:line="400" w:lineRule="exact"/>
              <w:ind w:firstLine="0" w:firstLineChars="0"/>
              <w:jc w:val="both"/>
              <w:rPr>
                <w:rFonts w:eastAsia="宋体" w:cs="Times New Roman"/>
                <w:szCs w:val="24"/>
              </w:rPr>
            </w:pPr>
            <w:r>
              <w:rPr>
                <w:rFonts w:eastAsia="宋体" w:cs="Times New Roman"/>
                <w:szCs w:val="24"/>
              </w:rPr>
              <w:sym w:font="Wingdings" w:char="F0A8"/>
            </w:r>
            <w:r>
              <w:rPr>
                <w:rFonts w:eastAsia="宋体" w:cs="Times New Roman"/>
                <w:szCs w:val="24"/>
              </w:rPr>
              <w:t>改建</w:t>
            </w:r>
          </w:p>
          <w:p w14:paraId="76A8B2DF">
            <w:pPr>
              <w:pStyle w:val="156"/>
              <w:spacing w:line="400" w:lineRule="exact"/>
              <w:ind w:firstLine="0" w:firstLineChars="0"/>
              <w:jc w:val="both"/>
              <w:rPr>
                <w:rFonts w:eastAsia="宋体" w:cs="Times New Roman"/>
                <w:szCs w:val="24"/>
              </w:rPr>
            </w:pPr>
            <w:r>
              <w:rPr>
                <w:rFonts w:eastAsia="宋体" w:cs="Times New Roman"/>
                <w:szCs w:val="24"/>
              </w:rPr>
              <w:sym w:font="Wingdings" w:char="F0A8"/>
            </w:r>
            <w:r>
              <w:rPr>
                <w:rFonts w:eastAsia="宋体" w:cs="Times New Roman"/>
                <w:szCs w:val="24"/>
              </w:rPr>
              <w:t>扩建</w:t>
            </w:r>
          </w:p>
          <w:p w14:paraId="4DAE670A">
            <w:pPr>
              <w:pStyle w:val="156"/>
              <w:spacing w:line="400" w:lineRule="exact"/>
              <w:ind w:firstLine="0" w:firstLineChars="0"/>
              <w:jc w:val="both"/>
              <w:rPr>
                <w:rFonts w:eastAsia="宋体" w:cs="Times New Roman"/>
                <w:szCs w:val="24"/>
              </w:rPr>
            </w:pPr>
            <w:r>
              <w:rPr>
                <w:rFonts w:eastAsia="宋体" w:cs="Times New Roman"/>
                <w:szCs w:val="24"/>
              </w:rPr>
              <w:sym w:font="Wingdings" w:char="F0A8"/>
            </w:r>
            <w:r>
              <w:rPr>
                <w:rFonts w:eastAsia="宋体" w:cs="Times New Roman"/>
                <w:szCs w:val="24"/>
              </w:rPr>
              <w:t>技术改造</w:t>
            </w:r>
          </w:p>
        </w:tc>
        <w:tc>
          <w:tcPr>
            <w:tcW w:w="1088" w:type="pct"/>
            <w:vAlign w:val="center"/>
          </w:tcPr>
          <w:p w14:paraId="49253E6F">
            <w:pPr>
              <w:pStyle w:val="156"/>
              <w:spacing w:line="400" w:lineRule="exact"/>
              <w:ind w:firstLine="0" w:firstLineChars="0"/>
              <w:jc w:val="center"/>
              <w:rPr>
                <w:rFonts w:eastAsia="宋体" w:cs="Times New Roman"/>
                <w:szCs w:val="24"/>
              </w:rPr>
            </w:pPr>
            <w:r>
              <w:rPr>
                <w:rFonts w:eastAsia="宋体" w:cs="Times New Roman"/>
                <w:szCs w:val="24"/>
              </w:rPr>
              <w:t>建设项目</w:t>
            </w:r>
          </w:p>
          <w:p w14:paraId="4EAE5458">
            <w:pPr>
              <w:pStyle w:val="156"/>
              <w:spacing w:line="400" w:lineRule="exact"/>
              <w:ind w:firstLine="0" w:firstLineChars="0"/>
              <w:jc w:val="center"/>
              <w:rPr>
                <w:rFonts w:eastAsia="宋体" w:cs="Times New Roman"/>
                <w:szCs w:val="24"/>
              </w:rPr>
            </w:pPr>
            <w:r>
              <w:rPr>
                <w:rFonts w:eastAsia="宋体" w:cs="Times New Roman"/>
                <w:szCs w:val="24"/>
              </w:rPr>
              <w:t>申报情形</w:t>
            </w:r>
          </w:p>
        </w:tc>
        <w:tc>
          <w:tcPr>
            <w:tcW w:w="1878" w:type="pct"/>
            <w:vAlign w:val="center"/>
          </w:tcPr>
          <w:p w14:paraId="69C5AD87">
            <w:pPr>
              <w:pStyle w:val="156"/>
              <w:spacing w:line="400" w:lineRule="exact"/>
              <w:ind w:firstLine="0" w:firstLineChars="0"/>
              <w:jc w:val="both"/>
              <w:rPr>
                <w:rFonts w:eastAsia="宋体" w:cs="Times New Roman"/>
                <w:szCs w:val="24"/>
              </w:rPr>
            </w:pPr>
            <w:r>
              <w:rPr>
                <w:rFonts w:eastAsia="宋体" w:cs="Times New Roman"/>
                <w:szCs w:val="24"/>
              </w:rPr>
              <w:sym w:font="Wingdings 2" w:char="F052"/>
            </w:r>
            <w:r>
              <w:rPr>
                <w:rFonts w:eastAsia="宋体" w:cs="Times New Roman"/>
                <w:szCs w:val="24"/>
              </w:rPr>
              <w:t>首次申报项目</w:t>
            </w:r>
          </w:p>
          <w:p w14:paraId="0F9E3FB4">
            <w:pPr>
              <w:pStyle w:val="156"/>
              <w:spacing w:line="400" w:lineRule="exact"/>
              <w:ind w:firstLine="0" w:firstLineChars="0"/>
              <w:jc w:val="both"/>
              <w:rPr>
                <w:rFonts w:eastAsia="宋体" w:cs="Times New Roman"/>
                <w:szCs w:val="24"/>
              </w:rPr>
            </w:pPr>
            <w:r>
              <w:rPr>
                <w:rFonts w:eastAsia="宋体" w:cs="Times New Roman"/>
                <w:szCs w:val="24"/>
              </w:rPr>
              <w:sym w:font="Wingdings 2" w:char="00A3"/>
            </w:r>
            <w:r>
              <w:rPr>
                <w:rFonts w:eastAsia="宋体" w:cs="Times New Roman"/>
                <w:szCs w:val="24"/>
              </w:rPr>
              <w:t>不予批准后再次申报项目</w:t>
            </w:r>
          </w:p>
          <w:p w14:paraId="7D764B65">
            <w:pPr>
              <w:pStyle w:val="156"/>
              <w:spacing w:line="400" w:lineRule="exact"/>
              <w:ind w:firstLine="0" w:firstLineChars="0"/>
              <w:jc w:val="both"/>
              <w:rPr>
                <w:rFonts w:eastAsia="宋体" w:cs="Times New Roman"/>
                <w:szCs w:val="24"/>
              </w:rPr>
            </w:pPr>
            <w:r>
              <w:rPr>
                <w:rFonts w:eastAsia="宋体" w:cs="Times New Roman"/>
                <w:szCs w:val="24"/>
              </w:rPr>
              <w:sym w:font="Wingdings 2" w:char="00A3"/>
            </w:r>
            <w:r>
              <w:rPr>
                <w:rFonts w:eastAsia="宋体" w:cs="Times New Roman"/>
                <w:szCs w:val="24"/>
              </w:rPr>
              <w:t>超五年重新审核项目</w:t>
            </w:r>
          </w:p>
          <w:p w14:paraId="4D725B3E">
            <w:pPr>
              <w:pStyle w:val="156"/>
              <w:spacing w:line="400" w:lineRule="exact"/>
              <w:ind w:firstLine="0" w:firstLineChars="0"/>
              <w:jc w:val="both"/>
              <w:rPr>
                <w:rFonts w:eastAsia="宋体" w:cs="Times New Roman"/>
                <w:szCs w:val="24"/>
              </w:rPr>
            </w:pPr>
            <w:r>
              <w:rPr>
                <w:rFonts w:eastAsia="宋体" w:cs="Times New Roman"/>
                <w:szCs w:val="24"/>
              </w:rPr>
              <w:sym w:font="Wingdings 2" w:char="00A3"/>
            </w:r>
            <w:r>
              <w:rPr>
                <w:rFonts w:eastAsia="宋体" w:cs="Times New Roman"/>
                <w:szCs w:val="24"/>
              </w:rPr>
              <w:t>重大变动重新报批项目</w:t>
            </w:r>
          </w:p>
        </w:tc>
      </w:tr>
      <w:tr w14:paraId="60860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4935585C">
            <w:pPr>
              <w:pStyle w:val="156"/>
              <w:spacing w:line="400" w:lineRule="exact"/>
              <w:ind w:firstLine="0" w:firstLineChars="0"/>
              <w:jc w:val="center"/>
              <w:rPr>
                <w:rFonts w:eastAsia="宋体" w:cs="Times New Roman"/>
                <w:szCs w:val="24"/>
              </w:rPr>
            </w:pPr>
            <w:r>
              <w:rPr>
                <w:rFonts w:eastAsia="宋体" w:cs="Times New Roman"/>
                <w:szCs w:val="24"/>
              </w:rPr>
              <w:t>项目审批（核准/</w:t>
            </w:r>
          </w:p>
          <w:p w14:paraId="2A59A4CD">
            <w:pPr>
              <w:pStyle w:val="156"/>
              <w:spacing w:line="400" w:lineRule="exact"/>
              <w:ind w:firstLine="0" w:firstLineChars="0"/>
              <w:jc w:val="center"/>
              <w:rPr>
                <w:rFonts w:eastAsia="宋体" w:cs="Times New Roman"/>
                <w:szCs w:val="24"/>
              </w:rPr>
            </w:pPr>
            <w:r>
              <w:rPr>
                <w:rFonts w:eastAsia="宋体" w:cs="Times New Roman"/>
                <w:szCs w:val="24"/>
              </w:rPr>
              <w:t>备案）部门（选填）</w:t>
            </w:r>
          </w:p>
        </w:tc>
        <w:tc>
          <w:tcPr>
            <w:tcW w:w="933" w:type="pct"/>
            <w:vAlign w:val="center"/>
          </w:tcPr>
          <w:p w14:paraId="01A1895E">
            <w:pPr>
              <w:pStyle w:val="156"/>
              <w:spacing w:line="400" w:lineRule="exact"/>
              <w:ind w:firstLine="0" w:firstLineChars="0"/>
              <w:jc w:val="center"/>
              <w:rPr>
                <w:rFonts w:eastAsia="宋体" w:cs="Times New Roman"/>
                <w:szCs w:val="24"/>
              </w:rPr>
            </w:pPr>
            <w:r>
              <w:rPr>
                <w:rFonts w:eastAsia="宋体" w:cs="Times New Roman"/>
                <w:kern w:val="0"/>
                <w:szCs w:val="24"/>
              </w:rPr>
              <w:t>洛阳市偃师区发展和改革委员会</w:t>
            </w:r>
          </w:p>
        </w:tc>
        <w:tc>
          <w:tcPr>
            <w:tcW w:w="1088" w:type="pct"/>
            <w:vAlign w:val="center"/>
          </w:tcPr>
          <w:p w14:paraId="56E990B9">
            <w:pPr>
              <w:pStyle w:val="156"/>
              <w:spacing w:line="400" w:lineRule="exact"/>
              <w:ind w:firstLine="0" w:firstLineChars="0"/>
              <w:jc w:val="center"/>
              <w:rPr>
                <w:rFonts w:eastAsia="宋体" w:cs="Times New Roman"/>
                <w:szCs w:val="24"/>
              </w:rPr>
            </w:pPr>
            <w:r>
              <w:rPr>
                <w:rFonts w:eastAsia="宋体" w:cs="Times New Roman"/>
                <w:szCs w:val="24"/>
              </w:rPr>
              <w:t>项目审批（核准/</w:t>
            </w:r>
          </w:p>
          <w:p w14:paraId="25365B49">
            <w:pPr>
              <w:pStyle w:val="156"/>
              <w:spacing w:line="400" w:lineRule="exact"/>
              <w:ind w:firstLine="0" w:firstLineChars="0"/>
              <w:jc w:val="center"/>
              <w:rPr>
                <w:rFonts w:eastAsia="宋体" w:cs="Times New Roman"/>
                <w:szCs w:val="24"/>
              </w:rPr>
            </w:pPr>
            <w:r>
              <w:rPr>
                <w:rFonts w:eastAsia="宋体" w:cs="Times New Roman"/>
                <w:szCs w:val="24"/>
              </w:rPr>
              <w:t>备案）文号（选填）</w:t>
            </w:r>
          </w:p>
        </w:tc>
        <w:tc>
          <w:tcPr>
            <w:tcW w:w="1878" w:type="pct"/>
            <w:vAlign w:val="center"/>
          </w:tcPr>
          <w:p w14:paraId="5406C61F">
            <w:pPr>
              <w:pStyle w:val="156"/>
              <w:spacing w:line="400" w:lineRule="exact"/>
              <w:ind w:firstLine="0" w:firstLineChars="0"/>
              <w:jc w:val="center"/>
              <w:rPr>
                <w:rFonts w:eastAsia="宋体" w:cs="Times New Roman"/>
                <w:szCs w:val="24"/>
              </w:rPr>
            </w:pPr>
            <w:r>
              <w:rPr>
                <w:rFonts w:eastAsia="宋体" w:cs="Times New Roman"/>
                <w:szCs w:val="24"/>
              </w:rPr>
              <w:t>/</w:t>
            </w:r>
          </w:p>
        </w:tc>
      </w:tr>
      <w:tr w14:paraId="5E130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3F6BF521">
            <w:pPr>
              <w:pStyle w:val="156"/>
              <w:spacing w:line="400" w:lineRule="exact"/>
              <w:ind w:firstLine="0" w:firstLineChars="0"/>
              <w:jc w:val="center"/>
              <w:rPr>
                <w:rFonts w:eastAsia="宋体" w:cs="Times New Roman"/>
                <w:szCs w:val="24"/>
              </w:rPr>
            </w:pPr>
            <w:r>
              <w:rPr>
                <w:rFonts w:eastAsia="宋体" w:cs="Times New Roman"/>
                <w:szCs w:val="24"/>
              </w:rPr>
              <w:t>总投资（万元）</w:t>
            </w:r>
          </w:p>
        </w:tc>
        <w:tc>
          <w:tcPr>
            <w:tcW w:w="933" w:type="pct"/>
            <w:vAlign w:val="center"/>
          </w:tcPr>
          <w:p w14:paraId="6FBF300E">
            <w:pPr>
              <w:pStyle w:val="156"/>
              <w:spacing w:line="400" w:lineRule="exact"/>
              <w:ind w:firstLine="0" w:firstLineChars="0"/>
              <w:jc w:val="center"/>
              <w:rPr>
                <w:rFonts w:eastAsia="宋体" w:cs="Times New Roman"/>
                <w:szCs w:val="24"/>
              </w:rPr>
            </w:pPr>
            <w:r>
              <w:rPr>
                <w:rFonts w:hint="eastAsia" w:eastAsia="宋体" w:cs="Times New Roman"/>
                <w:szCs w:val="24"/>
              </w:rPr>
              <w:t>100</w:t>
            </w:r>
          </w:p>
        </w:tc>
        <w:tc>
          <w:tcPr>
            <w:tcW w:w="1088" w:type="pct"/>
            <w:tcMar>
              <w:top w:w="16" w:type="dxa"/>
              <w:left w:w="16" w:type="dxa"/>
              <w:bottom w:w="0" w:type="dxa"/>
              <w:right w:w="16" w:type="dxa"/>
            </w:tcMar>
            <w:vAlign w:val="center"/>
          </w:tcPr>
          <w:p w14:paraId="7F06FBE1">
            <w:pPr>
              <w:pStyle w:val="156"/>
              <w:spacing w:line="400" w:lineRule="exact"/>
              <w:ind w:firstLine="0" w:firstLineChars="0"/>
              <w:jc w:val="center"/>
              <w:rPr>
                <w:rFonts w:eastAsia="宋体" w:cs="Times New Roman"/>
                <w:szCs w:val="24"/>
              </w:rPr>
            </w:pPr>
            <w:r>
              <w:rPr>
                <w:rFonts w:eastAsia="宋体" w:cs="Times New Roman"/>
                <w:szCs w:val="24"/>
              </w:rPr>
              <w:t>环保投资（万元）</w:t>
            </w:r>
          </w:p>
        </w:tc>
        <w:tc>
          <w:tcPr>
            <w:tcW w:w="1878" w:type="pct"/>
            <w:vAlign w:val="center"/>
          </w:tcPr>
          <w:p w14:paraId="5F775D1D">
            <w:pPr>
              <w:pStyle w:val="156"/>
              <w:spacing w:line="400" w:lineRule="exact"/>
              <w:ind w:firstLine="0" w:firstLineChars="0"/>
              <w:jc w:val="center"/>
              <w:rPr>
                <w:rFonts w:eastAsia="宋体" w:cs="Times New Roman"/>
                <w:szCs w:val="24"/>
              </w:rPr>
            </w:pPr>
            <w:r>
              <w:rPr>
                <w:rFonts w:hint="eastAsia" w:eastAsia="宋体" w:cs="Times New Roman"/>
                <w:szCs w:val="24"/>
              </w:rPr>
              <w:t>12</w:t>
            </w:r>
          </w:p>
        </w:tc>
      </w:tr>
      <w:tr w14:paraId="6AB72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01" w:type="pct"/>
            <w:tcMar>
              <w:top w:w="16" w:type="dxa"/>
              <w:left w:w="16" w:type="dxa"/>
              <w:bottom w:w="0" w:type="dxa"/>
              <w:right w:w="16" w:type="dxa"/>
            </w:tcMar>
            <w:vAlign w:val="center"/>
          </w:tcPr>
          <w:p w14:paraId="7D62782E">
            <w:pPr>
              <w:pStyle w:val="156"/>
              <w:spacing w:line="400" w:lineRule="exact"/>
              <w:ind w:firstLine="0" w:firstLineChars="0"/>
              <w:rPr>
                <w:rFonts w:eastAsia="宋体" w:cs="Times New Roman"/>
                <w:szCs w:val="24"/>
              </w:rPr>
            </w:pPr>
            <w:r>
              <w:rPr>
                <w:rFonts w:eastAsia="宋体" w:cs="Times New Roman"/>
                <w:szCs w:val="24"/>
              </w:rPr>
              <w:t>环保投资占</w:t>
            </w:r>
            <w:r>
              <w:rPr>
                <w:rFonts w:hint="eastAsia" w:eastAsia="宋体" w:cs="Times New Roman"/>
                <w:szCs w:val="24"/>
              </w:rPr>
              <w:t>比</w:t>
            </w:r>
            <w:r>
              <w:rPr>
                <w:rFonts w:eastAsia="宋体" w:cs="Times New Roman"/>
                <w:szCs w:val="24"/>
              </w:rPr>
              <w:t>（%）</w:t>
            </w:r>
          </w:p>
        </w:tc>
        <w:tc>
          <w:tcPr>
            <w:tcW w:w="933" w:type="pct"/>
            <w:vAlign w:val="center"/>
          </w:tcPr>
          <w:p w14:paraId="5F2204F4">
            <w:pPr>
              <w:pStyle w:val="156"/>
              <w:spacing w:line="400" w:lineRule="exact"/>
              <w:ind w:firstLine="0" w:firstLineChars="0"/>
              <w:jc w:val="center"/>
              <w:rPr>
                <w:rFonts w:eastAsia="宋体" w:cs="Times New Roman"/>
                <w:szCs w:val="24"/>
              </w:rPr>
            </w:pPr>
            <w:r>
              <w:rPr>
                <w:rFonts w:hint="eastAsia" w:eastAsia="宋体" w:cs="Times New Roman"/>
                <w:szCs w:val="24"/>
              </w:rPr>
              <w:t>12</w:t>
            </w:r>
          </w:p>
        </w:tc>
        <w:tc>
          <w:tcPr>
            <w:tcW w:w="1088" w:type="pct"/>
            <w:tcMar>
              <w:top w:w="16" w:type="dxa"/>
              <w:left w:w="16" w:type="dxa"/>
              <w:bottom w:w="0" w:type="dxa"/>
              <w:right w:w="16" w:type="dxa"/>
            </w:tcMar>
            <w:vAlign w:val="center"/>
          </w:tcPr>
          <w:p w14:paraId="1C275B1C">
            <w:pPr>
              <w:pStyle w:val="156"/>
              <w:spacing w:line="400" w:lineRule="exact"/>
              <w:ind w:firstLine="0" w:firstLineChars="0"/>
              <w:jc w:val="center"/>
              <w:rPr>
                <w:rFonts w:eastAsia="宋体" w:cs="Times New Roman"/>
                <w:szCs w:val="24"/>
              </w:rPr>
            </w:pPr>
            <w:r>
              <w:rPr>
                <w:rFonts w:eastAsia="宋体" w:cs="Times New Roman"/>
                <w:szCs w:val="24"/>
              </w:rPr>
              <w:t>施工工期</w:t>
            </w:r>
          </w:p>
        </w:tc>
        <w:tc>
          <w:tcPr>
            <w:tcW w:w="1878" w:type="pct"/>
            <w:vAlign w:val="center"/>
          </w:tcPr>
          <w:p w14:paraId="75853016">
            <w:pPr>
              <w:pStyle w:val="156"/>
              <w:spacing w:line="400" w:lineRule="exact"/>
              <w:ind w:firstLine="0" w:firstLineChars="0"/>
              <w:jc w:val="center"/>
              <w:rPr>
                <w:rFonts w:eastAsia="宋体" w:cs="Times New Roman"/>
                <w:szCs w:val="24"/>
              </w:rPr>
            </w:pPr>
            <w:r>
              <w:rPr>
                <w:rFonts w:hint="eastAsia" w:eastAsia="宋体" w:cs="Times New Roman"/>
                <w:szCs w:val="24"/>
              </w:rPr>
              <w:t>3</w:t>
            </w:r>
            <w:r>
              <w:rPr>
                <w:rFonts w:eastAsia="宋体" w:cs="Times New Roman"/>
                <w:szCs w:val="24"/>
              </w:rPr>
              <w:t>个月</w:t>
            </w:r>
          </w:p>
        </w:tc>
      </w:tr>
      <w:tr w14:paraId="18243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1" w:hRule="atLeast"/>
          <w:jc w:val="center"/>
        </w:trPr>
        <w:tc>
          <w:tcPr>
            <w:tcW w:w="1101" w:type="pct"/>
            <w:tcMar>
              <w:top w:w="16" w:type="dxa"/>
              <w:left w:w="16" w:type="dxa"/>
              <w:bottom w:w="0" w:type="dxa"/>
              <w:right w:w="16" w:type="dxa"/>
            </w:tcMar>
            <w:vAlign w:val="center"/>
          </w:tcPr>
          <w:p w14:paraId="419B1A2E">
            <w:pPr>
              <w:pStyle w:val="156"/>
              <w:spacing w:line="400" w:lineRule="exact"/>
              <w:ind w:firstLine="0" w:firstLineChars="0"/>
              <w:jc w:val="center"/>
              <w:rPr>
                <w:rFonts w:eastAsia="宋体" w:cs="Times New Roman"/>
                <w:szCs w:val="24"/>
              </w:rPr>
            </w:pPr>
            <w:r>
              <w:rPr>
                <w:rFonts w:eastAsia="宋体" w:cs="Times New Roman"/>
                <w:szCs w:val="24"/>
              </w:rPr>
              <w:t>是否开工建设</w:t>
            </w:r>
          </w:p>
        </w:tc>
        <w:tc>
          <w:tcPr>
            <w:tcW w:w="933" w:type="pct"/>
            <w:vAlign w:val="center"/>
          </w:tcPr>
          <w:p w14:paraId="4E0DAF6B">
            <w:pPr>
              <w:pStyle w:val="156"/>
              <w:spacing w:line="400" w:lineRule="exact"/>
              <w:ind w:firstLine="0" w:firstLineChars="0"/>
              <w:jc w:val="both"/>
              <w:rPr>
                <w:rFonts w:eastAsia="宋体" w:cs="Times New Roman"/>
                <w:szCs w:val="24"/>
              </w:rPr>
            </w:pPr>
            <w:r>
              <w:rPr>
                <w:rFonts w:eastAsia="宋体" w:cs="Times New Roman"/>
                <w:szCs w:val="24"/>
              </w:rPr>
              <w:fldChar w:fldCharType="begin"/>
            </w:r>
            <w:r>
              <w:rPr>
                <w:rFonts w:eastAsia="宋体" w:cs="Times New Roman"/>
                <w:szCs w:val="24"/>
              </w:rPr>
              <w:instrText xml:space="preserve"> eq \o\ac(□,</w:instrText>
            </w:r>
            <w:r>
              <w:rPr>
                <w:rFonts w:eastAsia="宋体" w:cs="Times New Roman"/>
                <w:position w:val="2"/>
                <w:szCs w:val="24"/>
              </w:rPr>
              <w:instrText xml:space="preserve">√</w:instrText>
            </w:r>
            <w:r>
              <w:rPr>
                <w:rFonts w:eastAsia="宋体" w:cs="Times New Roman"/>
                <w:szCs w:val="24"/>
              </w:rPr>
              <w:instrText xml:space="preserve">)</w:instrText>
            </w:r>
            <w:r>
              <w:rPr>
                <w:rFonts w:eastAsia="宋体" w:cs="Times New Roman"/>
                <w:szCs w:val="24"/>
              </w:rPr>
              <w:fldChar w:fldCharType="end"/>
            </w:r>
            <w:r>
              <w:rPr>
                <w:rFonts w:eastAsia="宋体" w:cs="Times New Roman"/>
                <w:szCs w:val="24"/>
              </w:rPr>
              <w:t>否</w:t>
            </w:r>
          </w:p>
          <w:p w14:paraId="13974488">
            <w:pPr>
              <w:pStyle w:val="156"/>
              <w:spacing w:line="400" w:lineRule="exact"/>
              <w:ind w:firstLine="0" w:firstLineChars="0"/>
              <w:jc w:val="both"/>
              <w:rPr>
                <w:rFonts w:eastAsia="宋体" w:cs="Times New Roman"/>
                <w:szCs w:val="24"/>
              </w:rPr>
            </w:pPr>
            <w:r>
              <w:rPr>
                <w:rFonts w:eastAsia="宋体" w:cs="Times New Roman"/>
                <w:szCs w:val="24"/>
              </w:rPr>
              <w:t>□是：</w:t>
            </w:r>
            <w:r>
              <w:rPr>
                <w:rFonts w:hint="eastAsia" w:eastAsia="宋体" w:cs="Times New Roman"/>
                <w:szCs w:val="24"/>
                <w:u w:val="single"/>
              </w:rPr>
              <w:t xml:space="preserve">        </w:t>
            </w:r>
          </w:p>
        </w:tc>
        <w:tc>
          <w:tcPr>
            <w:tcW w:w="1088" w:type="pct"/>
            <w:tcMar>
              <w:top w:w="16" w:type="dxa"/>
              <w:left w:w="16" w:type="dxa"/>
              <w:bottom w:w="0" w:type="dxa"/>
              <w:right w:w="16" w:type="dxa"/>
            </w:tcMar>
            <w:vAlign w:val="center"/>
          </w:tcPr>
          <w:p w14:paraId="0F238292">
            <w:pPr>
              <w:pStyle w:val="156"/>
              <w:spacing w:line="400" w:lineRule="exact"/>
              <w:ind w:firstLine="0" w:firstLineChars="0"/>
              <w:jc w:val="center"/>
              <w:rPr>
                <w:rFonts w:eastAsia="宋体" w:cs="Times New Roman"/>
                <w:szCs w:val="24"/>
              </w:rPr>
            </w:pPr>
            <w:r>
              <w:rPr>
                <w:rFonts w:eastAsia="宋体" w:cs="Times New Roman"/>
                <w:szCs w:val="24"/>
              </w:rPr>
              <w:t>用地(用海)</w:t>
            </w:r>
          </w:p>
          <w:p w14:paraId="6C46B4F1">
            <w:pPr>
              <w:pStyle w:val="156"/>
              <w:spacing w:line="400" w:lineRule="exact"/>
              <w:ind w:firstLine="0" w:firstLineChars="0"/>
              <w:jc w:val="center"/>
              <w:rPr>
                <w:rFonts w:eastAsia="宋体" w:cs="Times New Roman"/>
                <w:szCs w:val="24"/>
              </w:rPr>
            </w:pPr>
            <w:r>
              <w:rPr>
                <w:rFonts w:eastAsia="宋体" w:cs="Times New Roman"/>
                <w:szCs w:val="24"/>
              </w:rPr>
              <w:t>面积(m</w:t>
            </w:r>
            <w:r>
              <w:rPr>
                <w:rFonts w:eastAsia="宋体" w:cs="Times New Roman"/>
                <w:szCs w:val="24"/>
                <w:vertAlign w:val="superscript"/>
              </w:rPr>
              <w:t>2</w:t>
            </w:r>
            <w:r>
              <w:rPr>
                <w:rFonts w:eastAsia="宋体" w:cs="Times New Roman"/>
                <w:szCs w:val="24"/>
              </w:rPr>
              <w:t>)</w:t>
            </w:r>
          </w:p>
        </w:tc>
        <w:tc>
          <w:tcPr>
            <w:tcW w:w="1878" w:type="pct"/>
            <w:vAlign w:val="center"/>
          </w:tcPr>
          <w:p w14:paraId="0DED73DA">
            <w:pPr>
              <w:pStyle w:val="156"/>
              <w:spacing w:line="400" w:lineRule="exact"/>
              <w:ind w:firstLine="0" w:firstLineChars="0"/>
              <w:jc w:val="center"/>
              <w:rPr>
                <w:rFonts w:eastAsia="宋体" w:cs="Times New Roman"/>
                <w:szCs w:val="24"/>
              </w:rPr>
            </w:pPr>
            <w:r>
              <w:rPr>
                <w:rFonts w:hint="eastAsia" w:eastAsia="宋体" w:cs="Times New Roman"/>
                <w:szCs w:val="24"/>
              </w:rPr>
              <w:t>1400</w:t>
            </w:r>
          </w:p>
        </w:tc>
      </w:tr>
      <w:tr w14:paraId="6C185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2" w:hRule="atLeast"/>
          <w:jc w:val="center"/>
        </w:trPr>
        <w:tc>
          <w:tcPr>
            <w:tcW w:w="5000" w:type="pct"/>
            <w:gridSpan w:val="4"/>
            <w:tcMar>
              <w:top w:w="0" w:type="dxa"/>
              <w:left w:w="108" w:type="dxa"/>
              <w:bottom w:w="0" w:type="dxa"/>
              <w:right w:w="108" w:type="dxa"/>
            </w:tcMar>
            <w:vAlign w:val="center"/>
          </w:tcPr>
          <w:p w14:paraId="714B09F7">
            <w:pPr>
              <w:pStyle w:val="158"/>
              <w:spacing w:before="156" w:line="460" w:lineRule="exact"/>
              <w:rPr>
                <w:rFonts w:eastAsia="宋体" w:cs="Times New Roman"/>
                <w:kern w:val="0"/>
              </w:rPr>
            </w:pPr>
            <w:r>
              <w:rPr>
                <w:rFonts w:hint="eastAsia" w:eastAsia="宋体" w:cs="Times New Roman"/>
                <w:kern w:val="0"/>
              </w:rPr>
              <w:t>专项评价设置情况</w:t>
            </w:r>
          </w:p>
          <w:p w14:paraId="0A241D26">
            <w:pPr>
              <w:pStyle w:val="156"/>
              <w:spacing w:line="400" w:lineRule="exact"/>
              <w:ind w:firstLine="480"/>
              <w:rPr>
                <w:rFonts w:eastAsia="宋体" w:cs="Times New Roman"/>
                <w:szCs w:val="24"/>
              </w:rPr>
            </w:pPr>
            <w:r>
              <w:rPr>
                <w:rFonts w:eastAsia="宋体" w:cs="Times New Roman"/>
              </w:rPr>
              <w:t>无</w:t>
            </w:r>
          </w:p>
        </w:tc>
      </w:tr>
      <w:tr w14:paraId="41BF2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 w:hRule="atLeast"/>
          <w:jc w:val="center"/>
        </w:trPr>
        <w:tc>
          <w:tcPr>
            <w:tcW w:w="5000" w:type="pct"/>
            <w:gridSpan w:val="4"/>
            <w:tcMar>
              <w:top w:w="0" w:type="dxa"/>
              <w:left w:w="108" w:type="dxa"/>
              <w:bottom w:w="0" w:type="dxa"/>
              <w:right w:w="108" w:type="dxa"/>
            </w:tcMar>
            <w:vAlign w:val="center"/>
          </w:tcPr>
          <w:p w14:paraId="23BD058E">
            <w:pPr>
              <w:pStyle w:val="158"/>
              <w:spacing w:before="156"/>
              <w:rPr>
                <w:kern w:val="0"/>
              </w:rPr>
            </w:pPr>
            <w:r>
              <w:t>规划情况</w:t>
            </w:r>
          </w:p>
          <w:p w14:paraId="31E8E797">
            <w:pPr>
              <w:pStyle w:val="156"/>
              <w:ind w:firstLine="480"/>
              <w:rPr>
                <w:rFonts w:eastAsia="宋体" w:cs="Times New Roman"/>
                <w:kern w:val="0"/>
              </w:rPr>
            </w:pPr>
            <w:r>
              <w:rPr>
                <w:rFonts w:eastAsia="宋体" w:cs="Times New Roman"/>
                <w:kern w:val="0"/>
              </w:rPr>
              <w:t>规划名称：《洛阳偃师区先进制造业开发区发展规划（2022~2035年）》</w:t>
            </w:r>
          </w:p>
          <w:p w14:paraId="63AEC8CF">
            <w:pPr>
              <w:pStyle w:val="156"/>
              <w:ind w:firstLine="480"/>
              <w:rPr>
                <w:rFonts w:eastAsia="宋体" w:cs="Times New Roman"/>
                <w:kern w:val="0"/>
              </w:rPr>
            </w:pPr>
            <w:r>
              <w:rPr>
                <w:rFonts w:eastAsia="宋体" w:cs="Times New Roman"/>
                <w:kern w:val="0"/>
              </w:rPr>
              <w:t>按照《中共河南省委河南省人民政府关于推动河南省开发区高质量发展的指导意见》（豫发〔2021〕21号）等工作部署和要求，河南省发展和改革委员会以《河南省发展和改革委员会关于同意洛阳市开发区整合方案的函》（豫发改工业函〔2022〕33号）同意了洛阳偃师区先进制造业开发区整合方案，洛阳偃师区成立了洛阳偃师区先进制造业开发区，并委托洛阳市规划建筑设计研究院有限公司编制了《洛阳偃师区先进制造业开发区发展规划（2022—2035年）》，规划对原偃师产业集聚区规划方案为基础进行适当调整，同时整合偃师区顾县工业园、鞋业产业园等，新增东南板块。</w:t>
            </w:r>
          </w:p>
          <w:p w14:paraId="79282822">
            <w:pPr>
              <w:pStyle w:val="156"/>
              <w:ind w:firstLine="480"/>
              <w:rPr>
                <w:rFonts w:eastAsia="宋体" w:cs="Times New Roman"/>
                <w:kern w:val="0"/>
              </w:rPr>
            </w:pPr>
            <w:r>
              <w:rPr>
                <w:rFonts w:hint="eastAsia" w:eastAsia="宋体" w:cs="Times New Roman"/>
                <w:kern w:val="0"/>
              </w:rPr>
              <w:t>目前，规划审批手续正在进行。</w:t>
            </w:r>
          </w:p>
        </w:tc>
      </w:tr>
      <w:tr w14:paraId="6F831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 w:hRule="atLeast"/>
          <w:jc w:val="center"/>
        </w:trPr>
        <w:tc>
          <w:tcPr>
            <w:tcW w:w="5000" w:type="pct"/>
            <w:gridSpan w:val="4"/>
            <w:tcMar>
              <w:top w:w="0" w:type="dxa"/>
              <w:left w:w="108" w:type="dxa"/>
              <w:bottom w:w="0" w:type="dxa"/>
              <w:right w:w="108" w:type="dxa"/>
            </w:tcMar>
            <w:vAlign w:val="center"/>
          </w:tcPr>
          <w:p w14:paraId="62214565">
            <w:pPr>
              <w:pStyle w:val="158"/>
              <w:spacing w:before="156"/>
            </w:pPr>
            <w:r>
              <w:t>规划环境影响评价情况</w:t>
            </w:r>
          </w:p>
          <w:p w14:paraId="2A4A51F4">
            <w:pPr>
              <w:pStyle w:val="156"/>
              <w:ind w:firstLine="480"/>
              <w:rPr>
                <w:rFonts w:eastAsia="宋体" w:cs="Times New Roman"/>
                <w:kern w:val="0"/>
              </w:rPr>
            </w:pPr>
            <w:r>
              <w:rPr>
                <w:rFonts w:eastAsia="宋体" w:cs="Times New Roman"/>
              </w:rPr>
              <w:t>规划环境影响评价文件名称：</w:t>
            </w:r>
            <w:r>
              <w:rPr>
                <w:rFonts w:eastAsia="宋体" w:cs="Times New Roman"/>
                <w:kern w:val="0"/>
              </w:rPr>
              <w:t>《洛阳偃师区先进制造业开发区发展规划（2022~2035年）环境影响报告书》</w:t>
            </w:r>
          </w:p>
          <w:p w14:paraId="11F3C6ED">
            <w:pPr>
              <w:pStyle w:val="156"/>
              <w:ind w:firstLine="480"/>
              <w:rPr>
                <w:rFonts w:eastAsia="宋体" w:cs="Times New Roman"/>
                <w:kern w:val="0"/>
              </w:rPr>
            </w:pPr>
            <w:r>
              <w:rPr>
                <w:rFonts w:hint="eastAsia" w:eastAsia="宋体" w:cs="Times New Roman"/>
                <w:kern w:val="0"/>
              </w:rPr>
              <w:t>召集</w:t>
            </w:r>
            <w:r>
              <w:rPr>
                <w:rFonts w:eastAsia="宋体" w:cs="Times New Roman"/>
                <w:kern w:val="0"/>
              </w:rPr>
              <w:t>审查机关：河南省生态环境厅</w:t>
            </w:r>
          </w:p>
          <w:p w14:paraId="685D909B">
            <w:pPr>
              <w:pStyle w:val="156"/>
              <w:ind w:firstLine="480"/>
              <w:rPr>
                <w:rFonts w:eastAsia="宋体" w:cs="Times New Roman"/>
                <w:kern w:val="0"/>
              </w:rPr>
            </w:pPr>
            <w:r>
              <w:rPr>
                <w:rFonts w:eastAsia="宋体" w:cs="Times New Roman"/>
                <w:kern w:val="0"/>
              </w:rPr>
              <w:t>审查文件</w:t>
            </w:r>
            <w:r>
              <w:rPr>
                <w:rFonts w:hint="eastAsia" w:eastAsia="宋体" w:cs="Times New Roman"/>
                <w:kern w:val="0"/>
              </w:rPr>
              <w:t>名称</w:t>
            </w:r>
            <w:r>
              <w:rPr>
                <w:rFonts w:eastAsia="宋体" w:cs="Times New Roman"/>
                <w:kern w:val="0"/>
              </w:rPr>
              <w:t>：</w:t>
            </w:r>
            <w:r>
              <w:rPr>
                <w:rFonts w:eastAsia="宋体" w:cs="Times New Roman"/>
              </w:rPr>
              <w:t>《</w:t>
            </w:r>
            <w:r>
              <w:rPr>
                <w:rFonts w:eastAsia="宋体" w:cs="Times New Roman"/>
                <w:kern w:val="0"/>
              </w:rPr>
              <w:t>洛阳偃师区先进制造业开发区发展规划（2022~2035年）环境影响报告书</w:t>
            </w:r>
            <w:r>
              <w:rPr>
                <w:rFonts w:eastAsia="宋体" w:cs="Times New Roman"/>
              </w:rPr>
              <w:t>的审查意见》</w:t>
            </w:r>
          </w:p>
          <w:p w14:paraId="5EE4B8C7">
            <w:pPr>
              <w:pStyle w:val="167"/>
              <w:ind w:firstLine="480"/>
              <w:rPr>
                <w:rFonts w:eastAsia="宋体"/>
              </w:rPr>
            </w:pPr>
            <w:r>
              <w:rPr>
                <w:rFonts w:eastAsia="宋体"/>
              </w:rPr>
              <w:t>审查文件文号：豫环函</w:t>
            </w:r>
            <w:r>
              <w:rPr>
                <w:rFonts w:hint="eastAsia" w:eastAsia="宋体" w:hAnsiTheme="minorEastAsia"/>
              </w:rPr>
              <w:t>〔</w:t>
            </w:r>
            <w:r>
              <w:rPr>
                <w:rFonts w:eastAsia="宋体"/>
              </w:rPr>
              <w:t>2023</w:t>
            </w:r>
            <w:r>
              <w:rPr>
                <w:rFonts w:hint="eastAsia" w:eastAsia="宋体" w:hAnsiTheme="minorEastAsia"/>
              </w:rPr>
              <w:t>〕</w:t>
            </w:r>
            <w:r>
              <w:rPr>
                <w:rFonts w:eastAsia="宋体"/>
              </w:rPr>
              <w:t>103号文</w:t>
            </w:r>
          </w:p>
        </w:tc>
      </w:tr>
      <w:tr w14:paraId="6A35F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 w:hRule="atLeast"/>
          <w:jc w:val="center"/>
        </w:trPr>
        <w:tc>
          <w:tcPr>
            <w:tcW w:w="5000" w:type="pct"/>
            <w:gridSpan w:val="4"/>
            <w:tcMar>
              <w:top w:w="0" w:type="dxa"/>
              <w:left w:w="108" w:type="dxa"/>
              <w:bottom w:w="0" w:type="dxa"/>
              <w:right w:w="108" w:type="dxa"/>
            </w:tcMar>
            <w:vAlign w:val="center"/>
          </w:tcPr>
          <w:p w14:paraId="04CB1D95">
            <w:pPr>
              <w:pStyle w:val="158"/>
              <w:spacing w:before="156"/>
            </w:pPr>
            <w:r>
              <w:t>规划及规划环境影响评价符合性分析</w:t>
            </w:r>
          </w:p>
          <w:p w14:paraId="7781D326">
            <w:pPr>
              <w:pStyle w:val="157"/>
            </w:pPr>
            <w:r>
              <w:t>1</w:t>
            </w:r>
            <w:r>
              <w:rPr>
                <w:rFonts w:hint="eastAsia"/>
              </w:rPr>
              <w:t>、</w:t>
            </w:r>
            <w:r>
              <w:t>洛阳偃师区先进制造业开发区发展规划（2022-2035）</w:t>
            </w:r>
          </w:p>
          <w:p w14:paraId="2CD336EC">
            <w:pPr>
              <w:pStyle w:val="156"/>
              <w:ind w:firstLine="480"/>
              <w:rPr>
                <w:rFonts w:eastAsia="宋体" w:cs="Times New Roman"/>
              </w:rPr>
            </w:pPr>
            <w:r>
              <w:rPr>
                <w:rFonts w:eastAsia="宋体" w:cs="Times New Roman"/>
              </w:rPr>
              <w:t>《洛阳偃师区先进制造业开发区发展规划（2022—2035年）》以原产业集聚区规划方案为基础进行适当调整，同时整合偃师区顾县工业园、鞋业产业园等，新增东南板块，形成洛阳偃师区先进制造业开发区，规划整体形成了</w:t>
            </w:r>
            <w:r>
              <w:rPr>
                <w:rFonts w:hint="eastAsia" w:eastAsia="宋体" w:cs="Times New Roman"/>
              </w:rPr>
              <w:t>“</w:t>
            </w:r>
            <w:r>
              <w:rPr>
                <w:rFonts w:eastAsia="宋体" w:cs="Times New Roman"/>
              </w:rPr>
              <w:t>一区三板块</w:t>
            </w:r>
            <w:r>
              <w:rPr>
                <w:rFonts w:hint="eastAsia" w:eastAsia="宋体" w:cs="Times New Roman"/>
              </w:rPr>
              <w:t>”</w:t>
            </w:r>
            <w:r>
              <w:rPr>
                <w:rFonts w:eastAsia="宋体" w:cs="Times New Roman"/>
              </w:rPr>
              <w:t>的格局，</w:t>
            </w:r>
            <w:r>
              <w:rPr>
                <w:rFonts w:hint="eastAsia" w:eastAsia="宋体" w:cs="Times New Roman"/>
              </w:rPr>
              <w:t>“</w:t>
            </w:r>
            <w:r>
              <w:rPr>
                <w:rFonts w:eastAsia="宋体" w:cs="Times New Roman"/>
              </w:rPr>
              <w:t>三板块</w:t>
            </w:r>
            <w:r>
              <w:rPr>
                <w:rFonts w:hint="eastAsia" w:eastAsia="宋体" w:cs="Times New Roman"/>
              </w:rPr>
              <w:t>”</w:t>
            </w:r>
            <w:r>
              <w:rPr>
                <w:rFonts w:eastAsia="宋体" w:cs="Times New Roman"/>
              </w:rPr>
              <w:t>分别为北环板块、岳滩板块、东南板块。结合洛阳市国土空间规划开发区边界和现状产业发展态势，对板块边界在原产业集聚区边界的基础上进行优化，规划面积从原规划的11.9km</w:t>
            </w:r>
            <w:r>
              <w:rPr>
                <w:rFonts w:eastAsia="宋体" w:cs="Times New Roman"/>
                <w:vertAlign w:val="superscript"/>
              </w:rPr>
              <w:t>2</w:t>
            </w:r>
            <w:r>
              <w:rPr>
                <w:rFonts w:eastAsia="宋体" w:cs="Times New Roman"/>
              </w:rPr>
              <w:t>调整至21.44km</w:t>
            </w:r>
            <w:r>
              <w:rPr>
                <w:rFonts w:eastAsia="宋体" w:cs="Times New Roman"/>
                <w:vertAlign w:val="superscript"/>
              </w:rPr>
              <w:t>2</w:t>
            </w:r>
            <w:r>
              <w:rPr>
                <w:rFonts w:eastAsia="宋体" w:cs="Times New Roman"/>
              </w:rPr>
              <w:t>（北环板块5.09km</w:t>
            </w:r>
            <w:r>
              <w:rPr>
                <w:rFonts w:eastAsia="宋体" w:cs="Times New Roman"/>
                <w:vertAlign w:val="superscript"/>
              </w:rPr>
              <w:t>2</w:t>
            </w:r>
            <w:r>
              <w:rPr>
                <w:rFonts w:eastAsia="宋体" w:cs="Times New Roman"/>
              </w:rPr>
              <w:t>、岳滩板块3.75km</w:t>
            </w:r>
            <w:r>
              <w:rPr>
                <w:rFonts w:eastAsia="宋体" w:cs="Times New Roman"/>
                <w:vertAlign w:val="superscript"/>
              </w:rPr>
              <w:t>2</w:t>
            </w:r>
            <w:r>
              <w:rPr>
                <w:rFonts w:eastAsia="宋体" w:cs="Times New Roman"/>
              </w:rPr>
              <w:t>、东南板块12.60km</w:t>
            </w:r>
            <w:r>
              <w:rPr>
                <w:rFonts w:eastAsia="宋体" w:cs="Times New Roman"/>
                <w:vertAlign w:val="superscript"/>
              </w:rPr>
              <w:t>2</w:t>
            </w:r>
            <w:r>
              <w:rPr>
                <w:rFonts w:eastAsia="宋体" w:cs="Times New Roman"/>
              </w:rPr>
              <w:t>），以无机及有色金属新材料产业、装备制造产业、节能环保产业为三大主导产业，发展定位为郑洛联动高质量发展先导区、黄河流域节能环保产业发展引领区、全国先进制造业基地。</w:t>
            </w:r>
          </w:p>
          <w:p w14:paraId="23799D5B">
            <w:pPr>
              <w:pStyle w:val="156"/>
              <w:ind w:firstLine="480"/>
              <w:rPr>
                <w:rFonts w:eastAsia="宋体" w:cs="Times New Roman"/>
              </w:rPr>
            </w:pPr>
            <w:r>
              <w:rPr>
                <w:rFonts w:eastAsia="宋体" w:cs="Times New Roman"/>
              </w:rPr>
              <w:t>（1）规划时限</w:t>
            </w:r>
          </w:p>
          <w:p w14:paraId="1E2CE592">
            <w:pPr>
              <w:pStyle w:val="156"/>
              <w:ind w:firstLine="480"/>
              <w:rPr>
                <w:rFonts w:eastAsia="宋体" w:cs="Times New Roman"/>
              </w:rPr>
            </w:pPr>
            <w:r>
              <w:rPr>
                <w:rFonts w:eastAsia="宋体" w:cs="Times New Roman"/>
              </w:rPr>
              <w:t>规划期限为2022－2035年，其中近期到2025年，远期到2035年。</w:t>
            </w:r>
          </w:p>
          <w:p w14:paraId="10575247">
            <w:pPr>
              <w:pStyle w:val="156"/>
              <w:ind w:firstLine="480"/>
              <w:rPr>
                <w:rFonts w:eastAsia="宋体" w:cs="Times New Roman"/>
              </w:rPr>
            </w:pPr>
            <w:r>
              <w:rPr>
                <w:rFonts w:eastAsia="宋体" w:cs="Times New Roman"/>
              </w:rPr>
              <w:t>（2）规划范围</w:t>
            </w:r>
          </w:p>
          <w:p w14:paraId="4DC24F3A">
            <w:pPr>
              <w:pStyle w:val="156"/>
              <w:ind w:firstLine="480"/>
              <w:rPr>
                <w:rFonts w:eastAsia="宋体" w:cs="Times New Roman"/>
              </w:rPr>
            </w:pPr>
            <w:r>
              <w:rPr>
                <w:rFonts w:eastAsia="宋体" w:cs="Times New Roman"/>
              </w:rPr>
              <w:t>洛阳偃师区先进制造业开发区整体空间发展布局结构为</w:t>
            </w:r>
            <w:r>
              <w:rPr>
                <w:rFonts w:hint="eastAsia" w:eastAsia="宋体" w:cs="Times New Roman"/>
              </w:rPr>
              <w:t>“</w:t>
            </w:r>
            <w:r>
              <w:rPr>
                <w:rFonts w:eastAsia="宋体" w:cs="Times New Roman"/>
              </w:rPr>
              <w:t>一园区三板块</w:t>
            </w:r>
            <w:r>
              <w:rPr>
                <w:rFonts w:hint="eastAsia" w:eastAsia="宋体" w:cs="Times New Roman"/>
              </w:rPr>
              <w:t>”</w:t>
            </w:r>
            <w:r>
              <w:rPr>
                <w:rFonts w:eastAsia="宋体" w:cs="Times New Roman"/>
              </w:rPr>
              <w:t>，</w:t>
            </w:r>
            <w:r>
              <w:rPr>
                <w:rFonts w:hint="eastAsia" w:eastAsia="宋体" w:cs="Times New Roman"/>
              </w:rPr>
              <w:t>“</w:t>
            </w:r>
            <w:r>
              <w:rPr>
                <w:rFonts w:eastAsia="宋体" w:cs="Times New Roman"/>
              </w:rPr>
              <w:t>三板块</w:t>
            </w:r>
            <w:r>
              <w:rPr>
                <w:rFonts w:hint="eastAsia" w:eastAsia="宋体" w:cs="Times New Roman"/>
              </w:rPr>
              <w:t>”</w:t>
            </w:r>
            <w:r>
              <w:rPr>
                <w:rFonts w:eastAsia="宋体" w:cs="Times New Roman"/>
              </w:rPr>
              <w:t>分别为北环板块、岳滩板块、东南板块，规划总用地面积约21.44平方公里。</w:t>
            </w:r>
          </w:p>
          <w:p w14:paraId="5CC6B6CC">
            <w:pPr>
              <w:pStyle w:val="156"/>
              <w:ind w:firstLine="480"/>
              <w:rPr>
                <w:rFonts w:eastAsia="宋体" w:cs="Times New Roman"/>
              </w:rPr>
            </w:pPr>
            <w:r>
              <w:rPr>
                <w:rFonts w:eastAsia="宋体" w:cs="Times New Roman"/>
              </w:rPr>
              <w:t>北环板块：位于偃师中心城区西北区域，空间范围为东至华润热电，西至龙海玻璃，南至陇海铁路，北至邙山大道、招商大道北侧300米，片区范围面积约5.09平方公里。</w:t>
            </w:r>
          </w:p>
          <w:p w14:paraId="6B0F0237">
            <w:pPr>
              <w:pStyle w:val="156"/>
              <w:ind w:firstLine="480"/>
              <w:rPr>
                <w:rFonts w:eastAsia="宋体" w:cs="Times New Roman"/>
              </w:rPr>
            </w:pPr>
            <w:r>
              <w:rPr>
                <w:rFonts w:eastAsia="宋体" w:cs="Times New Roman"/>
              </w:rPr>
              <w:t>岳滩板块：位于偃师中心城区西南部区域，空间范围为东至杜甫大道，西至恒东新能源，南起规划创业路，北至规划科创路，片区范围面积约3.75平方公里。</w:t>
            </w:r>
          </w:p>
          <w:p w14:paraId="714BB8FE">
            <w:pPr>
              <w:pStyle w:val="156"/>
              <w:ind w:firstLine="480"/>
              <w:rPr>
                <w:rFonts w:eastAsia="宋体" w:cs="Times New Roman"/>
              </w:rPr>
            </w:pPr>
            <w:r>
              <w:rPr>
                <w:rFonts w:eastAsia="宋体" w:cs="Times New Roman"/>
              </w:rPr>
              <w:t>东南板块：位于偃师中心城区东南区域，空间范围为西起S539、商汤大道、规划岭西路，东至洛河堤、干沟河堤、规划岭东路，北至陇海铁路、滨河南路、郑西高铁，南至规划岭南路，片区范围面积约12.60平方公里。</w:t>
            </w:r>
          </w:p>
          <w:p w14:paraId="777CC224">
            <w:pPr>
              <w:pStyle w:val="156"/>
              <w:ind w:firstLine="480"/>
              <w:rPr>
                <w:rFonts w:eastAsia="宋体" w:cs="Times New Roman"/>
              </w:rPr>
            </w:pPr>
            <w:r>
              <w:rPr>
                <w:rFonts w:eastAsia="宋体" w:cs="Times New Roman"/>
              </w:rPr>
              <w:t>（3）主导产业</w:t>
            </w:r>
          </w:p>
          <w:p w14:paraId="1D30FD83">
            <w:pPr>
              <w:pStyle w:val="156"/>
              <w:ind w:firstLine="480"/>
              <w:rPr>
                <w:rFonts w:eastAsia="宋体" w:cs="Times New Roman"/>
              </w:rPr>
            </w:pPr>
            <w:r>
              <w:rPr>
                <w:rFonts w:eastAsia="宋体" w:cs="Times New Roman"/>
              </w:rPr>
              <w:t>根据产业发展趋势、政策导向、区域协同、标杆经验四个维度的研究分析结果，结合偃师开发区产业发展现状和条件，选择无机及有色金属新材料、装备制造、节能环保产业作为偃师开发区的主导产业，各主导产业发展思路和重点环节如下：</w:t>
            </w:r>
          </w:p>
          <w:p w14:paraId="6CCFDA63">
            <w:pPr>
              <w:pStyle w:val="156"/>
              <w:ind w:firstLine="480"/>
              <w:rPr>
                <w:rFonts w:eastAsia="宋体" w:cs="Times New Roman"/>
              </w:rPr>
            </w:pPr>
            <w:r>
              <w:rPr>
                <w:rFonts w:eastAsia="宋体" w:cs="Times New Roman"/>
              </w:rPr>
              <w:t>无机及有色金属新材料产业：重点发展环保型分子筛材料、轻合金等有色金属材料、铝板带箔、锂电箔材、功能玻璃等电子信息材料，形成一批具有自主知识产权产品，打造国际知名分子筛材料基地、全国具有较强影响力的新材料集群。</w:t>
            </w:r>
          </w:p>
          <w:p w14:paraId="76049664">
            <w:pPr>
              <w:pStyle w:val="156"/>
              <w:ind w:firstLine="480"/>
              <w:rPr>
                <w:rFonts w:eastAsia="宋体" w:cs="Times New Roman"/>
              </w:rPr>
            </w:pPr>
            <w:r>
              <w:rPr>
                <w:rFonts w:eastAsia="宋体" w:cs="Times New Roman"/>
              </w:rPr>
              <w:t>装备制造业：重点发展三轮摩托车新能源车制造、新能源装备制造、智能装备等制造业，建设新能源车辆集群。</w:t>
            </w:r>
          </w:p>
          <w:p w14:paraId="600DDED8">
            <w:pPr>
              <w:pStyle w:val="156"/>
              <w:ind w:firstLine="480"/>
              <w:rPr>
                <w:rFonts w:eastAsia="宋体" w:cs="Times New Roman"/>
              </w:rPr>
            </w:pPr>
            <w:r>
              <w:rPr>
                <w:rFonts w:eastAsia="宋体" w:cs="Times New Roman"/>
              </w:rPr>
              <w:t>节能环保产业：重点围绕储能装备、氢能装备、节能技术装备、环保技术装备、余热余压利用技术和设备等领域，积极对接中东方日升、浙江万洋、宁德时代、上海环境、中节能、中信重工等企业，全力推进</w:t>
            </w:r>
            <w:r>
              <w:rPr>
                <w:rFonts w:hint="eastAsia" w:eastAsia="宋体" w:cs="Times New Roman"/>
              </w:rPr>
              <w:t>“</w:t>
            </w:r>
            <w:r>
              <w:rPr>
                <w:rFonts w:eastAsia="宋体" w:cs="Times New Roman"/>
              </w:rPr>
              <w:t>中原节能环保装备产业园</w:t>
            </w:r>
            <w:r>
              <w:rPr>
                <w:rFonts w:hint="eastAsia" w:eastAsia="宋体" w:cs="Times New Roman"/>
              </w:rPr>
              <w:t>”</w:t>
            </w:r>
            <w:r>
              <w:rPr>
                <w:rFonts w:eastAsia="宋体" w:cs="Times New Roman"/>
              </w:rPr>
              <w:t>建设，形成集研发、设计、生产、智造、展示、服务于一体的完整产业链，打造黄河流域节能环保产业发展引领区及中部地区重要节能环保装和储能装备产业集群。</w:t>
            </w:r>
          </w:p>
          <w:p w14:paraId="6BD6FA73">
            <w:pPr>
              <w:pStyle w:val="156"/>
              <w:ind w:firstLine="480"/>
              <w:rPr>
                <w:rFonts w:eastAsia="宋体" w:cs="Times New Roman"/>
              </w:rPr>
            </w:pPr>
            <w:r>
              <w:rPr>
                <w:rFonts w:hint="eastAsia" w:eastAsia="宋体" w:cs="Times New Roman"/>
              </w:rPr>
              <w:t>相符性分析：</w:t>
            </w:r>
          </w:p>
          <w:p w14:paraId="3F2311F1">
            <w:pPr>
              <w:pStyle w:val="156"/>
              <w:ind w:firstLine="480"/>
              <w:rPr>
                <w:rFonts w:eastAsia="宋体" w:cs="Times New Roman"/>
              </w:rPr>
            </w:pPr>
            <w:r>
              <w:rPr>
                <w:rFonts w:eastAsia="宋体" w:cs="Times New Roman"/>
              </w:rPr>
              <w:t>本项目位于</w:t>
            </w:r>
            <w:r>
              <w:rPr>
                <w:rFonts w:eastAsia="宋体" w:cs="Times New Roman"/>
                <w:szCs w:val="24"/>
              </w:rPr>
              <w:t>洛阳偃师</w:t>
            </w:r>
            <w:r>
              <w:rPr>
                <w:rFonts w:hint="eastAsia" w:eastAsia="宋体" w:cs="Times New Roman"/>
                <w:szCs w:val="24"/>
              </w:rPr>
              <w:t>区先进制造业开发区</w:t>
            </w:r>
            <w:r>
              <w:rPr>
                <w:rFonts w:eastAsia="宋体" w:cs="Times New Roman"/>
                <w:szCs w:val="24"/>
              </w:rPr>
              <w:t>山化</w:t>
            </w:r>
            <w:r>
              <w:rPr>
                <w:rFonts w:hint="eastAsia" w:eastAsia="宋体" w:cs="Times New Roman"/>
                <w:szCs w:val="24"/>
              </w:rPr>
              <w:t>片</w:t>
            </w:r>
            <w:r>
              <w:rPr>
                <w:rFonts w:eastAsia="宋体" w:cs="Times New Roman"/>
                <w:szCs w:val="24"/>
              </w:rPr>
              <w:t>区</w:t>
            </w:r>
            <w:r>
              <w:rPr>
                <w:rFonts w:hint="eastAsia" w:eastAsia="宋体" w:cs="Times New Roman"/>
                <w:szCs w:val="24"/>
              </w:rPr>
              <w:t>东屯工业区</w:t>
            </w:r>
            <w:r>
              <w:rPr>
                <w:rFonts w:hint="eastAsia" w:eastAsia="宋体" w:cs="Times New Roman"/>
              </w:rPr>
              <w:t>，属于先进制造业开发区东南板块山化片区</w:t>
            </w:r>
            <w:r>
              <w:rPr>
                <w:rFonts w:eastAsia="宋体" w:cs="Times New Roman"/>
              </w:rPr>
              <w:t>。根据</w:t>
            </w:r>
            <w:r>
              <w:rPr>
                <w:rFonts w:hint="eastAsia"/>
              </w:rPr>
              <w:t>企业租赁协议（附件3）、土地证（附件4），用地性质为工业用地，结合</w:t>
            </w:r>
            <w:r>
              <w:rPr>
                <w:rFonts w:eastAsia="宋体" w:cs="Times New Roman"/>
              </w:rPr>
              <w:t>洛阳偃师区先进制造业开发区用地功能布局</w:t>
            </w:r>
            <w:r>
              <w:rPr>
                <w:rFonts w:hint="eastAsia" w:eastAsia="宋体" w:cs="Times New Roman"/>
              </w:rPr>
              <w:t>关系</w:t>
            </w:r>
            <w:r>
              <w:rPr>
                <w:rFonts w:eastAsia="宋体" w:cs="Times New Roman"/>
              </w:rPr>
              <w:t>图（附图</w:t>
            </w:r>
            <w:r>
              <w:rPr>
                <w:rFonts w:hint="eastAsia" w:eastAsia="宋体" w:cs="Times New Roman"/>
              </w:rPr>
              <w:t>6</w:t>
            </w:r>
            <w:r>
              <w:rPr>
                <w:rFonts w:eastAsia="宋体" w:cs="Times New Roman"/>
              </w:rPr>
              <w:t>），符合</w:t>
            </w:r>
            <w:r>
              <w:rPr>
                <w:rFonts w:hint="eastAsia" w:eastAsia="宋体" w:cs="Times New Roman"/>
              </w:rPr>
              <w:t>土地利用</w:t>
            </w:r>
            <w:r>
              <w:rPr>
                <w:rFonts w:eastAsia="宋体" w:cs="Times New Roman"/>
              </w:rPr>
              <w:t>规划；</w:t>
            </w:r>
            <w:r>
              <w:rPr>
                <w:rFonts w:hint="eastAsia" w:eastAsia="宋体" w:cs="Times New Roman"/>
              </w:rPr>
              <w:t>本项目属于布鞋制造项目，结合</w:t>
            </w:r>
            <w:r>
              <w:rPr>
                <w:rFonts w:eastAsia="宋体" w:cs="Times New Roman"/>
              </w:rPr>
              <w:t>洛阳偃师区先进制造业开发区产业功能布局</w:t>
            </w:r>
            <w:r>
              <w:rPr>
                <w:rFonts w:hint="eastAsia" w:eastAsia="宋体" w:cs="Times New Roman"/>
              </w:rPr>
              <w:t>关系</w:t>
            </w:r>
            <w:r>
              <w:rPr>
                <w:rFonts w:eastAsia="宋体" w:cs="Times New Roman"/>
              </w:rPr>
              <w:t>图（附图</w:t>
            </w:r>
            <w:r>
              <w:rPr>
                <w:rFonts w:hint="eastAsia" w:eastAsia="宋体" w:cs="Times New Roman"/>
              </w:rPr>
              <w:t>7</w:t>
            </w:r>
            <w:r>
              <w:rPr>
                <w:rFonts w:eastAsia="宋体" w:cs="Times New Roman"/>
              </w:rPr>
              <w:t>），</w:t>
            </w:r>
            <w:r>
              <w:rPr>
                <w:rFonts w:hint="eastAsia" w:eastAsia="宋体" w:cs="Times New Roman"/>
              </w:rPr>
              <w:t>所处区域功能规划为</w:t>
            </w:r>
            <w:r>
              <w:rPr>
                <w:rFonts w:eastAsia="宋体" w:cs="Times New Roman"/>
              </w:rPr>
              <w:t>制鞋业、现代服务业开发区</w:t>
            </w:r>
            <w:r>
              <w:rPr>
                <w:rFonts w:hint="eastAsia" w:eastAsia="宋体" w:cs="Times New Roman"/>
              </w:rPr>
              <w:t>，符合产业布局规划。</w:t>
            </w:r>
          </w:p>
          <w:p w14:paraId="30134607">
            <w:pPr>
              <w:pStyle w:val="156"/>
              <w:ind w:firstLine="480"/>
              <w:rPr>
                <w:rFonts w:eastAsia="宋体" w:cs="Times New Roman"/>
              </w:rPr>
            </w:pPr>
            <w:r>
              <w:rPr>
                <w:rFonts w:eastAsia="宋体" w:cs="Times New Roman"/>
              </w:rPr>
              <w:t>（</w:t>
            </w:r>
            <w:r>
              <w:rPr>
                <w:rFonts w:hint="eastAsia" w:eastAsia="宋体" w:cs="Times New Roman"/>
              </w:rPr>
              <w:t>4</w:t>
            </w:r>
            <w:r>
              <w:rPr>
                <w:rFonts w:eastAsia="宋体" w:cs="Times New Roman"/>
              </w:rPr>
              <w:t>）开发区公辅设施</w:t>
            </w:r>
          </w:p>
          <w:p w14:paraId="5DC799DD">
            <w:pPr>
              <w:pStyle w:val="156"/>
              <w:ind w:firstLine="488"/>
              <w:rPr>
                <w:rFonts w:eastAsia="宋体" w:cs="Times New Roman"/>
                <w:spacing w:val="2"/>
              </w:rPr>
            </w:pPr>
            <w:r>
              <w:rPr>
                <w:rFonts w:hAnsi="宋体" w:eastAsia="宋体" w:cs="Times New Roman"/>
                <w:spacing w:val="2"/>
              </w:rPr>
              <w:t>①</w:t>
            </w:r>
            <w:r>
              <w:rPr>
                <w:rFonts w:eastAsia="宋体" w:cs="Times New Roman"/>
                <w:spacing w:val="2"/>
              </w:rPr>
              <w:t xml:space="preserve"> 给水工程规划</w:t>
            </w:r>
          </w:p>
          <w:p w14:paraId="098AEFAA">
            <w:pPr>
              <w:pStyle w:val="156"/>
              <w:ind w:firstLine="488"/>
              <w:rPr>
                <w:rFonts w:eastAsia="宋体" w:cs="Times New Roman"/>
                <w:spacing w:val="2"/>
              </w:rPr>
            </w:pPr>
            <w:r>
              <w:rPr>
                <w:rFonts w:eastAsia="宋体" w:cs="Times New Roman"/>
                <w:spacing w:val="2"/>
              </w:rPr>
              <w:t>规划新建伊洛水厂与顾县水厂。伊洛水厂位于洛河以南、岳滩组团的西北角，设计供水能力为7万立方米/日，占地面积7.5公顷，近期建设一期工程，设计供水能力为4万吨/日，水源由河滩取水井群供给。顾县水厂位于绿色智造科创产业片区东北角，设计供水能力为2万立方米/日，水源为小浪底水库跨区域引水。</w:t>
            </w:r>
          </w:p>
          <w:p w14:paraId="42C4E1D2">
            <w:pPr>
              <w:pStyle w:val="156"/>
              <w:ind w:firstLine="488"/>
              <w:rPr>
                <w:rFonts w:eastAsia="宋体" w:cs="Times New Roman"/>
                <w:spacing w:val="2"/>
              </w:rPr>
            </w:pPr>
            <w:r>
              <w:rPr>
                <w:rFonts w:eastAsia="宋体" w:cs="Times New Roman"/>
                <w:spacing w:val="2"/>
              </w:rPr>
              <w:t>北环片区由第一水厂和第二水厂供给；岳滩板块由伊洛水厂供给；东南板块近期由伊洛水厂供给，远期由规划顾县水厂供给。</w:t>
            </w:r>
          </w:p>
          <w:p w14:paraId="6AF2F4B8">
            <w:pPr>
              <w:pStyle w:val="156"/>
              <w:ind w:firstLine="488"/>
              <w:rPr>
                <w:rFonts w:eastAsia="宋体" w:cs="Times New Roman"/>
                <w:spacing w:val="2"/>
              </w:rPr>
            </w:pPr>
            <w:r>
              <w:rPr>
                <w:rFonts w:hAnsi="宋体" w:eastAsia="宋体" w:cs="Times New Roman"/>
                <w:spacing w:val="2"/>
              </w:rPr>
              <w:t>②</w:t>
            </w:r>
            <w:r>
              <w:rPr>
                <w:rFonts w:eastAsia="宋体" w:cs="Times New Roman"/>
                <w:spacing w:val="2"/>
              </w:rPr>
              <w:t xml:space="preserve"> 排水工程规划</w:t>
            </w:r>
          </w:p>
          <w:p w14:paraId="5AFB412A">
            <w:pPr>
              <w:pStyle w:val="156"/>
              <w:ind w:firstLine="488"/>
              <w:rPr>
                <w:rFonts w:eastAsia="宋体" w:cs="Times New Roman"/>
                <w:spacing w:val="2"/>
              </w:rPr>
            </w:pPr>
            <w:r>
              <w:rPr>
                <w:rFonts w:eastAsia="宋体" w:cs="Times New Roman"/>
                <w:spacing w:val="2"/>
              </w:rPr>
              <w:t>规划现有雨污水合流管道将逐步改造为雨、污水分流，新建城区均采用雨、污水分流的排水体制。</w:t>
            </w:r>
          </w:p>
          <w:p w14:paraId="1D3679AA">
            <w:pPr>
              <w:pStyle w:val="156"/>
              <w:ind w:firstLine="488"/>
              <w:rPr>
                <w:rFonts w:eastAsia="宋体" w:cs="Times New Roman"/>
                <w:spacing w:val="2"/>
              </w:rPr>
            </w:pPr>
            <w:r>
              <w:rPr>
                <w:rFonts w:eastAsia="宋体" w:cs="Times New Roman"/>
                <w:spacing w:val="2"/>
              </w:rPr>
              <w:t>A、污水工程</w:t>
            </w:r>
          </w:p>
          <w:p w14:paraId="7A8E2562">
            <w:pPr>
              <w:pStyle w:val="156"/>
              <w:ind w:firstLine="488"/>
              <w:rPr>
                <w:rFonts w:eastAsia="宋体" w:cs="Times New Roman"/>
                <w:spacing w:val="2"/>
              </w:rPr>
            </w:pPr>
            <w:r>
              <w:rPr>
                <w:rFonts w:eastAsia="宋体" w:cs="Times New Roman"/>
                <w:spacing w:val="2"/>
              </w:rPr>
              <w:t>偃师中心城区划分为4个排水分区，分别为陇海铁路以北片区、陇海铁路以南洛河以北片区和洛河以南伊河以北片区以及顾县片区。规划近期提标改造第三污水处理厂，对现状生物池MBBR改造，新增变配电间及鼓风机房、臭氧发生车间、臭氧接触池、液氧站及厂区管线系统等，推进第四污水处理厂建设，新建日处理污水能力7500吨污水处理厂1座及配套污水管网等设施。</w:t>
            </w:r>
          </w:p>
          <w:p w14:paraId="0B071343">
            <w:pPr>
              <w:pStyle w:val="156"/>
              <w:ind w:firstLine="488"/>
              <w:rPr>
                <w:rFonts w:eastAsia="宋体" w:cs="Times New Roman"/>
                <w:spacing w:val="2"/>
              </w:rPr>
            </w:pPr>
            <w:r>
              <w:rPr>
                <w:rFonts w:eastAsia="宋体" w:cs="Times New Roman"/>
                <w:spacing w:val="2"/>
              </w:rPr>
              <w:t>开发区根据污水分区规划和污水厂布局，结合地形地势，规划布置污水管网系统，开发区内的污水通过污水干管和主干管收集输送到各自的污水厂。污水干管沿道路顺坡敷设，一般敷设在东西向道路的南侧、南北向道路的东侧。</w:t>
            </w:r>
          </w:p>
          <w:p w14:paraId="433CDCA6">
            <w:pPr>
              <w:pStyle w:val="156"/>
              <w:ind w:firstLine="488"/>
              <w:rPr>
                <w:rFonts w:eastAsia="宋体" w:cs="Times New Roman"/>
                <w:spacing w:val="2"/>
              </w:rPr>
            </w:pPr>
            <w:r>
              <w:rPr>
                <w:rFonts w:eastAsia="宋体" w:cs="Times New Roman"/>
                <w:spacing w:val="2"/>
              </w:rPr>
              <w:t>B、雨水工程规划</w:t>
            </w:r>
          </w:p>
          <w:p w14:paraId="56528AB7">
            <w:pPr>
              <w:pStyle w:val="156"/>
              <w:ind w:firstLine="488"/>
              <w:rPr>
                <w:rFonts w:eastAsia="宋体" w:cs="Times New Roman"/>
                <w:spacing w:val="2"/>
              </w:rPr>
            </w:pPr>
            <w:r>
              <w:rPr>
                <w:rFonts w:eastAsia="宋体" w:cs="Times New Roman"/>
                <w:spacing w:val="2"/>
              </w:rPr>
              <w:t>结合偃师水系及地势共分为五大片区，分别为中州渠片区、洛北片区老城组团、洛北片区首阳山组团、伊洛片区，偃师区先进制造业开发区涉及中州渠片区、伊洛片区、顾县片区。</w:t>
            </w:r>
          </w:p>
          <w:p w14:paraId="14C0F96B">
            <w:pPr>
              <w:pStyle w:val="156"/>
              <w:ind w:firstLine="488"/>
              <w:rPr>
                <w:rFonts w:eastAsia="宋体" w:cs="Times New Roman"/>
                <w:spacing w:val="2"/>
              </w:rPr>
            </w:pPr>
            <w:r>
              <w:rPr>
                <w:rFonts w:eastAsia="宋体" w:cs="Times New Roman"/>
                <w:spacing w:val="2"/>
              </w:rPr>
              <w:t>中州渠片区：该片区主要考虑北部山洪的排放，片区范围沿规划区向周边拓展范围至雨水流域范围。该范围北以山脊为界，南至中州渠，北部山洪通过中州渠截流，向东排出规划区。</w:t>
            </w:r>
          </w:p>
          <w:p w14:paraId="19323611">
            <w:pPr>
              <w:pStyle w:val="156"/>
              <w:ind w:firstLine="488"/>
              <w:rPr>
                <w:rFonts w:eastAsia="宋体" w:cs="Times New Roman"/>
                <w:spacing w:val="2"/>
              </w:rPr>
            </w:pPr>
            <w:r>
              <w:rPr>
                <w:rFonts w:eastAsia="宋体" w:cs="Times New Roman"/>
                <w:spacing w:val="2"/>
              </w:rPr>
              <w:t>伊洛片区：岳滩片区内共有水系四条，分别为涝洼渠、帝都渠、夏都渠、杜甫渠，规划结合竖向以地势高低变化点或水渠为界限，将岳滩片区分为若干小分区，最终各分区雨水排至涝洼渠，经由东南侧泵站排放至伊河。</w:t>
            </w:r>
          </w:p>
          <w:p w14:paraId="7DAF294E">
            <w:pPr>
              <w:pStyle w:val="156"/>
              <w:ind w:firstLine="488"/>
              <w:rPr>
                <w:rFonts w:eastAsia="宋体" w:cs="Times New Roman"/>
                <w:spacing w:val="2"/>
              </w:rPr>
            </w:pPr>
            <w:r>
              <w:rPr>
                <w:rFonts w:eastAsia="宋体" w:cs="Times New Roman"/>
                <w:spacing w:val="2"/>
              </w:rPr>
              <w:t>顾县片区：以顾县老310国道为分界，划分为两个雨水分区最终北侧雨水分区雨水排至伊河，南侧雨水分区排至外围水系。</w:t>
            </w:r>
          </w:p>
          <w:p w14:paraId="35941457">
            <w:pPr>
              <w:pStyle w:val="156"/>
              <w:ind w:firstLine="488"/>
              <w:rPr>
                <w:rFonts w:eastAsia="宋体" w:cs="Times New Roman"/>
                <w:spacing w:val="2"/>
              </w:rPr>
            </w:pPr>
            <w:r>
              <w:rPr>
                <w:rFonts w:eastAsia="宋体" w:cs="Times New Roman"/>
                <w:spacing w:val="2"/>
              </w:rPr>
              <w:t>马涧河片区：白云岭片区内雨水流入马涧河后汇入陶化店水库。</w:t>
            </w:r>
          </w:p>
          <w:p w14:paraId="7ED0FEC0">
            <w:pPr>
              <w:pStyle w:val="156"/>
              <w:ind w:firstLine="488"/>
              <w:rPr>
                <w:rFonts w:eastAsia="宋体" w:cs="Times New Roman"/>
                <w:spacing w:val="2"/>
              </w:rPr>
            </w:pPr>
            <w:r>
              <w:rPr>
                <w:rFonts w:hint="eastAsia" w:ascii="宋体" w:hAnsi="宋体" w:eastAsia="宋体" w:cs="Times New Roman"/>
                <w:spacing w:val="2"/>
              </w:rPr>
              <w:t xml:space="preserve">③ </w:t>
            </w:r>
            <w:r>
              <w:rPr>
                <w:rFonts w:eastAsia="宋体" w:cs="Times New Roman"/>
                <w:spacing w:val="2"/>
              </w:rPr>
              <w:t>电力工程规划</w:t>
            </w:r>
          </w:p>
          <w:p w14:paraId="414055F1">
            <w:pPr>
              <w:pStyle w:val="156"/>
              <w:ind w:firstLine="488"/>
              <w:rPr>
                <w:rFonts w:eastAsia="宋体" w:cs="Times New Roman"/>
                <w:spacing w:val="2"/>
              </w:rPr>
            </w:pPr>
            <w:r>
              <w:rPr>
                <w:rFonts w:eastAsia="宋体" w:cs="Times New Roman"/>
                <w:spacing w:val="2"/>
              </w:rPr>
              <w:t>北环片区规划新建一座110kV新庄变，岳滩片区规划新建一座110kV岳滩变，顾县片区南部规划新建110kV顾县东变和110kV白云变。</w:t>
            </w:r>
          </w:p>
          <w:p w14:paraId="3A504FD7">
            <w:pPr>
              <w:pStyle w:val="156"/>
              <w:ind w:firstLine="488"/>
              <w:rPr>
                <w:rFonts w:eastAsia="宋体" w:cs="Times New Roman"/>
                <w:spacing w:val="2"/>
              </w:rPr>
            </w:pPr>
            <w:r>
              <w:rPr>
                <w:rFonts w:hint="eastAsia" w:eastAsia="宋体" w:cs="Times New Roman"/>
                <w:spacing w:val="2"/>
              </w:rPr>
              <w:t>相符性分析：</w:t>
            </w:r>
          </w:p>
          <w:p w14:paraId="7B0E76F4">
            <w:pPr>
              <w:pStyle w:val="156"/>
              <w:ind w:firstLine="480"/>
              <w:rPr>
                <w:rFonts w:eastAsia="宋体" w:cs="Times New Roman"/>
                <w:spacing w:val="2"/>
              </w:rPr>
            </w:pPr>
            <w:r>
              <w:rPr>
                <w:rFonts w:eastAsia="宋体" w:cs="Times New Roman"/>
              </w:rPr>
              <w:t>本项目位于</w:t>
            </w:r>
            <w:r>
              <w:rPr>
                <w:rFonts w:eastAsia="宋体" w:cs="Times New Roman"/>
                <w:szCs w:val="24"/>
              </w:rPr>
              <w:t>洛阳偃师</w:t>
            </w:r>
            <w:r>
              <w:rPr>
                <w:rFonts w:hint="eastAsia" w:eastAsia="宋体" w:cs="Times New Roman"/>
                <w:szCs w:val="24"/>
              </w:rPr>
              <w:t>区先进制造业开发区</w:t>
            </w:r>
            <w:r>
              <w:rPr>
                <w:rFonts w:eastAsia="宋体" w:cs="Times New Roman"/>
                <w:szCs w:val="24"/>
              </w:rPr>
              <w:t>山化</w:t>
            </w:r>
            <w:r>
              <w:rPr>
                <w:rFonts w:hint="eastAsia" w:eastAsia="宋体" w:cs="Times New Roman"/>
                <w:szCs w:val="24"/>
              </w:rPr>
              <w:t>片</w:t>
            </w:r>
            <w:r>
              <w:rPr>
                <w:rFonts w:eastAsia="宋体" w:cs="Times New Roman"/>
                <w:szCs w:val="24"/>
              </w:rPr>
              <w:t>区</w:t>
            </w:r>
            <w:r>
              <w:rPr>
                <w:rFonts w:hint="eastAsia" w:eastAsia="宋体" w:cs="Times New Roman"/>
                <w:szCs w:val="24"/>
              </w:rPr>
              <w:t>东屯工业区</w:t>
            </w:r>
            <w:r>
              <w:rPr>
                <w:rFonts w:hint="eastAsia"/>
              </w:rPr>
              <w:t>，</w:t>
            </w:r>
            <w:r>
              <w:rPr>
                <w:rFonts w:hint="eastAsia" w:eastAsia="宋体" w:cs="Times New Roman"/>
              </w:rPr>
              <w:t>属于先进制造业开发区东南板块山化片区</w:t>
            </w:r>
            <w:r>
              <w:rPr>
                <w:rFonts w:eastAsia="宋体" w:cs="Times New Roman"/>
              </w:rPr>
              <w:t>，区域供水由山化镇东屯村自来水管网供给、供电</w:t>
            </w:r>
            <w:r>
              <w:rPr>
                <w:rFonts w:eastAsia="宋体" w:cs="Times New Roman"/>
                <w:szCs w:val="20"/>
              </w:rPr>
              <w:t>由山化镇供电系统供给，</w:t>
            </w:r>
            <w:r>
              <w:rPr>
                <w:rFonts w:hint="eastAsia" w:eastAsia="宋体" w:cs="Times New Roman"/>
                <w:szCs w:val="20"/>
              </w:rPr>
              <w:t>本</w:t>
            </w:r>
            <w:r>
              <w:rPr>
                <w:rFonts w:eastAsia="宋体" w:cs="Times New Roman"/>
                <w:szCs w:val="20"/>
              </w:rPr>
              <w:t>项目</w:t>
            </w:r>
            <w:r>
              <w:rPr>
                <w:rFonts w:hint="eastAsia" w:eastAsia="宋体" w:cs="Times New Roman"/>
                <w:szCs w:val="20"/>
              </w:rPr>
              <w:t>在</w:t>
            </w:r>
            <w:r>
              <w:rPr>
                <w:rFonts w:eastAsia="宋体" w:cs="Times New Roman"/>
                <w:szCs w:val="20"/>
              </w:rPr>
              <w:t>洛阳市中州渠人工湿地收水范围内，</w:t>
            </w:r>
            <w:r>
              <w:rPr>
                <w:rFonts w:eastAsia="宋体" w:cs="Times New Roman"/>
              </w:rPr>
              <w:t>项目所在区域基础设施完善，能满足项目建设需求。</w:t>
            </w:r>
          </w:p>
          <w:p w14:paraId="64DB144C">
            <w:pPr>
              <w:pStyle w:val="157"/>
            </w:pPr>
            <w:r>
              <w:t>2、规划环评</w:t>
            </w:r>
          </w:p>
          <w:p w14:paraId="3741A308">
            <w:pPr>
              <w:pStyle w:val="156"/>
              <w:ind w:firstLine="488"/>
              <w:rPr>
                <w:rFonts w:eastAsia="宋体" w:cs="Times New Roman"/>
                <w:spacing w:val="2"/>
              </w:rPr>
            </w:pPr>
            <w:r>
              <w:rPr>
                <w:rFonts w:eastAsia="宋体" w:cs="Times New Roman"/>
                <w:spacing w:val="2"/>
              </w:rPr>
              <w:t>根据《洛阳偃师区先进制造业开发区发展规划（2022—2035年）环境影响报告书》，洛阳偃师区先进制造业开发区环境准入条件如下：</w:t>
            </w:r>
          </w:p>
          <w:p w14:paraId="2C3D5274">
            <w:pPr>
              <w:pStyle w:val="182"/>
              <w:ind w:firstLine="480"/>
            </w:pPr>
            <w:r>
              <w:rPr>
                <w:rStyle w:val="373"/>
                <w:rFonts w:hint="default" w:ascii="Times New Roman" w:hAnsi="Times New Roman"/>
              </w:rPr>
              <w:t>表</w:t>
            </w:r>
            <w:r>
              <w:fldChar w:fldCharType="begin"/>
            </w:r>
            <w:r>
              <w:rPr>
                <w:rStyle w:val="373"/>
                <w:rFonts w:hint="default" w:ascii="Times New Roman" w:hAnsi="Times New Roman"/>
              </w:rPr>
              <w:instrText xml:space="preserve"> SEQ 表 \* ARABIC </w:instrText>
            </w:r>
            <w:r>
              <w:fldChar w:fldCharType="separate"/>
            </w:r>
            <w:r>
              <w:rPr>
                <w:rStyle w:val="373"/>
                <w:rFonts w:hint="default" w:ascii="Times New Roman" w:hAnsi="Times New Roman"/>
              </w:rPr>
              <w:t>1</w:t>
            </w:r>
            <w:r>
              <w:fldChar w:fldCharType="end"/>
            </w:r>
            <w:r>
              <w:t>-1</w:t>
            </w:r>
            <w:r>
              <w:rPr>
                <w:rStyle w:val="373"/>
                <w:rFonts w:hint="default" w:ascii="Times New Roman" w:hAnsi="Times New Roman"/>
              </w:rPr>
              <w:t xml:space="preserve"> </w:t>
            </w:r>
            <w:r>
              <w:t xml:space="preserve">        洛阳偃师区先进制造业开发区生态环境准入清单</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58"/>
              <w:gridCol w:w="628"/>
              <w:gridCol w:w="4574"/>
              <w:gridCol w:w="2169"/>
              <w:gridCol w:w="845"/>
            </w:tblGrid>
            <w:tr w14:paraId="74F8E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4" w:hRule="atLeast"/>
                <w:tblHeader/>
              </w:trPr>
              <w:tc>
                <w:tcPr>
                  <w:tcW w:w="371" w:type="pct"/>
                  <w:vAlign w:val="center"/>
                </w:tcPr>
                <w:p w14:paraId="7631682F">
                  <w:pPr>
                    <w:pStyle w:val="154"/>
                    <w:rPr>
                      <w:sz w:val="21"/>
                      <w:szCs w:val="21"/>
                    </w:rPr>
                  </w:pPr>
                  <w:r>
                    <w:rPr>
                      <w:sz w:val="21"/>
                      <w:szCs w:val="21"/>
                    </w:rPr>
                    <w:t>分区</w:t>
                  </w:r>
                </w:p>
              </w:tc>
              <w:tc>
                <w:tcPr>
                  <w:tcW w:w="354" w:type="pct"/>
                  <w:vAlign w:val="center"/>
                </w:tcPr>
                <w:p w14:paraId="00AA03D3">
                  <w:pPr>
                    <w:pStyle w:val="154"/>
                    <w:rPr>
                      <w:sz w:val="21"/>
                      <w:szCs w:val="21"/>
                    </w:rPr>
                  </w:pPr>
                  <w:r>
                    <w:rPr>
                      <w:sz w:val="21"/>
                      <w:szCs w:val="21"/>
                    </w:rPr>
                    <w:t>类别</w:t>
                  </w:r>
                </w:p>
              </w:tc>
              <w:tc>
                <w:tcPr>
                  <w:tcW w:w="2577" w:type="pct"/>
                  <w:vAlign w:val="center"/>
                </w:tcPr>
                <w:p w14:paraId="037E17BD">
                  <w:pPr>
                    <w:pStyle w:val="154"/>
                    <w:rPr>
                      <w:sz w:val="21"/>
                      <w:szCs w:val="21"/>
                    </w:rPr>
                  </w:pPr>
                  <w:r>
                    <w:rPr>
                      <w:sz w:val="21"/>
                      <w:szCs w:val="21"/>
                    </w:rPr>
                    <w:t>生态环境准入清单</w:t>
                  </w:r>
                </w:p>
              </w:tc>
              <w:tc>
                <w:tcPr>
                  <w:tcW w:w="1222" w:type="pct"/>
                </w:tcPr>
                <w:p w14:paraId="433FE92D">
                  <w:pPr>
                    <w:pStyle w:val="154"/>
                    <w:rPr>
                      <w:sz w:val="21"/>
                      <w:szCs w:val="21"/>
                    </w:rPr>
                  </w:pPr>
                  <w:r>
                    <w:rPr>
                      <w:sz w:val="21"/>
                      <w:szCs w:val="21"/>
                    </w:rPr>
                    <w:t>项目情况</w:t>
                  </w:r>
                </w:p>
              </w:tc>
              <w:tc>
                <w:tcPr>
                  <w:tcW w:w="476" w:type="pct"/>
                </w:tcPr>
                <w:p w14:paraId="348E6326">
                  <w:pPr>
                    <w:pStyle w:val="154"/>
                    <w:rPr>
                      <w:sz w:val="21"/>
                      <w:szCs w:val="21"/>
                    </w:rPr>
                  </w:pPr>
                  <w:r>
                    <w:rPr>
                      <w:rFonts w:hint="eastAsia"/>
                      <w:sz w:val="21"/>
                      <w:szCs w:val="21"/>
                    </w:rPr>
                    <w:t>相符</w:t>
                  </w:r>
                  <w:r>
                    <w:rPr>
                      <w:sz w:val="21"/>
                      <w:szCs w:val="21"/>
                    </w:rPr>
                    <w:t>性</w:t>
                  </w:r>
                </w:p>
              </w:tc>
            </w:tr>
            <w:tr w14:paraId="497C5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restart"/>
                  <w:vAlign w:val="center"/>
                </w:tcPr>
                <w:p w14:paraId="02A644EE">
                  <w:pPr>
                    <w:pStyle w:val="154"/>
                    <w:rPr>
                      <w:sz w:val="21"/>
                      <w:szCs w:val="21"/>
                    </w:rPr>
                  </w:pPr>
                  <w:r>
                    <w:rPr>
                      <w:sz w:val="21"/>
                      <w:szCs w:val="21"/>
                    </w:rPr>
                    <w:t>保护区域</w:t>
                  </w:r>
                </w:p>
              </w:tc>
              <w:tc>
                <w:tcPr>
                  <w:tcW w:w="354" w:type="pct"/>
                  <w:vAlign w:val="center"/>
                </w:tcPr>
                <w:p w14:paraId="0CEDC28E">
                  <w:pPr>
                    <w:pStyle w:val="154"/>
                    <w:rPr>
                      <w:sz w:val="21"/>
                      <w:szCs w:val="21"/>
                    </w:rPr>
                  </w:pPr>
                  <w:r>
                    <w:rPr>
                      <w:sz w:val="21"/>
                      <w:szCs w:val="21"/>
                    </w:rPr>
                    <w:t>邙山陵墓群、夷平冢</w:t>
                  </w:r>
                </w:p>
              </w:tc>
              <w:tc>
                <w:tcPr>
                  <w:tcW w:w="2577" w:type="pct"/>
                  <w:vAlign w:val="center"/>
                </w:tcPr>
                <w:p w14:paraId="293F216B">
                  <w:pPr>
                    <w:pStyle w:val="154"/>
                    <w:jc w:val="left"/>
                    <w:rPr>
                      <w:sz w:val="21"/>
                      <w:szCs w:val="21"/>
                    </w:rPr>
                  </w:pPr>
                  <w:r>
                    <w:rPr>
                      <w:sz w:val="21"/>
                      <w:szCs w:val="21"/>
                    </w:rPr>
                    <w:t>在文物保护单位的保护范围和建设控制地带内，不得建设污染文物保护单位及其环境的设施，相关开发建设活动需满足文物保护的相关要求并取得文物保护主管部门的同意后方可实施。</w:t>
                  </w:r>
                </w:p>
              </w:tc>
              <w:tc>
                <w:tcPr>
                  <w:tcW w:w="1222" w:type="pct"/>
                  <w:vAlign w:val="center"/>
                </w:tcPr>
                <w:p w14:paraId="00F2933D">
                  <w:pPr>
                    <w:pStyle w:val="154"/>
                    <w:jc w:val="left"/>
                    <w:rPr>
                      <w:sz w:val="21"/>
                      <w:szCs w:val="21"/>
                    </w:rPr>
                  </w:pPr>
                  <w:r>
                    <w:rPr>
                      <w:sz w:val="21"/>
                      <w:szCs w:val="21"/>
                    </w:rPr>
                    <w:t>根据邙山陵墓群保护总体规划图</w:t>
                  </w:r>
                  <w:r>
                    <w:rPr>
                      <w:rFonts w:hint="eastAsia"/>
                      <w:sz w:val="21"/>
                      <w:szCs w:val="21"/>
                    </w:rPr>
                    <w:t>，</w:t>
                  </w:r>
                  <w:r>
                    <w:rPr>
                      <w:sz w:val="21"/>
                      <w:szCs w:val="21"/>
                    </w:rPr>
                    <w:t>本项目</w:t>
                  </w:r>
                  <w:r>
                    <w:rPr>
                      <w:rFonts w:hint="eastAsia"/>
                      <w:sz w:val="21"/>
                      <w:szCs w:val="21"/>
                    </w:rPr>
                    <w:t>不在其保护范围和建设控制地带内；本</w:t>
                  </w:r>
                  <w:r>
                    <w:rPr>
                      <w:sz w:val="21"/>
                      <w:szCs w:val="21"/>
                    </w:rPr>
                    <w:t>项目位于</w:t>
                  </w:r>
                  <w:r>
                    <w:rPr>
                      <w:rFonts w:hint="eastAsia"/>
                      <w:sz w:val="21"/>
                      <w:szCs w:val="21"/>
                    </w:rPr>
                    <w:t>洛阳</w:t>
                  </w:r>
                  <w:r>
                    <w:rPr>
                      <w:sz w:val="21"/>
                      <w:szCs w:val="21"/>
                    </w:rPr>
                    <w:t>偃师</w:t>
                  </w:r>
                  <w:r>
                    <w:rPr>
                      <w:rFonts w:hint="eastAsia"/>
                      <w:sz w:val="21"/>
                      <w:szCs w:val="21"/>
                    </w:rPr>
                    <w:t>区</w:t>
                  </w:r>
                  <w:r>
                    <w:rPr>
                      <w:sz w:val="21"/>
                      <w:szCs w:val="21"/>
                    </w:rPr>
                    <w:t>先进制造开发区东南板块山化片区，租赁现有厂房，不涉及土建施工，不违背文物保护要求；</w:t>
                  </w:r>
                </w:p>
              </w:tc>
              <w:tc>
                <w:tcPr>
                  <w:tcW w:w="476" w:type="pct"/>
                  <w:vAlign w:val="center"/>
                </w:tcPr>
                <w:p w14:paraId="1239FBE0">
                  <w:pPr>
                    <w:pStyle w:val="154"/>
                    <w:rPr>
                      <w:sz w:val="21"/>
                      <w:szCs w:val="21"/>
                    </w:rPr>
                  </w:pPr>
                  <w:r>
                    <w:rPr>
                      <w:rFonts w:hint="eastAsia"/>
                      <w:sz w:val="21"/>
                      <w:szCs w:val="21"/>
                    </w:rPr>
                    <w:t>相符</w:t>
                  </w:r>
                </w:p>
              </w:tc>
            </w:tr>
            <w:tr w14:paraId="718FB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2991A3B5">
                  <w:pPr>
                    <w:pStyle w:val="154"/>
                    <w:rPr>
                      <w:sz w:val="21"/>
                      <w:szCs w:val="21"/>
                    </w:rPr>
                  </w:pPr>
                </w:p>
              </w:tc>
              <w:tc>
                <w:tcPr>
                  <w:tcW w:w="354" w:type="pct"/>
                  <w:vAlign w:val="center"/>
                </w:tcPr>
                <w:p w14:paraId="65E07E28">
                  <w:pPr>
                    <w:pStyle w:val="154"/>
                    <w:rPr>
                      <w:sz w:val="21"/>
                      <w:szCs w:val="21"/>
                    </w:rPr>
                  </w:pPr>
                  <w:r>
                    <w:rPr>
                      <w:sz w:val="21"/>
                      <w:szCs w:val="21"/>
                    </w:rPr>
                    <w:t>环境敏感目标</w:t>
                  </w:r>
                </w:p>
              </w:tc>
              <w:tc>
                <w:tcPr>
                  <w:tcW w:w="2577" w:type="pct"/>
                  <w:vAlign w:val="center"/>
                </w:tcPr>
                <w:p w14:paraId="7D4DC220">
                  <w:pPr>
                    <w:pStyle w:val="154"/>
                    <w:jc w:val="left"/>
                    <w:rPr>
                      <w:sz w:val="21"/>
                      <w:szCs w:val="21"/>
                    </w:rPr>
                  </w:pPr>
                  <w:r>
                    <w:rPr>
                      <w:sz w:val="21"/>
                      <w:szCs w:val="21"/>
                    </w:rPr>
                    <w:t>注重环境敏感目标的保护，在现有及拟规划的居住、教育、医疗等环境敏感区域周边，禁止布设大气环境防护距离和大气毒性终点浓度-1距离范围内可能涉及敏感目标的建设项目。</w:t>
                  </w:r>
                </w:p>
              </w:tc>
              <w:tc>
                <w:tcPr>
                  <w:tcW w:w="1222" w:type="pct"/>
                  <w:vAlign w:val="center"/>
                </w:tcPr>
                <w:p w14:paraId="3B05DABF">
                  <w:pPr>
                    <w:pStyle w:val="154"/>
                    <w:jc w:val="left"/>
                    <w:rPr>
                      <w:sz w:val="21"/>
                      <w:szCs w:val="21"/>
                    </w:rPr>
                  </w:pPr>
                  <w:r>
                    <w:rPr>
                      <w:sz w:val="21"/>
                      <w:szCs w:val="21"/>
                    </w:rPr>
                    <w:t>本项目</w:t>
                  </w:r>
                  <w:r>
                    <w:rPr>
                      <w:rFonts w:hint="eastAsia"/>
                      <w:sz w:val="21"/>
                      <w:szCs w:val="21"/>
                    </w:rPr>
                    <w:t>周围不存在敏感区域，</w:t>
                  </w:r>
                  <w:r>
                    <w:rPr>
                      <w:sz w:val="21"/>
                      <w:szCs w:val="21"/>
                    </w:rPr>
                    <w:t>无需设施大气防护距</w:t>
                  </w:r>
                  <w:r>
                    <w:rPr>
                      <w:rFonts w:hint="eastAsia"/>
                      <w:sz w:val="21"/>
                      <w:szCs w:val="21"/>
                    </w:rPr>
                    <w:t>离。</w:t>
                  </w:r>
                </w:p>
              </w:tc>
              <w:tc>
                <w:tcPr>
                  <w:tcW w:w="476" w:type="pct"/>
                  <w:vAlign w:val="center"/>
                </w:tcPr>
                <w:p w14:paraId="7BD977D1">
                  <w:pPr>
                    <w:pStyle w:val="154"/>
                    <w:rPr>
                      <w:sz w:val="21"/>
                      <w:szCs w:val="21"/>
                    </w:rPr>
                  </w:pPr>
                  <w:r>
                    <w:rPr>
                      <w:rFonts w:hint="eastAsia"/>
                      <w:sz w:val="21"/>
                      <w:szCs w:val="21"/>
                    </w:rPr>
                    <w:t>/</w:t>
                  </w:r>
                </w:p>
              </w:tc>
            </w:tr>
            <w:tr w14:paraId="373B2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restart"/>
                  <w:vAlign w:val="center"/>
                </w:tcPr>
                <w:p w14:paraId="1E4D88E4">
                  <w:pPr>
                    <w:pStyle w:val="154"/>
                    <w:rPr>
                      <w:sz w:val="21"/>
                      <w:szCs w:val="21"/>
                    </w:rPr>
                  </w:pPr>
                  <w:r>
                    <w:rPr>
                      <w:sz w:val="21"/>
                      <w:szCs w:val="21"/>
                    </w:rPr>
                    <w:t>重点管控区域</w:t>
                  </w:r>
                </w:p>
              </w:tc>
              <w:tc>
                <w:tcPr>
                  <w:tcW w:w="354" w:type="pct"/>
                  <w:vMerge w:val="restart"/>
                  <w:vAlign w:val="center"/>
                </w:tcPr>
                <w:p w14:paraId="7F1C1F67">
                  <w:pPr>
                    <w:pStyle w:val="154"/>
                    <w:rPr>
                      <w:sz w:val="21"/>
                      <w:szCs w:val="21"/>
                    </w:rPr>
                  </w:pPr>
                  <w:r>
                    <w:rPr>
                      <w:sz w:val="21"/>
                      <w:szCs w:val="21"/>
                    </w:rPr>
                    <w:t>产业发展</w:t>
                  </w:r>
                </w:p>
              </w:tc>
              <w:tc>
                <w:tcPr>
                  <w:tcW w:w="2577" w:type="pct"/>
                  <w:vAlign w:val="center"/>
                </w:tcPr>
                <w:p w14:paraId="619BE606">
                  <w:pPr>
                    <w:pStyle w:val="154"/>
                    <w:jc w:val="left"/>
                    <w:rPr>
                      <w:sz w:val="21"/>
                      <w:szCs w:val="21"/>
                    </w:rPr>
                  </w:pPr>
                  <w:r>
                    <w:rPr>
                      <w:sz w:val="21"/>
                      <w:szCs w:val="21"/>
                    </w:rPr>
                    <w:t>禁止《产业结构调整指导目录》淘汰类项目入驻。</w:t>
                  </w:r>
                </w:p>
              </w:tc>
              <w:tc>
                <w:tcPr>
                  <w:tcW w:w="1222" w:type="pct"/>
                  <w:vAlign w:val="center"/>
                </w:tcPr>
                <w:p w14:paraId="2F94B409">
                  <w:pPr>
                    <w:pStyle w:val="154"/>
                    <w:jc w:val="left"/>
                    <w:rPr>
                      <w:sz w:val="21"/>
                      <w:szCs w:val="21"/>
                    </w:rPr>
                  </w:pPr>
                  <w:r>
                    <w:rPr>
                      <w:sz w:val="21"/>
                      <w:szCs w:val="21"/>
                    </w:rPr>
                    <w:t>本项目为布鞋制造项目，不属于淘汰类项目</w:t>
                  </w:r>
                </w:p>
              </w:tc>
              <w:tc>
                <w:tcPr>
                  <w:tcW w:w="476" w:type="pct"/>
                  <w:vAlign w:val="center"/>
                </w:tcPr>
                <w:p w14:paraId="46092121">
                  <w:pPr>
                    <w:pStyle w:val="154"/>
                    <w:rPr>
                      <w:sz w:val="21"/>
                      <w:szCs w:val="21"/>
                    </w:rPr>
                  </w:pPr>
                  <w:r>
                    <w:rPr>
                      <w:rFonts w:hint="eastAsia"/>
                      <w:sz w:val="21"/>
                      <w:szCs w:val="21"/>
                    </w:rPr>
                    <w:t>相符</w:t>
                  </w:r>
                </w:p>
              </w:tc>
            </w:tr>
            <w:tr w14:paraId="76F15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763EDA8D">
                  <w:pPr>
                    <w:pStyle w:val="154"/>
                    <w:jc w:val="left"/>
                    <w:rPr>
                      <w:sz w:val="21"/>
                      <w:szCs w:val="21"/>
                    </w:rPr>
                  </w:pPr>
                </w:p>
              </w:tc>
              <w:tc>
                <w:tcPr>
                  <w:tcW w:w="354" w:type="pct"/>
                  <w:vMerge w:val="continue"/>
                  <w:vAlign w:val="center"/>
                </w:tcPr>
                <w:p w14:paraId="54799ED6">
                  <w:pPr>
                    <w:pStyle w:val="154"/>
                    <w:rPr>
                      <w:sz w:val="21"/>
                      <w:szCs w:val="21"/>
                    </w:rPr>
                  </w:pPr>
                </w:p>
              </w:tc>
              <w:tc>
                <w:tcPr>
                  <w:tcW w:w="2577" w:type="pct"/>
                  <w:vAlign w:val="center"/>
                </w:tcPr>
                <w:p w14:paraId="661F5231">
                  <w:pPr>
                    <w:pStyle w:val="154"/>
                    <w:jc w:val="left"/>
                    <w:rPr>
                      <w:sz w:val="21"/>
                      <w:szCs w:val="21"/>
                    </w:rPr>
                  </w:pPr>
                  <w:r>
                    <w:rPr>
                      <w:sz w:val="21"/>
                      <w:szCs w:val="21"/>
                    </w:rPr>
                    <w:t>原则上入驻项目应符合开发区规划主导产业或与主导产业具备一定的相关性，属于主导产业上下游产业延伸链项目。</w:t>
                  </w:r>
                </w:p>
              </w:tc>
              <w:tc>
                <w:tcPr>
                  <w:tcW w:w="1222" w:type="pct"/>
                </w:tcPr>
                <w:p w14:paraId="2300E69C">
                  <w:pPr>
                    <w:pStyle w:val="154"/>
                    <w:jc w:val="left"/>
                    <w:rPr>
                      <w:sz w:val="21"/>
                      <w:szCs w:val="21"/>
                    </w:rPr>
                  </w:pPr>
                  <w:r>
                    <w:rPr>
                      <w:sz w:val="21"/>
                      <w:szCs w:val="21"/>
                    </w:rPr>
                    <w:t>本项目为布鞋制造项目，属于制鞋业，属于山化片区主导产业</w:t>
                  </w:r>
                </w:p>
              </w:tc>
              <w:tc>
                <w:tcPr>
                  <w:tcW w:w="476" w:type="pct"/>
                  <w:vAlign w:val="center"/>
                </w:tcPr>
                <w:p w14:paraId="7374F510">
                  <w:pPr>
                    <w:pStyle w:val="154"/>
                    <w:rPr>
                      <w:sz w:val="21"/>
                      <w:szCs w:val="21"/>
                    </w:rPr>
                  </w:pPr>
                  <w:r>
                    <w:rPr>
                      <w:rFonts w:hint="eastAsia"/>
                      <w:sz w:val="21"/>
                      <w:szCs w:val="21"/>
                    </w:rPr>
                    <w:t>相符</w:t>
                  </w:r>
                </w:p>
              </w:tc>
            </w:tr>
            <w:tr w14:paraId="5581B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4AEC63B1">
                  <w:pPr>
                    <w:pStyle w:val="154"/>
                    <w:jc w:val="left"/>
                    <w:rPr>
                      <w:sz w:val="21"/>
                      <w:szCs w:val="21"/>
                    </w:rPr>
                  </w:pPr>
                </w:p>
              </w:tc>
              <w:tc>
                <w:tcPr>
                  <w:tcW w:w="354" w:type="pct"/>
                  <w:vMerge w:val="continue"/>
                  <w:vAlign w:val="center"/>
                </w:tcPr>
                <w:p w14:paraId="450D87F5">
                  <w:pPr>
                    <w:pStyle w:val="154"/>
                    <w:rPr>
                      <w:sz w:val="21"/>
                      <w:szCs w:val="21"/>
                    </w:rPr>
                  </w:pPr>
                </w:p>
              </w:tc>
              <w:tc>
                <w:tcPr>
                  <w:tcW w:w="2577" w:type="pct"/>
                  <w:vAlign w:val="center"/>
                </w:tcPr>
                <w:p w14:paraId="1241AA1F">
                  <w:pPr>
                    <w:pStyle w:val="154"/>
                    <w:jc w:val="left"/>
                    <w:rPr>
                      <w:sz w:val="21"/>
                      <w:szCs w:val="21"/>
                    </w:rPr>
                  </w:pPr>
                  <w:r>
                    <w:rPr>
                      <w:sz w:val="21"/>
                      <w:szCs w:val="21"/>
                    </w:rPr>
                    <w:t>从严控制新增高污染、高耗能、高排放、高耗水项目建设，开发区入区两高项目应符合有关产业规划，应满足有关产能置换及环境管理文件要求（豫环文〔2021〕100号文等）。原则上禁止新改扩建有色金属冶炼项目（再生有色金属项目除外）、普通平板玻璃项目（电子玻璃、光伏玻璃等特种玻璃项目除外）入驻开发区。</w:t>
                  </w:r>
                </w:p>
              </w:tc>
              <w:tc>
                <w:tcPr>
                  <w:tcW w:w="1222" w:type="pct"/>
                  <w:vAlign w:val="center"/>
                </w:tcPr>
                <w:p w14:paraId="01A0BE64">
                  <w:pPr>
                    <w:pStyle w:val="154"/>
                    <w:jc w:val="left"/>
                    <w:rPr>
                      <w:sz w:val="21"/>
                      <w:szCs w:val="21"/>
                    </w:rPr>
                  </w:pPr>
                  <w:r>
                    <w:rPr>
                      <w:sz w:val="21"/>
                      <w:szCs w:val="21"/>
                    </w:rPr>
                    <w:t>本项目为布鞋制造项目，不属于两高项目，也不属于</w:t>
                  </w:r>
                  <w:r>
                    <w:rPr>
                      <w:rFonts w:hint="eastAsia"/>
                      <w:sz w:val="21"/>
                      <w:szCs w:val="21"/>
                    </w:rPr>
                    <w:t>有</w:t>
                  </w:r>
                  <w:r>
                    <w:rPr>
                      <w:sz w:val="21"/>
                      <w:szCs w:val="21"/>
                    </w:rPr>
                    <w:t>色金属冶炼项目和普通平板玻璃项目</w:t>
                  </w:r>
                </w:p>
              </w:tc>
              <w:tc>
                <w:tcPr>
                  <w:tcW w:w="476" w:type="pct"/>
                  <w:vAlign w:val="center"/>
                </w:tcPr>
                <w:p w14:paraId="3A6F828D">
                  <w:pPr>
                    <w:pStyle w:val="154"/>
                    <w:rPr>
                      <w:sz w:val="21"/>
                      <w:szCs w:val="21"/>
                    </w:rPr>
                  </w:pPr>
                  <w:r>
                    <w:rPr>
                      <w:rFonts w:hint="eastAsia"/>
                      <w:sz w:val="21"/>
                      <w:szCs w:val="21"/>
                    </w:rPr>
                    <w:t>相符</w:t>
                  </w:r>
                </w:p>
              </w:tc>
            </w:tr>
            <w:tr w14:paraId="1DE4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3A30DBBA">
                  <w:pPr>
                    <w:pStyle w:val="154"/>
                    <w:jc w:val="left"/>
                    <w:rPr>
                      <w:sz w:val="21"/>
                      <w:szCs w:val="21"/>
                    </w:rPr>
                  </w:pPr>
                </w:p>
              </w:tc>
              <w:tc>
                <w:tcPr>
                  <w:tcW w:w="354" w:type="pct"/>
                  <w:vMerge w:val="continue"/>
                  <w:vAlign w:val="center"/>
                </w:tcPr>
                <w:p w14:paraId="1B4BE667">
                  <w:pPr>
                    <w:pStyle w:val="154"/>
                    <w:rPr>
                      <w:sz w:val="21"/>
                      <w:szCs w:val="21"/>
                    </w:rPr>
                  </w:pPr>
                </w:p>
              </w:tc>
              <w:tc>
                <w:tcPr>
                  <w:tcW w:w="2577" w:type="pct"/>
                  <w:vAlign w:val="center"/>
                </w:tcPr>
                <w:p w14:paraId="7537E7F9">
                  <w:pPr>
                    <w:pStyle w:val="154"/>
                    <w:jc w:val="left"/>
                    <w:rPr>
                      <w:sz w:val="21"/>
                      <w:szCs w:val="21"/>
                    </w:rPr>
                  </w:pPr>
                  <w:r>
                    <w:rPr>
                      <w:sz w:val="21"/>
                      <w:szCs w:val="21"/>
                    </w:rPr>
                    <w:t>禁止涉及炼化、硫化工艺项目和有毒材料的人造革、发泡胶等项目入驻。</w:t>
                  </w:r>
                </w:p>
              </w:tc>
              <w:tc>
                <w:tcPr>
                  <w:tcW w:w="1222" w:type="pct"/>
                  <w:vAlign w:val="center"/>
                </w:tcPr>
                <w:p w14:paraId="515290EF">
                  <w:pPr>
                    <w:pStyle w:val="154"/>
                    <w:jc w:val="left"/>
                    <w:rPr>
                      <w:sz w:val="21"/>
                      <w:szCs w:val="21"/>
                    </w:rPr>
                  </w:pPr>
                  <w:r>
                    <w:rPr>
                      <w:sz w:val="21"/>
                      <w:szCs w:val="21"/>
                    </w:rPr>
                    <w:t>本项目为布鞋制造项目，不涉及炼化、硫化工艺项目以及有毒材料的人造革、发泡胶等项目</w:t>
                  </w:r>
                </w:p>
              </w:tc>
              <w:tc>
                <w:tcPr>
                  <w:tcW w:w="476" w:type="pct"/>
                  <w:vAlign w:val="center"/>
                </w:tcPr>
                <w:p w14:paraId="3B2030CA">
                  <w:pPr>
                    <w:pStyle w:val="154"/>
                    <w:rPr>
                      <w:sz w:val="21"/>
                      <w:szCs w:val="21"/>
                    </w:rPr>
                  </w:pPr>
                  <w:r>
                    <w:rPr>
                      <w:rFonts w:hint="eastAsia"/>
                      <w:sz w:val="21"/>
                      <w:szCs w:val="21"/>
                    </w:rPr>
                    <w:t>相符</w:t>
                  </w:r>
                </w:p>
              </w:tc>
            </w:tr>
            <w:tr w14:paraId="66959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26149D8E">
                  <w:pPr>
                    <w:pStyle w:val="154"/>
                    <w:jc w:val="left"/>
                    <w:rPr>
                      <w:sz w:val="21"/>
                      <w:szCs w:val="21"/>
                    </w:rPr>
                  </w:pPr>
                </w:p>
              </w:tc>
              <w:tc>
                <w:tcPr>
                  <w:tcW w:w="354" w:type="pct"/>
                  <w:vMerge w:val="continue"/>
                  <w:vAlign w:val="center"/>
                </w:tcPr>
                <w:p w14:paraId="65062415">
                  <w:pPr>
                    <w:pStyle w:val="154"/>
                    <w:rPr>
                      <w:sz w:val="21"/>
                      <w:szCs w:val="21"/>
                    </w:rPr>
                  </w:pPr>
                </w:p>
              </w:tc>
              <w:tc>
                <w:tcPr>
                  <w:tcW w:w="2577" w:type="pct"/>
                  <w:vAlign w:val="center"/>
                </w:tcPr>
                <w:p w14:paraId="0E85AC21">
                  <w:pPr>
                    <w:pStyle w:val="154"/>
                    <w:jc w:val="left"/>
                    <w:rPr>
                      <w:sz w:val="21"/>
                      <w:szCs w:val="21"/>
                    </w:rPr>
                  </w:pPr>
                  <w:r>
                    <w:rPr>
                      <w:sz w:val="21"/>
                      <w:szCs w:val="21"/>
                    </w:rPr>
                    <w:t>原则上禁止独立电镀项目入驻。</w:t>
                  </w:r>
                </w:p>
              </w:tc>
              <w:tc>
                <w:tcPr>
                  <w:tcW w:w="1222" w:type="pct"/>
                </w:tcPr>
                <w:p w14:paraId="56076B48">
                  <w:pPr>
                    <w:pStyle w:val="154"/>
                    <w:jc w:val="left"/>
                    <w:rPr>
                      <w:sz w:val="21"/>
                      <w:szCs w:val="21"/>
                    </w:rPr>
                  </w:pPr>
                  <w:r>
                    <w:rPr>
                      <w:sz w:val="21"/>
                      <w:szCs w:val="21"/>
                    </w:rPr>
                    <w:t>本项目为布鞋制造项目，不属于电镀项目</w:t>
                  </w:r>
                </w:p>
              </w:tc>
              <w:tc>
                <w:tcPr>
                  <w:tcW w:w="476" w:type="pct"/>
                  <w:vAlign w:val="center"/>
                </w:tcPr>
                <w:p w14:paraId="01C264EC">
                  <w:pPr>
                    <w:pStyle w:val="154"/>
                    <w:rPr>
                      <w:sz w:val="21"/>
                      <w:szCs w:val="21"/>
                    </w:rPr>
                  </w:pPr>
                  <w:r>
                    <w:rPr>
                      <w:rFonts w:hint="eastAsia"/>
                      <w:sz w:val="21"/>
                      <w:szCs w:val="21"/>
                    </w:rPr>
                    <w:t>相符</w:t>
                  </w:r>
                </w:p>
              </w:tc>
            </w:tr>
            <w:tr w14:paraId="37123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76334C42">
                  <w:pPr>
                    <w:pStyle w:val="154"/>
                    <w:jc w:val="left"/>
                    <w:rPr>
                      <w:sz w:val="21"/>
                      <w:szCs w:val="21"/>
                    </w:rPr>
                  </w:pPr>
                </w:p>
              </w:tc>
              <w:tc>
                <w:tcPr>
                  <w:tcW w:w="354" w:type="pct"/>
                  <w:vMerge w:val="continue"/>
                  <w:vAlign w:val="center"/>
                </w:tcPr>
                <w:p w14:paraId="36CE1A61">
                  <w:pPr>
                    <w:pStyle w:val="154"/>
                    <w:rPr>
                      <w:sz w:val="21"/>
                      <w:szCs w:val="21"/>
                    </w:rPr>
                  </w:pPr>
                </w:p>
              </w:tc>
              <w:tc>
                <w:tcPr>
                  <w:tcW w:w="2577" w:type="pct"/>
                  <w:vAlign w:val="center"/>
                </w:tcPr>
                <w:p w14:paraId="7B155916">
                  <w:pPr>
                    <w:pStyle w:val="154"/>
                    <w:jc w:val="left"/>
                    <w:rPr>
                      <w:sz w:val="21"/>
                      <w:szCs w:val="21"/>
                    </w:rPr>
                  </w:pPr>
                  <w:r>
                    <w:rPr>
                      <w:sz w:val="21"/>
                      <w:szCs w:val="21"/>
                    </w:rPr>
                    <w:t>强化煤炭消费总量管控，严格控制新增燃煤项目，原则上不再新增非电行业耗煤项目，确因产业和民生需要新上的，需落实煤炭减量替代。</w:t>
                  </w:r>
                </w:p>
              </w:tc>
              <w:tc>
                <w:tcPr>
                  <w:tcW w:w="1222" w:type="pct"/>
                  <w:vAlign w:val="center"/>
                </w:tcPr>
                <w:p w14:paraId="03CB57DA">
                  <w:pPr>
                    <w:pStyle w:val="154"/>
                    <w:jc w:val="left"/>
                    <w:rPr>
                      <w:sz w:val="21"/>
                      <w:szCs w:val="21"/>
                    </w:rPr>
                  </w:pPr>
                  <w:r>
                    <w:rPr>
                      <w:sz w:val="21"/>
                      <w:szCs w:val="21"/>
                    </w:rPr>
                    <w:t>本项目使用能源为电能，不涉及燃煤设施</w:t>
                  </w:r>
                </w:p>
              </w:tc>
              <w:tc>
                <w:tcPr>
                  <w:tcW w:w="476" w:type="pct"/>
                  <w:vAlign w:val="center"/>
                </w:tcPr>
                <w:p w14:paraId="3DCA8516">
                  <w:pPr>
                    <w:pStyle w:val="154"/>
                    <w:rPr>
                      <w:sz w:val="21"/>
                      <w:szCs w:val="21"/>
                    </w:rPr>
                  </w:pPr>
                  <w:r>
                    <w:rPr>
                      <w:rFonts w:hint="eastAsia"/>
                      <w:sz w:val="21"/>
                      <w:szCs w:val="21"/>
                    </w:rPr>
                    <w:t>相符</w:t>
                  </w:r>
                </w:p>
              </w:tc>
            </w:tr>
            <w:tr w14:paraId="30B51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75366623">
                  <w:pPr>
                    <w:pStyle w:val="154"/>
                    <w:jc w:val="left"/>
                    <w:rPr>
                      <w:sz w:val="21"/>
                      <w:szCs w:val="21"/>
                    </w:rPr>
                  </w:pPr>
                </w:p>
              </w:tc>
              <w:tc>
                <w:tcPr>
                  <w:tcW w:w="354" w:type="pct"/>
                  <w:vMerge w:val="continue"/>
                  <w:vAlign w:val="center"/>
                </w:tcPr>
                <w:p w14:paraId="31980BA5">
                  <w:pPr>
                    <w:pStyle w:val="154"/>
                    <w:rPr>
                      <w:sz w:val="21"/>
                      <w:szCs w:val="21"/>
                    </w:rPr>
                  </w:pPr>
                </w:p>
              </w:tc>
              <w:tc>
                <w:tcPr>
                  <w:tcW w:w="2577" w:type="pct"/>
                  <w:vAlign w:val="center"/>
                </w:tcPr>
                <w:p w14:paraId="4B02FEF3">
                  <w:pPr>
                    <w:pStyle w:val="154"/>
                    <w:jc w:val="left"/>
                    <w:rPr>
                      <w:sz w:val="21"/>
                      <w:szCs w:val="21"/>
                    </w:rPr>
                  </w:pPr>
                  <w:r>
                    <w:rPr>
                      <w:sz w:val="21"/>
                      <w:szCs w:val="21"/>
                    </w:rPr>
                    <w:t>禁止新建燃煤、重油及高污染燃料的锅炉项目，锅炉应采用清洁能源。在开发区实现集中供热之后，在保障各企业工业用蒸汽的等级、压力及用汽的连续性的基础上，原则上不再新增分散式燃气锅炉项目。</w:t>
                  </w:r>
                </w:p>
              </w:tc>
              <w:tc>
                <w:tcPr>
                  <w:tcW w:w="1222" w:type="pct"/>
                  <w:vAlign w:val="center"/>
                </w:tcPr>
                <w:p w14:paraId="3C0E0DF1">
                  <w:pPr>
                    <w:pStyle w:val="154"/>
                    <w:jc w:val="left"/>
                    <w:rPr>
                      <w:sz w:val="21"/>
                      <w:szCs w:val="21"/>
                    </w:rPr>
                  </w:pPr>
                  <w:r>
                    <w:rPr>
                      <w:sz w:val="21"/>
                      <w:szCs w:val="21"/>
                    </w:rPr>
                    <w:t>本项目不涉及锅炉</w:t>
                  </w:r>
                </w:p>
              </w:tc>
              <w:tc>
                <w:tcPr>
                  <w:tcW w:w="476" w:type="pct"/>
                  <w:vAlign w:val="center"/>
                </w:tcPr>
                <w:p w14:paraId="776224D6">
                  <w:pPr>
                    <w:pStyle w:val="154"/>
                    <w:rPr>
                      <w:sz w:val="21"/>
                      <w:szCs w:val="21"/>
                    </w:rPr>
                  </w:pPr>
                  <w:r>
                    <w:rPr>
                      <w:rFonts w:hint="eastAsia"/>
                      <w:sz w:val="21"/>
                      <w:szCs w:val="21"/>
                    </w:rPr>
                    <w:t>相符</w:t>
                  </w:r>
                </w:p>
              </w:tc>
            </w:tr>
            <w:tr w14:paraId="2ABC4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52A55169">
                  <w:pPr>
                    <w:pStyle w:val="154"/>
                    <w:jc w:val="left"/>
                    <w:rPr>
                      <w:sz w:val="21"/>
                      <w:szCs w:val="21"/>
                    </w:rPr>
                  </w:pPr>
                </w:p>
              </w:tc>
              <w:tc>
                <w:tcPr>
                  <w:tcW w:w="354" w:type="pct"/>
                  <w:vMerge w:val="restart"/>
                  <w:vAlign w:val="center"/>
                </w:tcPr>
                <w:p w14:paraId="065AFC51">
                  <w:pPr>
                    <w:pStyle w:val="154"/>
                    <w:rPr>
                      <w:sz w:val="21"/>
                      <w:szCs w:val="21"/>
                    </w:rPr>
                  </w:pPr>
                  <w:r>
                    <w:rPr>
                      <w:sz w:val="21"/>
                      <w:szCs w:val="21"/>
                    </w:rPr>
                    <w:t>生产工艺与装备水平</w:t>
                  </w:r>
                </w:p>
              </w:tc>
              <w:tc>
                <w:tcPr>
                  <w:tcW w:w="2577" w:type="pct"/>
                  <w:vAlign w:val="center"/>
                </w:tcPr>
                <w:p w14:paraId="053C8D77">
                  <w:pPr>
                    <w:pStyle w:val="154"/>
                    <w:jc w:val="left"/>
                    <w:rPr>
                      <w:sz w:val="21"/>
                      <w:szCs w:val="21"/>
                    </w:rPr>
                  </w:pPr>
                  <w:r>
                    <w:rPr>
                      <w:sz w:val="21"/>
                      <w:szCs w:val="21"/>
                    </w:rPr>
                    <w:t>新建、改建、扩建</w:t>
                  </w:r>
                  <w:r>
                    <w:rPr>
                      <w:rFonts w:asciiTheme="minorEastAsia" w:hAnsiTheme="minorEastAsia"/>
                      <w:sz w:val="21"/>
                      <w:szCs w:val="21"/>
                    </w:rPr>
                    <w:t>“</w:t>
                  </w:r>
                  <w:r>
                    <w:rPr>
                      <w:sz w:val="21"/>
                      <w:szCs w:val="21"/>
                    </w:rPr>
                    <w:t>两高</w:t>
                  </w:r>
                  <w:r>
                    <w:rPr>
                      <w:rFonts w:hint="eastAsia"/>
                      <w:sz w:val="21"/>
                      <w:szCs w:val="21"/>
                    </w:rPr>
                    <w:t>”</w:t>
                  </w:r>
                  <w:r>
                    <w:rPr>
                      <w:sz w:val="21"/>
                      <w:szCs w:val="21"/>
                    </w:rPr>
                    <w:t>项目应采用先进的工艺技术和装备，单位产品能耗、物耗、水耗等清洁生产水平和污染物排放强度应达到清洁生产先进水平，国家、省绩效分级重点行业新建、扩建项目达到A级水平，改建项目达到B级以上水平。其他绩效分级重点行业新建、改建、扩建项目应达到B级及以上要求。</w:t>
                  </w:r>
                </w:p>
              </w:tc>
              <w:tc>
                <w:tcPr>
                  <w:tcW w:w="1222" w:type="pct"/>
                  <w:vAlign w:val="center"/>
                </w:tcPr>
                <w:p w14:paraId="03C94B7A">
                  <w:pPr>
                    <w:pStyle w:val="154"/>
                    <w:jc w:val="both"/>
                    <w:rPr>
                      <w:sz w:val="21"/>
                      <w:szCs w:val="21"/>
                    </w:rPr>
                  </w:pPr>
                  <w:r>
                    <w:rPr>
                      <w:sz w:val="21"/>
                      <w:szCs w:val="21"/>
                    </w:rPr>
                    <w:t>本项目为布鞋制造项目，根据豫发改环资〔2023〕38号文，本项目不属于两高项目。根据环办</w:t>
                  </w:r>
                  <w:r>
                    <w:rPr>
                      <w:rFonts w:hint="eastAsia"/>
                      <w:sz w:val="21"/>
                      <w:szCs w:val="21"/>
                    </w:rPr>
                    <w:t>大气函〔</w:t>
                  </w:r>
                  <w:r>
                    <w:rPr>
                      <w:sz w:val="21"/>
                      <w:szCs w:val="21"/>
                    </w:rPr>
                    <w:t>202</w:t>
                  </w:r>
                  <w:r>
                    <w:rPr>
                      <w:rFonts w:hint="eastAsia"/>
                      <w:sz w:val="21"/>
                      <w:szCs w:val="21"/>
                    </w:rPr>
                    <w:t>0〕</w:t>
                  </w:r>
                  <w:r>
                    <w:rPr>
                      <w:sz w:val="21"/>
                      <w:szCs w:val="21"/>
                    </w:rPr>
                    <w:t>34</w:t>
                  </w:r>
                  <w:r>
                    <w:rPr>
                      <w:rFonts w:hint="eastAsia"/>
                      <w:sz w:val="21"/>
                      <w:szCs w:val="21"/>
                    </w:rPr>
                    <w:t>0</w:t>
                  </w:r>
                  <w:r>
                    <w:rPr>
                      <w:sz w:val="21"/>
                      <w:szCs w:val="21"/>
                    </w:rPr>
                    <w:t>号及环办便函</w:t>
                  </w:r>
                  <w:r>
                    <w:rPr>
                      <w:rFonts w:hint="eastAsia"/>
                      <w:sz w:val="21"/>
                      <w:szCs w:val="21"/>
                    </w:rPr>
                    <w:t>〔</w:t>
                  </w:r>
                  <w:r>
                    <w:rPr>
                      <w:sz w:val="21"/>
                      <w:szCs w:val="21"/>
                    </w:rPr>
                    <w:t>2021</w:t>
                  </w:r>
                  <w:r>
                    <w:rPr>
                      <w:rFonts w:hint="eastAsia"/>
                      <w:sz w:val="21"/>
                      <w:szCs w:val="21"/>
                    </w:rPr>
                    <w:t>〕</w:t>
                  </w:r>
                  <w:r>
                    <w:rPr>
                      <w:sz w:val="21"/>
                      <w:szCs w:val="21"/>
                    </w:rPr>
                    <w:t>341号文件，本项目属于国家绩效分级重点行业（制鞋业），应当满足绩效引领性指标要求。</w:t>
                  </w:r>
                </w:p>
              </w:tc>
              <w:tc>
                <w:tcPr>
                  <w:tcW w:w="476" w:type="pct"/>
                  <w:vAlign w:val="center"/>
                </w:tcPr>
                <w:p w14:paraId="6B13F51E">
                  <w:pPr>
                    <w:pStyle w:val="154"/>
                    <w:rPr>
                      <w:sz w:val="21"/>
                      <w:szCs w:val="21"/>
                    </w:rPr>
                  </w:pPr>
                  <w:r>
                    <w:rPr>
                      <w:rFonts w:hint="eastAsia"/>
                      <w:sz w:val="21"/>
                      <w:szCs w:val="21"/>
                    </w:rPr>
                    <w:t>相符</w:t>
                  </w:r>
                </w:p>
              </w:tc>
            </w:tr>
            <w:tr w14:paraId="7AFCF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714B07DB">
                  <w:pPr>
                    <w:pStyle w:val="154"/>
                    <w:jc w:val="left"/>
                    <w:rPr>
                      <w:sz w:val="21"/>
                      <w:szCs w:val="21"/>
                    </w:rPr>
                  </w:pPr>
                </w:p>
              </w:tc>
              <w:tc>
                <w:tcPr>
                  <w:tcW w:w="354" w:type="pct"/>
                  <w:vMerge w:val="continue"/>
                  <w:vAlign w:val="center"/>
                </w:tcPr>
                <w:p w14:paraId="4AF63DE1">
                  <w:pPr>
                    <w:pStyle w:val="154"/>
                    <w:rPr>
                      <w:sz w:val="21"/>
                      <w:szCs w:val="21"/>
                    </w:rPr>
                  </w:pPr>
                </w:p>
              </w:tc>
              <w:tc>
                <w:tcPr>
                  <w:tcW w:w="2577" w:type="pct"/>
                  <w:vAlign w:val="center"/>
                </w:tcPr>
                <w:p w14:paraId="03C5E8DB">
                  <w:pPr>
                    <w:pStyle w:val="154"/>
                    <w:jc w:val="left"/>
                    <w:rPr>
                      <w:sz w:val="21"/>
                      <w:szCs w:val="21"/>
                    </w:rPr>
                  </w:pPr>
                  <w:r>
                    <w:rPr>
                      <w:sz w:val="21"/>
                      <w:szCs w:val="21"/>
                    </w:rPr>
                    <w:t>禁止新建生产和使用高VOCs含量的溶剂型涂料、油墨、胶粘剂、清洗剂等项目。</w:t>
                  </w:r>
                </w:p>
              </w:tc>
              <w:tc>
                <w:tcPr>
                  <w:tcW w:w="1222" w:type="pct"/>
                  <w:vAlign w:val="center"/>
                </w:tcPr>
                <w:p w14:paraId="36305D18">
                  <w:pPr>
                    <w:pStyle w:val="154"/>
                    <w:jc w:val="left"/>
                    <w:rPr>
                      <w:sz w:val="21"/>
                      <w:szCs w:val="21"/>
                    </w:rPr>
                  </w:pPr>
                  <w:r>
                    <w:rPr>
                      <w:sz w:val="21"/>
                      <w:szCs w:val="21"/>
                    </w:rPr>
                    <w:t>本项目采用低VOCs原料；</w:t>
                  </w:r>
                  <w:r>
                    <w:rPr>
                      <w:rFonts w:hint="eastAsia"/>
                      <w:sz w:val="21"/>
                      <w:szCs w:val="21"/>
                    </w:rPr>
                    <w:t>所用清洗剂为低</w:t>
                  </w:r>
                  <w:r>
                    <w:rPr>
                      <w:sz w:val="21"/>
                      <w:szCs w:val="21"/>
                    </w:rPr>
                    <w:t>VOCs</w:t>
                  </w:r>
                  <w:r>
                    <w:rPr>
                      <w:rFonts w:hint="eastAsia"/>
                      <w:sz w:val="21"/>
                      <w:szCs w:val="21"/>
                    </w:rPr>
                    <w:t>含量原料。清洗剂满足《清洗剂挥发性有机化合物含量限值》</w:t>
                  </w:r>
                  <w:r>
                    <w:rPr>
                      <w:sz w:val="21"/>
                      <w:szCs w:val="21"/>
                    </w:rPr>
                    <w:t>(GB38508-2020)</w:t>
                  </w:r>
                  <w:r>
                    <w:rPr>
                      <w:rFonts w:hint="eastAsia"/>
                      <w:sz w:val="21"/>
                      <w:szCs w:val="21"/>
                    </w:rPr>
                    <w:t>要求。</w:t>
                  </w:r>
                </w:p>
                <w:p w14:paraId="0C84D149">
                  <w:pPr>
                    <w:pStyle w:val="154"/>
                    <w:jc w:val="left"/>
                    <w:rPr>
                      <w:sz w:val="21"/>
                      <w:szCs w:val="21"/>
                    </w:rPr>
                  </w:pPr>
                  <w:r>
                    <w:rPr>
                      <w:sz w:val="21"/>
                      <w:szCs w:val="21"/>
                    </w:rPr>
                    <w:t>本项目不使用溶剂型涂料、油墨</w:t>
                  </w:r>
                  <w:r>
                    <w:rPr>
                      <w:rFonts w:hint="eastAsia"/>
                      <w:sz w:val="21"/>
                      <w:szCs w:val="21"/>
                    </w:rPr>
                    <w:t>和</w:t>
                  </w:r>
                  <w:r>
                    <w:rPr>
                      <w:sz w:val="21"/>
                      <w:szCs w:val="21"/>
                    </w:rPr>
                    <w:t>胶粘剂等。</w:t>
                  </w:r>
                </w:p>
              </w:tc>
              <w:tc>
                <w:tcPr>
                  <w:tcW w:w="476" w:type="pct"/>
                  <w:vAlign w:val="center"/>
                </w:tcPr>
                <w:p w14:paraId="08762393">
                  <w:pPr>
                    <w:pStyle w:val="154"/>
                    <w:rPr>
                      <w:sz w:val="21"/>
                      <w:szCs w:val="21"/>
                    </w:rPr>
                  </w:pPr>
                  <w:r>
                    <w:rPr>
                      <w:rFonts w:hint="eastAsia"/>
                      <w:sz w:val="21"/>
                      <w:szCs w:val="21"/>
                    </w:rPr>
                    <w:t>相符</w:t>
                  </w:r>
                </w:p>
              </w:tc>
            </w:tr>
            <w:tr w14:paraId="6E9E9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28978563">
                  <w:pPr>
                    <w:pStyle w:val="154"/>
                    <w:jc w:val="left"/>
                    <w:rPr>
                      <w:sz w:val="21"/>
                      <w:szCs w:val="21"/>
                    </w:rPr>
                  </w:pPr>
                </w:p>
              </w:tc>
              <w:tc>
                <w:tcPr>
                  <w:tcW w:w="354" w:type="pct"/>
                  <w:vMerge w:val="continue"/>
                  <w:vAlign w:val="center"/>
                </w:tcPr>
                <w:p w14:paraId="4A0B3972">
                  <w:pPr>
                    <w:pStyle w:val="154"/>
                    <w:rPr>
                      <w:sz w:val="21"/>
                      <w:szCs w:val="21"/>
                    </w:rPr>
                  </w:pPr>
                </w:p>
              </w:tc>
              <w:tc>
                <w:tcPr>
                  <w:tcW w:w="2577" w:type="pct"/>
                  <w:vAlign w:val="center"/>
                </w:tcPr>
                <w:p w14:paraId="6D2146B8">
                  <w:pPr>
                    <w:pStyle w:val="154"/>
                    <w:jc w:val="left"/>
                    <w:rPr>
                      <w:sz w:val="21"/>
                      <w:szCs w:val="21"/>
                    </w:rPr>
                  </w:pPr>
                  <w:r>
                    <w:rPr>
                      <w:sz w:val="21"/>
                      <w:szCs w:val="21"/>
                    </w:rPr>
                    <w:t>禁止物料输送设备、生产车间非全密闭且未配置收尘设施；禁止露天喷漆项目。</w:t>
                  </w:r>
                </w:p>
              </w:tc>
              <w:tc>
                <w:tcPr>
                  <w:tcW w:w="1222" w:type="pct"/>
                  <w:vAlign w:val="center"/>
                </w:tcPr>
                <w:p w14:paraId="0DBC7663">
                  <w:pPr>
                    <w:pStyle w:val="154"/>
                    <w:jc w:val="left"/>
                    <w:rPr>
                      <w:sz w:val="21"/>
                      <w:szCs w:val="21"/>
                    </w:rPr>
                  </w:pPr>
                  <w:r>
                    <w:rPr>
                      <w:sz w:val="21"/>
                      <w:szCs w:val="21"/>
                    </w:rPr>
                    <w:t>本项目生产车间密闭且设置废气收集设施，不涉及</w:t>
                  </w:r>
                  <w:r>
                    <w:rPr>
                      <w:rFonts w:hint="eastAsia"/>
                      <w:sz w:val="21"/>
                      <w:szCs w:val="21"/>
                    </w:rPr>
                    <w:t>喷涂工序</w:t>
                  </w:r>
                  <w:r>
                    <w:rPr>
                      <w:sz w:val="21"/>
                      <w:szCs w:val="21"/>
                    </w:rPr>
                    <w:t>。</w:t>
                  </w:r>
                </w:p>
              </w:tc>
              <w:tc>
                <w:tcPr>
                  <w:tcW w:w="476" w:type="pct"/>
                  <w:vAlign w:val="center"/>
                </w:tcPr>
                <w:p w14:paraId="45F622D9">
                  <w:pPr>
                    <w:pStyle w:val="154"/>
                    <w:rPr>
                      <w:sz w:val="21"/>
                      <w:szCs w:val="21"/>
                    </w:rPr>
                  </w:pPr>
                  <w:r>
                    <w:rPr>
                      <w:rFonts w:hint="eastAsia"/>
                      <w:sz w:val="21"/>
                      <w:szCs w:val="21"/>
                    </w:rPr>
                    <w:t>相符</w:t>
                  </w:r>
                </w:p>
              </w:tc>
            </w:tr>
            <w:tr w14:paraId="07230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2989FA4E">
                  <w:pPr>
                    <w:pStyle w:val="154"/>
                    <w:jc w:val="left"/>
                    <w:rPr>
                      <w:sz w:val="21"/>
                      <w:szCs w:val="21"/>
                    </w:rPr>
                  </w:pPr>
                </w:p>
              </w:tc>
              <w:tc>
                <w:tcPr>
                  <w:tcW w:w="354" w:type="pct"/>
                  <w:vMerge w:val="restart"/>
                  <w:vAlign w:val="center"/>
                </w:tcPr>
                <w:p w14:paraId="53351C7F">
                  <w:pPr>
                    <w:pStyle w:val="154"/>
                    <w:rPr>
                      <w:sz w:val="21"/>
                      <w:szCs w:val="21"/>
                    </w:rPr>
                  </w:pPr>
                  <w:r>
                    <w:rPr>
                      <w:sz w:val="21"/>
                      <w:szCs w:val="21"/>
                    </w:rPr>
                    <w:t>污染控制</w:t>
                  </w:r>
                </w:p>
              </w:tc>
              <w:tc>
                <w:tcPr>
                  <w:tcW w:w="2577" w:type="pct"/>
                  <w:vAlign w:val="center"/>
                </w:tcPr>
                <w:p w14:paraId="3D91C164">
                  <w:pPr>
                    <w:pStyle w:val="154"/>
                    <w:jc w:val="left"/>
                    <w:rPr>
                      <w:sz w:val="21"/>
                      <w:szCs w:val="21"/>
                    </w:rPr>
                  </w:pPr>
                  <w:r>
                    <w:rPr>
                      <w:sz w:val="21"/>
                      <w:szCs w:val="21"/>
                    </w:rPr>
                    <w:t>对于废水水量较大、水质浓度较高，对开发区污水处理厂易造成冲击，影响污水处理厂稳定运行达标排放的项目，禁止入驻。</w:t>
                  </w:r>
                </w:p>
                <w:p w14:paraId="49AD5B00">
                  <w:pPr>
                    <w:pStyle w:val="154"/>
                    <w:jc w:val="left"/>
                    <w:rPr>
                      <w:sz w:val="21"/>
                      <w:szCs w:val="21"/>
                    </w:rPr>
                  </w:pPr>
                  <w:r>
                    <w:rPr>
                      <w:sz w:val="21"/>
                      <w:szCs w:val="21"/>
                    </w:rPr>
                    <w:t>入驻开发区企业废水需通过污水管网排入集中污水处理厂处理，生产废水不得直排外环境。</w:t>
                  </w:r>
                </w:p>
              </w:tc>
              <w:tc>
                <w:tcPr>
                  <w:tcW w:w="1222" w:type="pct"/>
                </w:tcPr>
                <w:p w14:paraId="516EA51D">
                  <w:pPr>
                    <w:pStyle w:val="154"/>
                    <w:jc w:val="left"/>
                    <w:rPr>
                      <w:sz w:val="21"/>
                      <w:szCs w:val="21"/>
                    </w:rPr>
                  </w:pPr>
                  <w:r>
                    <w:rPr>
                      <w:sz w:val="21"/>
                      <w:szCs w:val="21"/>
                    </w:rPr>
                    <w:t>本项目废水达到《污水综合排放标准（GB8978 -1996）》三级标准后经东屯村污水管网排入偃师区中州渠人工湿地深度处理，不直接排放。</w:t>
                  </w:r>
                </w:p>
              </w:tc>
              <w:tc>
                <w:tcPr>
                  <w:tcW w:w="476" w:type="pct"/>
                  <w:vAlign w:val="center"/>
                </w:tcPr>
                <w:p w14:paraId="05B7EAAA">
                  <w:pPr>
                    <w:pStyle w:val="154"/>
                    <w:rPr>
                      <w:sz w:val="21"/>
                      <w:szCs w:val="21"/>
                    </w:rPr>
                  </w:pPr>
                  <w:r>
                    <w:rPr>
                      <w:rFonts w:hint="eastAsia"/>
                      <w:sz w:val="21"/>
                      <w:szCs w:val="21"/>
                    </w:rPr>
                    <w:t>相符</w:t>
                  </w:r>
                </w:p>
              </w:tc>
            </w:tr>
            <w:tr w14:paraId="1104D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58F400B9">
                  <w:pPr>
                    <w:pStyle w:val="154"/>
                    <w:jc w:val="left"/>
                    <w:rPr>
                      <w:sz w:val="21"/>
                      <w:szCs w:val="21"/>
                    </w:rPr>
                  </w:pPr>
                </w:p>
              </w:tc>
              <w:tc>
                <w:tcPr>
                  <w:tcW w:w="354" w:type="pct"/>
                  <w:vMerge w:val="continue"/>
                  <w:vAlign w:val="center"/>
                </w:tcPr>
                <w:p w14:paraId="5AC394F9">
                  <w:pPr>
                    <w:pStyle w:val="154"/>
                    <w:rPr>
                      <w:sz w:val="21"/>
                      <w:szCs w:val="21"/>
                    </w:rPr>
                  </w:pPr>
                </w:p>
              </w:tc>
              <w:tc>
                <w:tcPr>
                  <w:tcW w:w="2577" w:type="pct"/>
                  <w:vAlign w:val="center"/>
                </w:tcPr>
                <w:p w14:paraId="448172F1">
                  <w:pPr>
                    <w:pStyle w:val="154"/>
                    <w:jc w:val="left"/>
                    <w:rPr>
                      <w:sz w:val="21"/>
                      <w:szCs w:val="21"/>
                    </w:rPr>
                  </w:pPr>
                  <w:r>
                    <w:rPr>
                      <w:sz w:val="21"/>
                      <w:szCs w:val="21"/>
                    </w:rPr>
                    <w:t>重点行业二氧化硫、氮氧化物、颗粒物、VOCs全面执行大气污染物特别排放限值。</w:t>
                  </w:r>
                </w:p>
              </w:tc>
              <w:tc>
                <w:tcPr>
                  <w:tcW w:w="1222" w:type="pct"/>
                </w:tcPr>
                <w:p w14:paraId="756EFAE0">
                  <w:pPr>
                    <w:pStyle w:val="154"/>
                    <w:jc w:val="left"/>
                    <w:rPr>
                      <w:sz w:val="21"/>
                      <w:szCs w:val="21"/>
                    </w:rPr>
                  </w:pPr>
                  <w:r>
                    <w:rPr>
                      <w:sz w:val="21"/>
                      <w:szCs w:val="21"/>
                    </w:rPr>
                    <w:t>本项目属于重点行业，VOCs排放执行特别排放限值。</w:t>
                  </w:r>
                </w:p>
              </w:tc>
              <w:tc>
                <w:tcPr>
                  <w:tcW w:w="476" w:type="pct"/>
                  <w:vAlign w:val="center"/>
                </w:tcPr>
                <w:p w14:paraId="54BDBE9E">
                  <w:pPr>
                    <w:pStyle w:val="154"/>
                    <w:rPr>
                      <w:sz w:val="21"/>
                      <w:szCs w:val="21"/>
                    </w:rPr>
                  </w:pPr>
                  <w:r>
                    <w:rPr>
                      <w:rFonts w:hint="eastAsia"/>
                      <w:sz w:val="21"/>
                      <w:szCs w:val="21"/>
                    </w:rPr>
                    <w:t>相符</w:t>
                  </w:r>
                </w:p>
              </w:tc>
            </w:tr>
            <w:tr w14:paraId="62ECB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4887CB1E">
                  <w:pPr>
                    <w:pStyle w:val="154"/>
                    <w:jc w:val="left"/>
                    <w:rPr>
                      <w:sz w:val="21"/>
                      <w:szCs w:val="21"/>
                    </w:rPr>
                  </w:pPr>
                </w:p>
              </w:tc>
              <w:tc>
                <w:tcPr>
                  <w:tcW w:w="354" w:type="pct"/>
                  <w:vMerge w:val="continue"/>
                  <w:vAlign w:val="center"/>
                </w:tcPr>
                <w:p w14:paraId="285BAA4D">
                  <w:pPr>
                    <w:pStyle w:val="154"/>
                    <w:rPr>
                      <w:sz w:val="21"/>
                      <w:szCs w:val="21"/>
                    </w:rPr>
                  </w:pPr>
                </w:p>
              </w:tc>
              <w:tc>
                <w:tcPr>
                  <w:tcW w:w="2577" w:type="pct"/>
                  <w:vAlign w:val="center"/>
                </w:tcPr>
                <w:p w14:paraId="2AE7632B">
                  <w:pPr>
                    <w:pStyle w:val="154"/>
                    <w:jc w:val="left"/>
                    <w:rPr>
                      <w:sz w:val="21"/>
                      <w:szCs w:val="21"/>
                    </w:rPr>
                  </w:pPr>
                  <w:r>
                    <w:rPr>
                      <w:sz w:val="21"/>
                      <w:szCs w:val="21"/>
                    </w:rPr>
                    <w:t>入区项目新增主要污染物总量指标需满足区域或行业替代的有关要求。新、改、扩建重点行业涉重点重金属（铅、汞、镉、铬、砷）项目需实行排放等量置换或减量置换，禁止入驻不满足重金属排放控制要求的建设项目。</w:t>
                  </w:r>
                </w:p>
              </w:tc>
              <w:tc>
                <w:tcPr>
                  <w:tcW w:w="1222" w:type="pct"/>
                  <w:vAlign w:val="center"/>
                </w:tcPr>
                <w:p w14:paraId="62A232A8">
                  <w:pPr>
                    <w:pStyle w:val="154"/>
                    <w:jc w:val="left"/>
                    <w:rPr>
                      <w:sz w:val="21"/>
                      <w:szCs w:val="21"/>
                    </w:rPr>
                  </w:pPr>
                  <w:r>
                    <w:rPr>
                      <w:sz w:val="21"/>
                      <w:szCs w:val="21"/>
                    </w:rPr>
                    <w:t>本项目新增主要污染物总量指标执行区域替代的相关要求。本项目不涉及重金属排放。</w:t>
                  </w:r>
                </w:p>
              </w:tc>
              <w:tc>
                <w:tcPr>
                  <w:tcW w:w="476" w:type="pct"/>
                  <w:vAlign w:val="center"/>
                </w:tcPr>
                <w:p w14:paraId="63B0ABBC">
                  <w:pPr>
                    <w:pStyle w:val="154"/>
                    <w:rPr>
                      <w:sz w:val="21"/>
                      <w:szCs w:val="21"/>
                    </w:rPr>
                  </w:pPr>
                  <w:r>
                    <w:rPr>
                      <w:rFonts w:hint="eastAsia"/>
                      <w:sz w:val="21"/>
                      <w:szCs w:val="21"/>
                    </w:rPr>
                    <w:t>相符</w:t>
                  </w:r>
                </w:p>
              </w:tc>
            </w:tr>
            <w:tr w14:paraId="6F01B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6EB61545">
                  <w:pPr>
                    <w:pStyle w:val="154"/>
                    <w:jc w:val="left"/>
                    <w:rPr>
                      <w:sz w:val="21"/>
                      <w:szCs w:val="21"/>
                    </w:rPr>
                  </w:pPr>
                </w:p>
              </w:tc>
              <w:tc>
                <w:tcPr>
                  <w:tcW w:w="354" w:type="pct"/>
                  <w:vMerge w:val="continue"/>
                  <w:vAlign w:val="center"/>
                </w:tcPr>
                <w:p w14:paraId="4FED40E8">
                  <w:pPr>
                    <w:pStyle w:val="154"/>
                    <w:rPr>
                      <w:sz w:val="21"/>
                      <w:szCs w:val="21"/>
                    </w:rPr>
                  </w:pPr>
                </w:p>
              </w:tc>
              <w:tc>
                <w:tcPr>
                  <w:tcW w:w="2577" w:type="pct"/>
                  <w:vAlign w:val="center"/>
                </w:tcPr>
                <w:p w14:paraId="7421E845">
                  <w:pPr>
                    <w:pStyle w:val="154"/>
                    <w:jc w:val="left"/>
                    <w:rPr>
                      <w:sz w:val="21"/>
                      <w:szCs w:val="21"/>
                    </w:rPr>
                  </w:pPr>
                  <w:r>
                    <w:rPr>
                      <w:sz w:val="21"/>
                      <w:szCs w:val="21"/>
                    </w:rPr>
                    <w:t>涉及VOCs废气排放的项目应根据废气产生情况，选择合理处理工艺，对于VOCs产生浓度高、气量大的涉VOCs重点行业项目，应采用RTO或催化燃烧等高效处理工艺，其他涉VOCs项目应采用低温等离子体技术、UV光催化氧化技术、活性炭吸附技术等两种或两种以上组合工艺，禁止使用单一吸附、催化氧化等处理技术。</w:t>
                  </w:r>
                </w:p>
              </w:tc>
              <w:tc>
                <w:tcPr>
                  <w:tcW w:w="1222" w:type="pct"/>
                  <w:vAlign w:val="center"/>
                </w:tcPr>
                <w:p w14:paraId="1DC55B74">
                  <w:pPr>
                    <w:pStyle w:val="154"/>
                    <w:jc w:val="both"/>
                    <w:rPr>
                      <w:sz w:val="21"/>
                      <w:szCs w:val="21"/>
                    </w:rPr>
                  </w:pPr>
                  <w:r>
                    <w:rPr>
                      <w:sz w:val="21"/>
                      <w:szCs w:val="21"/>
                    </w:rPr>
                    <w:t>本项目有机废气产生浓度低、气量大，不属于浓度高、气量大的涉VOCs重点行业项目，故采用两级活性炭吸附措施处理，</w:t>
                  </w:r>
                  <w:r>
                    <w:rPr>
                      <w:rFonts w:hint="eastAsia"/>
                      <w:sz w:val="21"/>
                      <w:szCs w:val="21"/>
                    </w:rPr>
                    <w:t>根据</w:t>
                  </w:r>
                  <w:r>
                    <w:rPr>
                      <w:rFonts w:cs="Times New Roman" w:hAnsiTheme="minorEastAsia"/>
                      <w:sz w:val="21"/>
                      <w:szCs w:val="21"/>
                    </w:rPr>
                    <w:t>《河南省低效失效大气污染治理设施排查整治实施方案》的通知（豫环文〔</w:t>
                  </w:r>
                  <w:r>
                    <w:rPr>
                      <w:rFonts w:cs="Times New Roman"/>
                      <w:sz w:val="21"/>
                      <w:szCs w:val="21"/>
                    </w:rPr>
                    <w:t>2024</w:t>
                  </w:r>
                  <w:r>
                    <w:rPr>
                      <w:rFonts w:cs="Times New Roman" w:hAnsiTheme="minorEastAsia"/>
                      <w:sz w:val="21"/>
                      <w:szCs w:val="21"/>
                    </w:rPr>
                    <w:t>〕</w:t>
                  </w:r>
                  <w:r>
                    <w:rPr>
                      <w:rFonts w:cs="Times New Roman"/>
                      <w:sz w:val="21"/>
                      <w:szCs w:val="21"/>
                    </w:rPr>
                    <w:t>132</w:t>
                  </w:r>
                  <w:r>
                    <w:rPr>
                      <w:rFonts w:cs="Times New Roman" w:hAnsiTheme="minorEastAsia"/>
                      <w:sz w:val="21"/>
                      <w:szCs w:val="21"/>
                    </w:rPr>
                    <w:t>号）</w:t>
                  </w:r>
                  <w:r>
                    <w:rPr>
                      <w:rFonts w:hint="eastAsia"/>
                      <w:sz w:val="21"/>
                      <w:szCs w:val="21"/>
                    </w:rPr>
                    <w:t>，属于可行技术</w:t>
                  </w:r>
                  <w:r>
                    <w:rPr>
                      <w:sz w:val="21"/>
                      <w:szCs w:val="21"/>
                    </w:rPr>
                    <w:t>。</w:t>
                  </w:r>
                </w:p>
              </w:tc>
              <w:tc>
                <w:tcPr>
                  <w:tcW w:w="476" w:type="pct"/>
                  <w:vAlign w:val="center"/>
                </w:tcPr>
                <w:p w14:paraId="5EBFA666">
                  <w:pPr>
                    <w:pStyle w:val="154"/>
                    <w:rPr>
                      <w:sz w:val="21"/>
                      <w:szCs w:val="21"/>
                    </w:rPr>
                  </w:pPr>
                  <w:r>
                    <w:rPr>
                      <w:rFonts w:hint="eastAsia"/>
                      <w:sz w:val="21"/>
                      <w:szCs w:val="21"/>
                    </w:rPr>
                    <w:t>相符</w:t>
                  </w:r>
                </w:p>
              </w:tc>
            </w:tr>
            <w:tr w14:paraId="5F63F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67836DFB">
                  <w:pPr>
                    <w:pStyle w:val="154"/>
                    <w:jc w:val="left"/>
                    <w:rPr>
                      <w:sz w:val="21"/>
                      <w:szCs w:val="21"/>
                    </w:rPr>
                  </w:pPr>
                </w:p>
              </w:tc>
              <w:tc>
                <w:tcPr>
                  <w:tcW w:w="354" w:type="pct"/>
                  <w:vMerge w:val="restart"/>
                  <w:vAlign w:val="center"/>
                </w:tcPr>
                <w:p w14:paraId="6A260205">
                  <w:pPr>
                    <w:pStyle w:val="154"/>
                    <w:rPr>
                      <w:sz w:val="21"/>
                      <w:szCs w:val="21"/>
                    </w:rPr>
                  </w:pPr>
                  <w:r>
                    <w:rPr>
                      <w:sz w:val="21"/>
                      <w:szCs w:val="21"/>
                    </w:rPr>
                    <w:t>环境风险</w:t>
                  </w:r>
                </w:p>
              </w:tc>
              <w:tc>
                <w:tcPr>
                  <w:tcW w:w="2577" w:type="pct"/>
                  <w:vAlign w:val="center"/>
                </w:tcPr>
                <w:p w14:paraId="13CF5A3A">
                  <w:pPr>
                    <w:pStyle w:val="154"/>
                    <w:jc w:val="left"/>
                    <w:rPr>
                      <w:sz w:val="21"/>
                      <w:szCs w:val="21"/>
                    </w:rPr>
                  </w:pPr>
                  <w:r>
                    <w:rPr>
                      <w:sz w:val="21"/>
                      <w:szCs w:val="21"/>
                    </w:rPr>
                    <w:t>涉及危险化学品、危险废物及可能发生突发环境事件的污染物排放企业，应按照突发环境事件应急预案备案管理办法的要求，制定完善的环境应急预案，并报环境管理部门备案管理。</w:t>
                  </w:r>
                </w:p>
              </w:tc>
              <w:tc>
                <w:tcPr>
                  <w:tcW w:w="1222" w:type="pct"/>
                  <w:vAlign w:val="center"/>
                </w:tcPr>
                <w:p w14:paraId="29615012">
                  <w:pPr>
                    <w:pStyle w:val="154"/>
                    <w:jc w:val="left"/>
                    <w:rPr>
                      <w:sz w:val="21"/>
                      <w:szCs w:val="21"/>
                    </w:rPr>
                  </w:pPr>
                  <w:r>
                    <w:rPr>
                      <w:sz w:val="21"/>
                      <w:szCs w:val="21"/>
                    </w:rPr>
                    <w:t>本项目</w:t>
                  </w:r>
                  <w:r>
                    <w:rPr>
                      <w:rFonts w:hint="eastAsia"/>
                      <w:sz w:val="21"/>
                      <w:szCs w:val="21"/>
                    </w:rPr>
                    <w:t>目前处于环评阶段，建设单位承诺建成后按照要求组织编制应急预案并按要求备案</w:t>
                  </w:r>
                  <w:r>
                    <w:rPr>
                      <w:sz w:val="21"/>
                      <w:szCs w:val="21"/>
                    </w:rPr>
                    <w:t>。</w:t>
                  </w:r>
                </w:p>
              </w:tc>
              <w:tc>
                <w:tcPr>
                  <w:tcW w:w="476" w:type="pct"/>
                  <w:vAlign w:val="center"/>
                </w:tcPr>
                <w:p w14:paraId="6855AC77">
                  <w:pPr>
                    <w:pStyle w:val="154"/>
                    <w:rPr>
                      <w:sz w:val="21"/>
                      <w:szCs w:val="21"/>
                    </w:rPr>
                  </w:pPr>
                  <w:r>
                    <w:rPr>
                      <w:rFonts w:hint="eastAsia"/>
                      <w:sz w:val="21"/>
                      <w:szCs w:val="21"/>
                    </w:rPr>
                    <w:t>相符</w:t>
                  </w:r>
                </w:p>
              </w:tc>
            </w:tr>
            <w:tr w14:paraId="4AE79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6DBFFBE8">
                  <w:pPr>
                    <w:pStyle w:val="154"/>
                    <w:jc w:val="left"/>
                    <w:rPr>
                      <w:sz w:val="21"/>
                      <w:szCs w:val="21"/>
                    </w:rPr>
                  </w:pPr>
                </w:p>
              </w:tc>
              <w:tc>
                <w:tcPr>
                  <w:tcW w:w="354" w:type="pct"/>
                  <w:vMerge w:val="continue"/>
                  <w:vAlign w:val="center"/>
                </w:tcPr>
                <w:p w14:paraId="4CAF9AFB">
                  <w:pPr>
                    <w:pStyle w:val="154"/>
                    <w:rPr>
                      <w:sz w:val="21"/>
                      <w:szCs w:val="21"/>
                    </w:rPr>
                  </w:pPr>
                </w:p>
              </w:tc>
              <w:tc>
                <w:tcPr>
                  <w:tcW w:w="2577" w:type="pct"/>
                  <w:vAlign w:val="center"/>
                </w:tcPr>
                <w:p w14:paraId="0D96B3CA">
                  <w:pPr>
                    <w:pStyle w:val="154"/>
                    <w:jc w:val="left"/>
                    <w:rPr>
                      <w:sz w:val="21"/>
                      <w:szCs w:val="21"/>
                    </w:rPr>
                  </w:pPr>
                  <w:r>
                    <w:rPr>
                      <w:sz w:val="21"/>
                      <w:szCs w:val="21"/>
                    </w:rPr>
                    <w:t>入区项目应按照有关行业规范要求，建设初期雨水池和事故水池，做好事故风险管控联动，防止初期雨水及事故废水排入雨水管网或未经处理直接进入地表水体。</w:t>
                  </w:r>
                </w:p>
              </w:tc>
              <w:tc>
                <w:tcPr>
                  <w:tcW w:w="1222" w:type="pct"/>
                  <w:vAlign w:val="center"/>
                </w:tcPr>
                <w:p w14:paraId="31085F2D">
                  <w:pPr>
                    <w:pStyle w:val="154"/>
                    <w:jc w:val="left"/>
                    <w:rPr>
                      <w:sz w:val="21"/>
                      <w:szCs w:val="21"/>
                    </w:rPr>
                  </w:pPr>
                  <w:r>
                    <w:rPr>
                      <w:sz w:val="21"/>
                      <w:szCs w:val="21"/>
                    </w:rPr>
                    <w:t>本项目按相关要求做好事故风险管控联动。</w:t>
                  </w:r>
                </w:p>
              </w:tc>
              <w:tc>
                <w:tcPr>
                  <w:tcW w:w="476" w:type="pct"/>
                  <w:vAlign w:val="center"/>
                </w:tcPr>
                <w:p w14:paraId="2AADFEA0">
                  <w:pPr>
                    <w:pStyle w:val="154"/>
                    <w:rPr>
                      <w:sz w:val="21"/>
                      <w:szCs w:val="21"/>
                    </w:rPr>
                  </w:pPr>
                  <w:r>
                    <w:rPr>
                      <w:rFonts w:hint="eastAsia"/>
                      <w:sz w:val="21"/>
                      <w:szCs w:val="21"/>
                    </w:rPr>
                    <w:t>相符</w:t>
                  </w:r>
                </w:p>
              </w:tc>
            </w:tr>
            <w:tr w14:paraId="66B20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2E2873D6">
                  <w:pPr>
                    <w:pStyle w:val="154"/>
                    <w:jc w:val="left"/>
                    <w:rPr>
                      <w:sz w:val="21"/>
                      <w:szCs w:val="21"/>
                    </w:rPr>
                  </w:pPr>
                </w:p>
              </w:tc>
              <w:tc>
                <w:tcPr>
                  <w:tcW w:w="354" w:type="pct"/>
                  <w:vMerge w:val="continue"/>
                  <w:vAlign w:val="center"/>
                </w:tcPr>
                <w:p w14:paraId="274BC121">
                  <w:pPr>
                    <w:pStyle w:val="154"/>
                    <w:rPr>
                      <w:sz w:val="21"/>
                      <w:szCs w:val="21"/>
                    </w:rPr>
                  </w:pPr>
                </w:p>
              </w:tc>
              <w:tc>
                <w:tcPr>
                  <w:tcW w:w="2577" w:type="pct"/>
                  <w:vAlign w:val="center"/>
                </w:tcPr>
                <w:p w14:paraId="21422213">
                  <w:pPr>
                    <w:pStyle w:val="154"/>
                    <w:jc w:val="left"/>
                    <w:rPr>
                      <w:sz w:val="21"/>
                      <w:szCs w:val="21"/>
                    </w:rPr>
                  </w:pPr>
                  <w:r>
                    <w:rPr>
                      <w:sz w:val="21"/>
                      <w:szCs w:val="21"/>
                    </w:rPr>
                    <w:t>涉重金属及难降解类有机污染物的重点排污单位，应按照排污许可执行监测要求，对土壤、地下水进行监测，发现问题，及时采取有效防治措施，避免对土壤、地下水造成污染。</w:t>
                  </w:r>
                </w:p>
              </w:tc>
              <w:tc>
                <w:tcPr>
                  <w:tcW w:w="1222" w:type="pct"/>
                  <w:vAlign w:val="center"/>
                </w:tcPr>
                <w:p w14:paraId="1C74C9A1">
                  <w:pPr>
                    <w:pStyle w:val="154"/>
                    <w:jc w:val="left"/>
                    <w:rPr>
                      <w:sz w:val="21"/>
                      <w:szCs w:val="21"/>
                    </w:rPr>
                  </w:pPr>
                  <w:r>
                    <w:rPr>
                      <w:sz w:val="21"/>
                      <w:szCs w:val="21"/>
                    </w:rPr>
                    <w:t>本项目不涉及重金属及难降解类有机污染物，且不属于重点排污单位。</w:t>
                  </w:r>
                </w:p>
              </w:tc>
              <w:tc>
                <w:tcPr>
                  <w:tcW w:w="476" w:type="pct"/>
                  <w:vAlign w:val="center"/>
                </w:tcPr>
                <w:p w14:paraId="2F85710E">
                  <w:pPr>
                    <w:pStyle w:val="154"/>
                    <w:rPr>
                      <w:sz w:val="21"/>
                      <w:szCs w:val="21"/>
                    </w:rPr>
                  </w:pPr>
                  <w:r>
                    <w:rPr>
                      <w:rFonts w:hint="eastAsia"/>
                      <w:sz w:val="21"/>
                      <w:szCs w:val="21"/>
                    </w:rPr>
                    <w:t>相符</w:t>
                  </w:r>
                </w:p>
              </w:tc>
            </w:tr>
            <w:tr w14:paraId="0FEFC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3CDF4AB7">
                  <w:pPr>
                    <w:pStyle w:val="154"/>
                    <w:jc w:val="left"/>
                    <w:rPr>
                      <w:sz w:val="21"/>
                      <w:szCs w:val="21"/>
                    </w:rPr>
                  </w:pPr>
                </w:p>
              </w:tc>
              <w:tc>
                <w:tcPr>
                  <w:tcW w:w="354" w:type="pct"/>
                  <w:vMerge w:val="restart"/>
                  <w:vAlign w:val="center"/>
                </w:tcPr>
                <w:p w14:paraId="5EA3E457">
                  <w:pPr>
                    <w:pStyle w:val="154"/>
                    <w:rPr>
                      <w:sz w:val="21"/>
                      <w:szCs w:val="21"/>
                    </w:rPr>
                  </w:pPr>
                  <w:r>
                    <w:rPr>
                      <w:sz w:val="21"/>
                      <w:szCs w:val="21"/>
                    </w:rPr>
                    <w:t>资源利用</w:t>
                  </w:r>
                </w:p>
              </w:tc>
              <w:tc>
                <w:tcPr>
                  <w:tcW w:w="2577" w:type="pct"/>
                  <w:vAlign w:val="center"/>
                </w:tcPr>
                <w:p w14:paraId="4B9712A5">
                  <w:pPr>
                    <w:pStyle w:val="154"/>
                    <w:jc w:val="left"/>
                    <w:rPr>
                      <w:sz w:val="21"/>
                      <w:szCs w:val="21"/>
                    </w:rPr>
                  </w:pPr>
                  <w:r>
                    <w:rPr>
                      <w:sz w:val="21"/>
                      <w:szCs w:val="21"/>
                    </w:rPr>
                    <w:t>入区项目在条件具备的情况下，应加大中水回用力度，建设再生水回用配套设施，提高再生水利用率。</w:t>
                  </w:r>
                </w:p>
              </w:tc>
              <w:tc>
                <w:tcPr>
                  <w:tcW w:w="1222" w:type="pct"/>
                  <w:vAlign w:val="center"/>
                </w:tcPr>
                <w:p w14:paraId="1AD0A3D8">
                  <w:pPr>
                    <w:pStyle w:val="154"/>
                    <w:jc w:val="left"/>
                    <w:rPr>
                      <w:sz w:val="21"/>
                      <w:szCs w:val="21"/>
                    </w:rPr>
                  </w:pPr>
                  <w:r>
                    <w:rPr>
                      <w:rFonts w:hint="eastAsia"/>
                      <w:sz w:val="21"/>
                      <w:szCs w:val="21"/>
                    </w:rPr>
                    <w:t>冷却水循环使用，不外排。</w:t>
                  </w:r>
                </w:p>
              </w:tc>
              <w:tc>
                <w:tcPr>
                  <w:tcW w:w="476" w:type="pct"/>
                  <w:vAlign w:val="center"/>
                </w:tcPr>
                <w:p w14:paraId="7235B4ED">
                  <w:pPr>
                    <w:pStyle w:val="154"/>
                    <w:rPr>
                      <w:sz w:val="21"/>
                      <w:szCs w:val="21"/>
                    </w:rPr>
                  </w:pPr>
                  <w:r>
                    <w:rPr>
                      <w:sz w:val="21"/>
                      <w:szCs w:val="21"/>
                    </w:rPr>
                    <w:t>/</w:t>
                  </w:r>
                </w:p>
              </w:tc>
            </w:tr>
            <w:tr w14:paraId="517BA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71" w:type="pct"/>
                  <w:vMerge w:val="continue"/>
                  <w:vAlign w:val="center"/>
                </w:tcPr>
                <w:p w14:paraId="37A0299A">
                  <w:pPr>
                    <w:pStyle w:val="154"/>
                    <w:jc w:val="left"/>
                    <w:rPr>
                      <w:sz w:val="21"/>
                      <w:szCs w:val="21"/>
                    </w:rPr>
                  </w:pPr>
                </w:p>
              </w:tc>
              <w:tc>
                <w:tcPr>
                  <w:tcW w:w="354" w:type="pct"/>
                  <w:vMerge w:val="continue"/>
                  <w:vAlign w:val="center"/>
                </w:tcPr>
                <w:p w14:paraId="57602ECE">
                  <w:pPr>
                    <w:pStyle w:val="154"/>
                    <w:jc w:val="left"/>
                    <w:rPr>
                      <w:sz w:val="21"/>
                      <w:szCs w:val="21"/>
                    </w:rPr>
                  </w:pPr>
                </w:p>
              </w:tc>
              <w:tc>
                <w:tcPr>
                  <w:tcW w:w="2577" w:type="pct"/>
                  <w:vAlign w:val="center"/>
                </w:tcPr>
                <w:p w14:paraId="21E41380">
                  <w:pPr>
                    <w:pStyle w:val="154"/>
                    <w:jc w:val="left"/>
                    <w:rPr>
                      <w:sz w:val="21"/>
                      <w:szCs w:val="21"/>
                    </w:rPr>
                  </w:pPr>
                  <w:r>
                    <w:rPr>
                      <w:sz w:val="21"/>
                      <w:szCs w:val="21"/>
                    </w:rPr>
                    <w:t>入区新改扩建设项目的清洁生产水平应达到国内先进水平。</w:t>
                  </w:r>
                </w:p>
              </w:tc>
              <w:tc>
                <w:tcPr>
                  <w:tcW w:w="1222" w:type="pct"/>
                  <w:vAlign w:val="center"/>
                </w:tcPr>
                <w:p w14:paraId="704FD8F1">
                  <w:pPr>
                    <w:pStyle w:val="154"/>
                    <w:jc w:val="left"/>
                    <w:rPr>
                      <w:sz w:val="21"/>
                      <w:szCs w:val="21"/>
                    </w:rPr>
                  </w:pPr>
                  <w:r>
                    <w:rPr>
                      <w:rFonts w:hint="eastAsia"/>
                      <w:sz w:val="21"/>
                      <w:szCs w:val="21"/>
                    </w:rPr>
                    <w:t>项目</w:t>
                  </w:r>
                  <w:r>
                    <w:rPr>
                      <w:sz w:val="21"/>
                      <w:szCs w:val="21"/>
                    </w:rPr>
                    <w:t>达到清洁生产水平</w:t>
                  </w:r>
                  <w:r>
                    <w:rPr>
                      <w:rFonts w:hint="eastAsia"/>
                      <w:sz w:val="21"/>
                      <w:szCs w:val="21"/>
                    </w:rPr>
                    <w:t>。</w:t>
                  </w:r>
                </w:p>
              </w:tc>
              <w:tc>
                <w:tcPr>
                  <w:tcW w:w="476" w:type="pct"/>
                  <w:vAlign w:val="center"/>
                </w:tcPr>
                <w:p w14:paraId="197967D1">
                  <w:pPr>
                    <w:pStyle w:val="154"/>
                    <w:rPr>
                      <w:sz w:val="21"/>
                      <w:szCs w:val="21"/>
                    </w:rPr>
                  </w:pPr>
                  <w:r>
                    <w:rPr>
                      <w:rFonts w:hint="eastAsia"/>
                      <w:sz w:val="21"/>
                      <w:szCs w:val="21"/>
                    </w:rPr>
                    <w:t>相符</w:t>
                  </w:r>
                </w:p>
              </w:tc>
            </w:tr>
          </w:tbl>
          <w:p w14:paraId="7DB54CA9">
            <w:pPr>
              <w:pStyle w:val="167"/>
              <w:ind w:firstLine="480"/>
              <w:rPr>
                <w:rFonts w:eastAsia="宋体"/>
              </w:rPr>
            </w:pPr>
            <w:r>
              <w:rPr>
                <w:rFonts w:eastAsia="宋体"/>
              </w:rPr>
              <w:t>综上所述，本项目符合洛阳偃师区先进制造业开发区生态环境准入清单</w:t>
            </w:r>
            <w:r>
              <w:rPr>
                <w:rFonts w:hint="eastAsia" w:eastAsia="宋体"/>
              </w:rPr>
              <w:t>的要求</w:t>
            </w:r>
            <w:r>
              <w:rPr>
                <w:rFonts w:eastAsia="宋体"/>
              </w:rPr>
              <w:t>。</w:t>
            </w:r>
          </w:p>
          <w:p w14:paraId="6CE0B905">
            <w:pPr>
              <w:pStyle w:val="157"/>
            </w:pPr>
            <w:r>
              <w:t>3</w:t>
            </w:r>
            <w:r>
              <w:rPr>
                <w:rFonts w:hint="eastAsia"/>
              </w:rPr>
              <w:t>、与《洛阳偃师区先进制造业开发区发展规划（</w:t>
            </w:r>
            <w:r>
              <w:t>2022—2035</w:t>
            </w:r>
            <w:r>
              <w:rPr>
                <w:rFonts w:hint="eastAsia"/>
              </w:rPr>
              <w:t>年）环境影响报告书的审核意见》（豫环函〔</w:t>
            </w:r>
            <w:r>
              <w:t>2023</w:t>
            </w:r>
            <w:r>
              <w:rPr>
                <w:rFonts w:hint="eastAsia"/>
              </w:rPr>
              <w:t>〕</w:t>
            </w:r>
            <w:r>
              <w:t>103</w:t>
            </w:r>
            <w:r>
              <w:rPr>
                <w:rFonts w:hint="eastAsia"/>
              </w:rPr>
              <w:t>号文）相符性分析</w:t>
            </w:r>
          </w:p>
          <w:p w14:paraId="4ACE9FE2">
            <w:pPr>
              <w:pStyle w:val="182"/>
              <w:ind w:firstLine="480"/>
            </w:pPr>
            <w:r>
              <w:rPr>
                <w:rFonts w:hint="eastAsia"/>
              </w:rPr>
              <w:t>表</w:t>
            </w:r>
            <w:r>
              <w:t xml:space="preserve">1-2            </w:t>
            </w:r>
            <w:r>
              <w:rPr>
                <w:rFonts w:hint="eastAsia"/>
              </w:rPr>
              <w:t>项目与审核意见相符性分析</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96"/>
              <w:gridCol w:w="5022"/>
              <w:gridCol w:w="2231"/>
              <w:gridCol w:w="925"/>
            </w:tblGrid>
            <w:tr w14:paraId="69989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blHeader/>
                <w:jc w:val="center"/>
              </w:trPr>
              <w:tc>
                <w:tcPr>
                  <w:tcW w:w="392" w:type="pct"/>
                  <w:vAlign w:val="center"/>
                </w:tcPr>
                <w:p w14:paraId="6C050D3A">
                  <w:pPr>
                    <w:pStyle w:val="154"/>
                    <w:rPr>
                      <w:sz w:val="21"/>
                      <w:szCs w:val="21"/>
                    </w:rPr>
                  </w:pPr>
                  <w:r>
                    <w:rPr>
                      <w:sz w:val="21"/>
                      <w:szCs w:val="21"/>
                    </w:rPr>
                    <w:t>类别</w:t>
                  </w:r>
                </w:p>
              </w:tc>
              <w:tc>
                <w:tcPr>
                  <w:tcW w:w="2829" w:type="pct"/>
                  <w:vAlign w:val="center"/>
                </w:tcPr>
                <w:p w14:paraId="30553627">
                  <w:pPr>
                    <w:pStyle w:val="154"/>
                    <w:rPr>
                      <w:sz w:val="21"/>
                      <w:szCs w:val="21"/>
                    </w:rPr>
                  </w:pPr>
                  <w:r>
                    <w:rPr>
                      <w:sz w:val="21"/>
                      <w:szCs w:val="21"/>
                    </w:rPr>
                    <w:t>要求</w:t>
                  </w:r>
                </w:p>
              </w:tc>
              <w:tc>
                <w:tcPr>
                  <w:tcW w:w="1257" w:type="pct"/>
                </w:tcPr>
                <w:p w14:paraId="5953AD4E">
                  <w:pPr>
                    <w:pStyle w:val="154"/>
                    <w:rPr>
                      <w:sz w:val="21"/>
                      <w:szCs w:val="21"/>
                    </w:rPr>
                  </w:pPr>
                  <w:r>
                    <w:rPr>
                      <w:sz w:val="21"/>
                      <w:szCs w:val="21"/>
                    </w:rPr>
                    <w:t>本项目情况</w:t>
                  </w:r>
                </w:p>
              </w:tc>
              <w:tc>
                <w:tcPr>
                  <w:tcW w:w="521" w:type="pct"/>
                </w:tcPr>
                <w:p w14:paraId="6D12EEEB">
                  <w:pPr>
                    <w:pStyle w:val="154"/>
                    <w:rPr>
                      <w:sz w:val="21"/>
                      <w:szCs w:val="21"/>
                    </w:rPr>
                  </w:pPr>
                  <w:r>
                    <w:rPr>
                      <w:rFonts w:hint="eastAsia"/>
                      <w:sz w:val="21"/>
                      <w:szCs w:val="21"/>
                    </w:rPr>
                    <w:t>相符</w:t>
                  </w:r>
                  <w:r>
                    <w:rPr>
                      <w:sz w:val="21"/>
                      <w:szCs w:val="21"/>
                    </w:rPr>
                    <w:t>性</w:t>
                  </w:r>
                </w:p>
              </w:tc>
            </w:tr>
            <w:tr w14:paraId="6ABEE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2" w:type="pct"/>
                  <w:vAlign w:val="center"/>
                </w:tcPr>
                <w:p w14:paraId="6A5B663B">
                  <w:pPr>
                    <w:pStyle w:val="154"/>
                    <w:jc w:val="left"/>
                    <w:rPr>
                      <w:sz w:val="21"/>
                      <w:szCs w:val="21"/>
                    </w:rPr>
                  </w:pPr>
                  <w:r>
                    <w:rPr>
                      <w:sz w:val="21"/>
                      <w:szCs w:val="21"/>
                    </w:rPr>
                    <w:t>加快推进产业转型</w:t>
                  </w:r>
                </w:p>
              </w:tc>
              <w:tc>
                <w:tcPr>
                  <w:tcW w:w="2829" w:type="pct"/>
                  <w:vAlign w:val="center"/>
                </w:tcPr>
                <w:p w14:paraId="6CE7EE98">
                  <w:pPr>
                    <w:pStyle w:val="154"/>
                    <w:jc w:val="left"/>
                    <w:rPr>
                      <w:sz w:val="21"/>
                      <w:szCs w:val="21"/>
                    </w:rPr>
                  </w:pPr>
                  <w:r>
                    <w:rPr>
                      <w:sz w:val="21"/>
                      <w:szCs w:val="21"/>
                    </w:rPr>
                    <w:t>开发区应遵循循环经济理念，积极推进产业技术进步和园区循环化改造；入区新、改、扩建项目应实施清洁生产，生产工艺、设备、污染治理技术，以及单位产品能耗、物耗、污染物排放和资源利用率均需达到同行业国内先进水平，确保产业发展与生态环境保护相协调。</w:t>
                  </w:r>
                </w:p>
              </w:tc>
              <w:tc>
                <w:tcPr>
                  <w:tcW w:w="1257" w:type="pct"/>
                  <w:vAlign w:val="center"/>
                </w:tcPr>
                <w:p w14:paraId="3CE2544E">
                  <w:pPr>
                    <w:pStyle w:val="154"/>
                    <w:jc w:val="left"/>
                    <w:rPr>
                      <w:sz w:val="21"/>
                      <w:szCs w:val="21"/>
                    </w:rPr>
                  </w:pPr>
                  <w:r>
                    <w:rPr>
                      <w:sz w:val="21"/>
                      <w:szCs w:val="21"/>
                    </w:rPr>
                    <w:t>本项目生产工艺、设备、污染治理技术，以及单位产品能耗、物耗、污染物排放和资源利用率</w:t>
                  </w:r>
                  <w:r>
                    <w:rPr>
                      <w:rFonts w:hint="eastAsia"/>
                      <w:sz w:val="21"/>
                      <w:szCs w:val="21"/>
                    </w:rPr>
                    <w:t>满足</w:t>
                  </w:r>
                  <w:r>
                    <w:rPr>
                      <w:sz w:val="21"/>
                      <w:szCs w:val="21"/>
                    </w:rPr>
                    <w:t>同行业先进水平。</w:t>
                  </w:r>
                </w:p>
              </w:tc>
              <w:tc>
                <w:tcPr>
                  <w:tcW w:w="521" w:type="pct"/>
                  <w:vAlign w:val="center"/>
                </w:tcPr>
                <w:p w14:paraId="758BD4D4">
                  <w:pPr>
                    <w:pStyle w:val="154"/>
                    <w:rPr>
                      <w:sz w:val="21"/>
                      <w:szCs w:val="21"/>
                    </w:rPr>
                  </w:pPr>
                  <w:r>
                    <w:rPr>
                      <w:rFonts w:hint="eastAsia"/>
                      <w:sz w:val="21"/>
                      <w:szCs w:val="21"/>
                    </w:rPr>
                    <w:t>相符</w:t>
                  </w:r>
                </w:p>
              </w:tc>
            </w:tr>
            <w:tr w14:paraId="39B81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2" w:type="pct"/>
                  <w:vAlign w:val="center"/>
                </w:tcPr>
                <w:p w14:paraId="23E3C58D">
                  <w:pPr>
                    <w:pStyle w:val="154"/>
                    <w:jc w:val="left"/>
                    <w:rPr>
                      <w:sz w:val="21"/>
                      <w:szCs w:val="21"/>
                    </w:rPr>
                  </w:pPr>
                  <w:r>
                    <w:rPr>
                      <w:sz w:val="21"/>
                      <w:szCs w:val="21"/>
                    </w:rPr>
                    <w:t>优化空间布局严格空间管控</w:t>
                  </w:r>
                </w:p>
              </w:tc>
              <w:tc>
                <w:tcPr>
                  <w:tcW w:w="2829" w:type="pct"/>
                  <w:vAlign w:val="center"/>
                </w:tcPr>
                <w:p w14:paraId="28FD22D1">
                  <w:pPr>
                    <w:pStyle w:val="154"/>
                    <w:jc w:val="left"/>
                    <w:rPr>
                      <w:sz w:val="21"/>
                      <w:szCs w:val="21"/>
                    </w:rPr>
                  </w:pPr>
                  <w:r>
                    <w:rPr>
                      <w:sz w:val="21"/>
                      <w:szCs w:val="21"/>
                    </w:rPr>
                    <w:t>进一步加强与国土空间规划的街接，保持规划之间协调一致；做好规划控制和生态隔离带建设，加强对开发区及周边生活区的防护，确保开发区产业布局与生态环境保护、人居环境安全相协调，其中，开发区部分区域与邙山陵墓群重点保护区相重叠，应慎重开发布局项目，在文物保护单位的保护范围和建设控制地带内，不得建设污染文物保护单位及其环境的设施，相关开发建设活动应满足文物保护相关要求，避免对文物保护区产生不良影响。</w:t>
                  </w:r>
                </w:p>
              </w:tc>
              <w:tc>
                <w:tcPr>
                  <w:tcW w:w="1257" w:type="pct"/>
                  <w:vAlign w:val="center"/>
                </w:tcPr>
                <w:p w14:paraId="4BC429DC">
                  <w:pPr>
                    <w:pStyle w:val="154"/>
                    <w:jc w:val="left"/>
                    <w:rPr>
                      <w:sz w:val="21"/>
                      <w:szCs w:val="21"/>
                    </w:rPr>
                  </w:pPr>
                  <w:r>
                    <w:rPr>
                      <w:sz w:val="21"/>
                      <w:szCs w:val="21"/>
                    </w:rPr>
                    <w:t>本项目位于</w:t>
                  </w:r>
                  <w:r>
                    <w:rPr>
                      <w:rFonts w:hint="eastAsia"/>
                      <w:sz w:val="21"/>
                      <w:szCs w:val="21"/>
                    </w:rPr>
                    <w:t>洛阳</w:t>
                  </w:r>
                  <w:r>
                    <w:rPr>
                      <w:sz w:val="21"/>
                      <w:szCs w:val="21"/>
                    </w:rPr>
                    <w:t>偃师</w:t>
                  </w:r>
                  <w:r>
                    <w:rPr>
                      <w:rFonts w:hint="eastAsia"/>
                      <w:sz w:val="21"/>
                      <w:szCs w:val="21"/>
                    </w:rPr>
                    <w:t>区</w:t>
                  </w:r>
                  <w:r>
                    <w:rPr>
                      <w:sz w:val="21"/>
                      <w:szCs w:val="21"/>
                    </w:rPr>
                    <w:t>先进制造开发区东南板块山化片区，租赁现有厂房，不涉及土建施工，不会影响文物保护。</w:t>
                  </w:r>
                </w:p>
              </w:tc>
              <w:tc>
                <w:tcPr>
                  <w:tcW w:w="521" w:type="pct"/>
                  <w:vAlign w:val="center"/>
                </w:tcPr>
                <w:p w14:paraId="4E04BA3D">
                  <w:pPr>
                    <w:pStyle w:val="154"/>
                    <w:rPr>
                      <w:sz w:val="21"/>
                      <w:szCs w:val="21"/>
                    </w:rPr>
                  </w:pPr>
                  <w:r>
                    <w:rPr>
                      <w:rFonts w:hint="eastAsia"/>
                      <w:sz w:val="21"/>
                      <w:szCs w:val="21"/>
                    </w:rPr>
                    <w:t>相符</w:t>
                  </w:r>
                </w:p>
              </w:tc>
            </w:tr>
            <w:tr w14:paraId="3575F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2" w:type="pct"/>
                  <w:vAlign w:val="center"/>
                </w:tcPr>
                <w:p w14:paraId="5AF2CD91">
                  <w:pPr>
                    <w:pStyle w:val="154"/>
                    <w:jc w:val="left"/>
                    <w:rPr>
                      <w:sz w:val="21"/>
                      <w:szCs w:val="21"/>
                    </w:rPr>
                  </w:pPr>
                  <w:r>
                    <w:rPr>
                      <w:sz w:val="21"/>
                      <w:szCs w:val="21"/>
                    </w:rPr>
                    <w:t>强化减污降碳协同增效</w:t>
                  </w:r>
                </w:p>
              </w:tc>
              <w:tc>
                <w:tcPr>
                  <w:tcW w:w="2829" w:type="pct"/>
                  <w:vAlign w:val="center"/>
                </w:tcPr>
                <w:p w14:paraId="75467D90">
                  <w:pPr>
                    <w:pStyle w:val="154"/>
                    <w:jc w:val="left"/>
                    <w:rPr>
                      <w:sz w:val="21"/>
                      <w:szCs w:val="21"/>
                    </w:rPr>
                  </w:pPr>
                  <w:r>
                    <w:rPr>
                      <w:sz w:val="21"/>
                      <w:szCs w:val="21"/>
                    </w:rPr>
                    <w:t>根据国家和河南省关于挥发性有机物、工业炉窑等大气和水、土壤污染防治相关要求，严格执行相关行业污染物排放标准及特别排放限值；严格执行污染物排放总量控制制度，新增污染物排放指标应做到</w:t>
                  </w:r>
                  <w:r>
                    <w:rPr>
                      <w:rFonts w:hint="eastAsia"/>
                      <w:sz w:val="21"/>
                      <w:szCs w:val="21"/>
                    </w:rPr>
                    <w:t>“</w:t>
                  </w:r>
                  <w:r>
                    <w:rPr>
                      <w:sz w:val="21"/>
                      <w:szCs w:val="21"/>
                    </w:rPr>
                    <w:t>等量或倍量替代</w:t>
                  </w:r>
                  <w:r>
                    <w:rPr>
                      <w:rFonts w:hint="eastAsia"/>
                      <w:sz w:val="21"/>
                      <w:szCs w:val="21"/>
                    </w:rPr>
                    <w:t>”</w:t>
                  </w:r>
                  <w:r>
                    <w:rPr>
                      <w:sz w:val="21"/>
                      <w:szCs w:val="21"/>
                    </w:rPr>
                    <w:t>，确保区域环境质量持续改善。</w:t>
                  </w:r>
                </w:p>
              </w:tc>
              <w:tc>
                <w:tcPr>
                  <w:tcW w:w="1257" w:type="pct"/>
                  <w:vAlign w:val="center"/>
                </w:tcPr>
                <w:p w14:paraId="4397D8BD">
                  <w:pPr>
                    <w:pStyle w:val="154"/>
                    <w:jc w:val="left"/>
                    <w:rPr>
                      <w:sz w:val="21"/>
                      <w:szCs w:val="21"/>
                    </w:rPr>
                  </w:pPr>
                  <w:r>
                    <w:rPr>
                      <w:sz w:val="21"/>
                      <w:szCs w:val="21"/>
                    </w:rPr>
                    <w:t>本项目执行相关污染物特别排放限值，新增污染物排放实行区域总量替代。</w:t>
                  </w:r>
                </w:p>
              </w:tc>
              <w:tc>
                <w:tcPr>
                  <w:tcW w:w="521" w:type="pct"/>
                  <w:vAlign w:val="center"/>
                </w:tcPr>
                <w:p w14:paraId="122098B0">
                  <w:pPr>
                    <w:pStyle w:val="154"/>
                    <w:rPr>
                      <w:sz w:val="21"/>
                      <w:szCs w:val="21"/>
                    </w:rPr>
                  </w:pPr>
                  <w:r>
                    <w:rPr>
                      <w:rFonts w:hint="eastAsia"/>
                      <w:sz w:val="21"/>
                      <w:szCs w:val="21"/>
                    </w:rPr>
                    <w:t>相符</w:t>
                  </w:r>
                </w:p>
              </w:tc>
            </w:tr>
            <w:tr w14:paraId="26798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2" w:type="pct"/>
                  <w:vAlign w:val="center"/>
                </w:tcPr>
                <w:p w14:paraId="3B215E29">
                  <w:pPr>
                    <w:pStyle w:val="154"/>
                    <w:jc w:val="left"/>
                    <w:rPr>
                      <w:sz w:val="21"/>
                      <w:szCs w:val="21"/>
                    </w:rPr>
                  </w:pPr>
                  <w:r>
                    <w:rPr>
                      <w:sz w:val="21"/>
                      <w:szCs w:val="21"/>
                    </w:rPr>
                    <w:t>严格落实项目入驻要求</w:t>
                  </w:r>
                </w:p>
              </w:tc>
              <w:tc>
                <w:tcPr>
                  <w:tcW w:w="2829" w:type="pct"/>
                  <w:vAlign w:val="center"/>
                </w:tcPr>
                <w:p w14:paraId="68A4B0D6">
                  <w:pPr>
                    <w:pStyle w:val="154"/>
                    <w:jc w:val="left"/>
                    <w:rPr>
                      <w:sz w:val="21"/>
                      <w:szCs w:val="21"/>
                    </w:rPr>
                  </w:pPr>
                  <w:r>
                    <w:rPr>
                      <w:sz w:val="21"/>
                      <w:szCs w:val="21"/>
                    </w:rPr>
                    <w:t>严格落实《报告书》生态环境准入要求，鼓励符合开发区功能定位、国家产业政策鼓励的项目入驻；从严控制新增高污染、高耗能、高耗水项目；禁止新建、扩建、改建有色金属冶炼项目(再生有色金属项目除外)、平板玻璃项目(电子玻璃、光伏玻璃等特种玻璃项目除外)、使用高污染燃料的项目(集中供热、热电联产设施除外)；禁止新建生产和使用高VOCs含量的溶剂型涂料、油墨、胶粘剂、清洗剂等项目、废水直接外排环境的项目。</w:t>
                  </w:r>
                </w:p>
              </w:tc>
              <w:tc>
                <w:tcPr>
                  <w:tcW w:w="1257" w:type="pct"/>
                  <w:vAlign w:val="center"/>
                </w:tcPr>
                <w:p w14:paraId="77EAF00D">
                  <w:pPr>
                    <w:pStyle w:val="154"/>
                    <w:jc w:val="left"/>
                    <w:rPr>
                      <w:sz w:val="21"/>
                      <w:szCs w:val="21"/>
                    </w:rPr>
                  </w:pPr>
                  <w:r>
                    <w:rPr>
                      <w:sz w:val="21"/>
                      <w:szCs w:val="21"/>
                    </w:rPr>
                    <w:t>本项目符合《报告书》生态环境准入要求，不属于开发区禁止建设项目。</w:t>
                  </w:r>
                </w:p>
              </w:tc>
              <w:tc>
                <w:tcPr>
                  <w:tcW w:w="521" w:type="pct"/>
                  <w:vAlign w:val="center"/>
                </w:tcPr>
                <w:p w14:paraId="5A4F047A">
                  <w:pPr>
                    <w:pStyle w:val="154"/>
                    <w:rPr>
                      <w:sz w:val="21"/>
                      <w:szCs w:val="21"/>
                    </w:rPr>
                  </w:pPr>
                  <w:r>
                    <w:rPr>
                      <w:rFonts w:hint="eastAsia"/>
                      <w:sz w:val="21"/>
                      <w:szCs w:val="21"/>
                    </w:rPr>
                    <w:t>相符</w:t>
                  </w:r>
                </w:p>
              </w:tc>
            </w:tr>
            <w:tr w14:paraId="44423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392" w:type="pct"/>
                  <w:vAlign w:val="center"/>
                </w:tcPr>
                <w:p w14:paraId="171AB6AC">
                  <w:pPr>
                    <w:pStyle w:val="154"/>
                    <w:rPr>
                      <w:sz w:val="21"/>
                      <w:szCs w:val="21"/>
                    </w:rPr>
                  </w:pPr>
                  <w:r>
                    <w:rPr>
                      <w:sz w:val="21"/>
                      <w:szCs w:val="21"/>
                    </w:rPr>
                    <w:t>加快开发区环境基础设施建设</w:t>
                  </w:r>
                </w:p>
              </w:tc>
              <w:tc>
                <w:tcPr>
                  <w:tcW w:w="2829" w:type="pct"/>
                  <w:vAlign w:val="center"/>
                </w:tcPr>
                <w:p w14:paraId="275FF956">
                  <w:pPr>
                    <w:pStyle w:val="154"/>
                    <w:jc w:val="left"/>
                    <w:rPr>
                      <w:sz w:val="21"/>
                      <w:szCs w:val="21"/>
                    </w:rPr>
                  </w:pPr>
                  <w:r>
                    <w:rPr>
                      <w:sz w:val="21"/>
                      <w:szCs w:val="21"/>
                    </w:rPr>
                    <w:t>建设完善集中排水、供热、供水等基础设施，加快实施北环板块配套污水管网铺设工程，加快东南板块顾县片区依托的偃师区第四污水处理厂及配套污水管网的建设，根据开发时序适时建设东南板块山化片区污水处理厂，根据确保企业外排废水全部有效收集，开发区各污水处理厂出水满足《河南省黄河流域水污染物排放标准》(DB41/2087-2021)一级标准；不断提高水资源利用率，减少废水排放；园区固废应有安全可行的处理处置措施，不得随意弃置，危险固废严格按照有关规定收集、贮存、转运、处置，确保100%安全处置。</w:t>
                  </w:r>
                </w:p>
              </w:tc>
              <w:tc>
                <w:tcPr>
                  <w:tcW w:w="1257" w:type="pct"/>
                  <w:vAlign w:val="center"/>
                </w:tcPr>
                <w:p w14:paraId="0CCE4895">
                  <w:pPr>
                    <w:pStyle w:val="154"/>
                    <w:jc w:val="left"/>
                    <w:rPr>
                      <w:sz w:val="21"/>
                      <w:szCs w:val="21"/>
                    </w:rPr>
                  </w:pPr>
                  <w:r>
                    <w:rPr>
                      <w:sz w:val="21"/>
                      <w:szCs w:val="21"/>
                    </w:rPr>
                    <w:t>本项目周边供水、排水等基础设施完善，</w:t>
                  </w:r>
                  <w:r>
                    <w:rPr>
                      <w:rFonts w:hint="eastAsia"/>
                      <w:sz w:val="21"/>
                      <w:szCs w:val="21"/>
                    </w:rPr>
                    <w:t>生活</w:t>
                  </w:r>
                  <w:r>
                    <w:rPr>
                      <w:sz w:val="21"/>
                      <w:szCs w:val="21"/>
                    </w:rPr>
                    <w:t>污水经东屯村污水管网排入偃师区中州渠人工湿地深度处理；固废合理处置，不随意弃置，危险</w:t>
                  </w:r>
                  <w:r>
                    <w:rPr>
                      <w:rFonts w:hint="eastAsia"/>
                      <w:sz w:val="21"/>
                      <w:szCs w:val="21"/>
                    </w:rPr>
                    <w:t>废物</w:t>
                  </w:r>
                  <w:r>
                    <w:rPr>
                      <w:sz w:val="21"/>
                      <w:szCs w:val="21"/>
                    </w:rPr>
                    <w:t>严格按照有关规定收集、贮存、转运、处置，确保100%安全处置。</w:t>
                  </w:r>
                </w:p>
              </w:tc>
              <w:tc>
                <w:tcPr>
                  <w:tcW w:w="521" w:type="pct"/>
                  <w:vAlign w:val="center"/>
                </w:tcPr>
                <w:p w14:paraId="5BF80D93">
                  <w:pPr>
                    <w:pStyle w:val="154"/>
                    <w:rPr>
                      <w:sz w:val="21"/>
                      <w:szCs w:val="21"/>
                    </w:rPr>
                  </w:pPr>
                  <w:r>
                    <w:rPr>
                      <w:rFonts w:hint="eastAsia"/>
                      <w:sz w:val="21"/>
                      <w:szCs w:val="21"/>
                    </w:rPr>
                    <w:t>相符</w:t>
                  </w:r>
                </w:p>
              </w:tc>
            </w:tr>
          </w:tbl>
          <w:p w14:paraId="1BF6304F">
            <w:pPr>
              <w:pStyle w:val="156"/>
              <w:ind w:firstLine="480"/>
              <w:jc w:val="both"/>
              <w:rPr>
                <w:szCs w:val="24"/>
              </w:rPr>
            </w:pPr>
            <w:r>
              <w:t>由上表可知，本项目建设符合《洛阳偃师区先进制造业开发区发展规划（2022—2035年）环境影响报告书的审核意见》</w:t>
            </w:r>
            <w:r>
              <w:rPr>
                <w:kern w:val="0"/>
              </w:rPr>
              <w:t>豫环函</w:t>
            </w:r>
            <w:r>
              <w:rPr>
                <w:rFonts w:hint="eastAsia"/>
                <w:kern w:val="0"/>
              </w:rPr>
              <w:t>〔</w:t>
            </w:r>
            <w:r>
              <w:rPr>
                <w:kern w:val="0"/>
              </w:rPr>
              <w:t>2023</w:t>
            </w:r>
            <w:r>
              <w:rPr>
                <w:rFonts w:hint="eastAsia"/>
                <w:kern w:val="0"/>
              </w:rPr>
              <w:t>〕</w:t>
            </w:r>
            <w:r>
              <w:rPr>
                <w:kern w:val="0"/>
              </w:rPr>
              <w:t>103号文</w:t>
            </w:r>
            <w:r>
              <w:rPr>
                <w:rFonts w:hint="eastAsia"/>
              </w:rPr>
              <w:t>的</w:t>
            </w:r>
            <w:r>
              <w:t>要求。</w:t>
            </w:r>
          </w:p>
        </w:tc>
      </w:tr>
      <w:tr w14:paraId="2C82C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000" w:type="pct"/>
            <w:gridSpan w:val="4"/>
            <w:tcMar>
              <w:top w:w="0" w:type="dxa"/>
              <w:left w:w="108" w:type="dxa"/>
              <w:bottom w:w="0" w:type="dxa"/>
              <w:right w:w="108" w:type="dxa"/>
            </w:tcMar>
          </w:tcPr>
          <w:p w14:paraId="1387C4A3">
            <w:pPr>
              <w:pStyle w:val="158"/>
              <w:spacing w:before="156"/>
            </w:pPr>
            <w:r>
              <w:t>其他符合性分析</w:t>
            </w:r>
          </w:p>
          <w:p w14:paraId="3AF5ADBE">
            <w:pPr>
              <w:pStyle w:val="157"/>
            </w:pPr>
            <w:r>
              <w:t>1</w:t>
            </w:r>
            <w:r>
              <w:rPr>
                <w:rFonts w:hint="eastAsia"/>
              </w:rPr>
              <w:t>、</w:t>
            </w:r>
            <w:r>
              <w:t>“三线一单”相符性分析</w:t>
            </w:r>
          </w:p>
          <w:p w14:paraId="12162BFC">
            <w:pPr>
              <w:pStyle w:val="156"/>
              <w:ind w:firstLine="480"/>
              <w:rPr>
                <w:rFonts w:eastAsia="宋体" w:cs="Times New Roman"/>
              </w:rPr>
            </w:pPr>
            <w:r>
              <w:rPr>
                <w:rFonts w:eastAsia="宋体" w:cs="Times New Roman"/>
              </w:rPr>
              <w:t>（1）生态保护红线</w:t>
            </w:r>
          </w:p>
          <w:p w14:paraId="476E7326">
            <w:pPr>
              <w:pStyle w:val="156"/>
              <w:ind w:firstLine="480"/>
              <w:rPr>
                <w:rFonts w:eastAsia="宋体" w:cs="Times New Roman"/>
              </w:rPr>
            </w:pPr>
            <w:r>
              <w:rPr>
                <w:rFonts w:eastAsia="宋体" w:cs="Times New Roman"/>
              </w:rPr>
              <w:t>本项目选址位于</w:t>
            </w:r>
            <w:r>
              <w:rPr>
                <w:rFonts w:eastAsia="宋体" w:cs="Times New Roman"/>
                <w:szCs w:val="24"/>
              </w:rPr>
              <w:t>洛阳偃师</w:t>
            </w:r>
            <w:r>
              <w:rPr>
                <w:rFonts w:hint="eastAsia" w:eastAsia="宋体" w:cs="Times New Roman"/>
                <w:szCs w:val="24"/>
              </w:rPr>
              <w:t>区先进制造业开发区</w:t>
            </w:r>
            <w:r>
              <w:rPr>
                <w:rFonts w:eastAsia="宋体" w:cs="Times New Roman"/>
                <w:szCs w:val="24"/>
              </w:rPr>
              <w:t>山化</w:t>
            </w:r>
            <w:r>
              <w:rPr>
                <w:rFonts w:hint="eastAsia" w:eastAsia="宋体" w:cs="Times New Roman"/>
                <w:szCs w:val="24"/>
              </w:rPr>
              <w:t>片</w:t>
            </w:r>
            <w:r>
              <w:rPr>
                <w:rFonts w:eastAsia="宋体" w:cs="Times New Roman"/>
                <w:szCs w:val="24"/>
              </w:rPr>
              <w:t>区</w:t>
            </w:r>
            <w:r>
              <w:rPr>
                <w:rFonts w:hint="eastAsia" w:eastAsia="宋体" w:cs="Times New Roman"/>
                <w:szCs w:val="24"/>
              </w:rPr>
              <w:t>东屯工业区</w:t>
            </w:r>
            <w:r>
              <w:rPr>
                <w:rFonts w:eastAsia="宋体" w:cs="Times New Roman"/>
              </w:rPr>
              <w:t>，经过现场踏勘，本项目不在自然保护区、风景名胜区、森林公园、地质公园、重要生态功能区、生态敏感区和脆弱区以及其他要求禁止建设的环境敏感区内，对照</w:t>
            </w:r>
            <w:r>
              <w:rPr>
                <w:rFonts w:hint="eastAsia" w:eastAsia="宋体" w:cs="Times New Roman"/>
              </w:rPr>
              <w:t>“</w:t>
            </w:r>
            <w:r>
              <w:rPr>
                <w:rFonts w:eastAsia="宋体" w:cs="Times New Roman"/>
              </w:rPr>
              <w:t>河南省三线一单综合信息应用平台</w:t>
            </w:r>
            <w:r>
              <w:rPr>
                <w:rFonts w:hint="eastAsia" w:eastAsia="宋体" w:cs="Times New Roman"/>
              </w:rPr>
              <w:t>”</w:t>
            </w:r>
            <w:r>
              <w:rPr>
                <w:rFonts w:eastAsia="宋体" w:cs="Times New Roman"/>
              </w:rPr>
              <w:t>（附图</w:t>
            </w:r>
            <w:r>
              <w:rPr>
                <w:rFonts w:hint="eastAsia" w:eastAsia="宋体" w:cs="Times New Roman"/>
              </w:rPr>
              <w:t>11-1</w:t>
            </w:r>
            <w:r>
              <w:rPr>
                <w:rFonts w:eastAsia="宋体" w:cs="Times New Roman"/>
              </w:rPr>
              <w:t>），本项目位于</w:t>
            </w:r>
            <w:r>
              <w:rPr>
                <w:rFonts w:hint="eastAsia" w:eastAsia="宋体" w:cs="Times New Roman"/>
              </w:rPr>
              <w:t>重点环境管控单元（</w:t>
            </w:r>
            <w:r>
              <w:rPr>
                <w:rFonts w:cs="Times New Roman"/>
              </w:rPr>
              <w:t>名称</w:t>
            </w:r>
            <w:r>
              <w:rPr>
                <w:rFonts w:hint="eastAsia" w:cs="Times New Roman"/>
              </w:rPr>
              <w:t>：洛阳偃师区先进制造业开发区，</w:t>
            </w:r>
            <w:r>
              <w:rPr>
                <w:rFonts w:cs="Times New Roman"/>
              </w:rPr>
              <w:t>编</w:t>
            </w:r>
            <w:r>
              <w:rPr>
                <w:rFonts w:hint="eastAsia" w:cs="Times New Roman"/>
              </w:rPr>
              <w:t>号：</w:t>
            </w:r>
            <w:r>
              <w:rPr>
                <w:rFonts w:cs="Times New Roman"/>
              </w:rPr>
              <w:t>ZH41030720001</w:t>
            </w:r>
            <w:r>
              <w:rPr>
                <w:rFonts w:hint="eastAsia" w:eastAsia="宋体" w:cs="Times New Roman"/>
              </w:rPr>
              <w:t>）</w:t>
            </w:r>
            <w:r>
              <w:rPr>
                <w:rFonts w:eastAsia="宋体" w:cs="Times New Roman"/>
              </w:rPr>
              <w:t>，项目实施符合生态保护红线管理要求。</w:t>
            </w:r>
          </w:p>
          <w:p w14:paraId="240B315F">
            <w:pPr>
              <w:pStyle w:val="156"/>
              <w:ind w:firstLine="480"/>
              <w:rPr>
                <w:rFonts w:eastAsia="宋体" w:cs="Times New Roman"/>
              </w:rPr>
            </w:pPr>
            <w:r>
              <w:rPr>
                <w:rFonts w:eastAsia="宋体" w:cs="Times New Roman"/>
              </w:rPr>
              <w:t>（2）环境质量底线</w:t>
            </w:r>
          </w:p>
          <w:p w14:paraId="19EF4C22">
            <w:pPr>
              <w:pStyle w:val="156"/>
              <w:ind w:firstLine="480"/>
              <w:rPr>
                <w:rFonts w:eastAsia="宋体" w:cs="Times New Roman"/>
              </w:rPr>
            </w:pPr>
            <w:r>
              <w:rPr>
                <w:rFonts w:eastAsia="宋体" w:cs="Times New Roman"/>
              </w:rPr>
              <w:t>大气：项目选址区域为环境空气功能区二类区，执行二级标准，根据《202</w:t>
            </w:r>
            <w:r>
              <w:rPr>
                <w:rFonts w:hint="eastAsia" w:eastAsia="宋体" w:cs="Times New Roman"/>
              </w:rPr>
              <w:t>4年</w:t>
            </w:r>
            <w:r>
              <w:rPr>
                <w:rFonts w:eastAsia="宋体" w:cs="Times New Roman"/>
              </w:rPr>
              <w:t>洛阳市生态环境状况公报》，202</w:t>
            </w:r>
            <w:r>
              <w:rPr>
                <w:rFonts w:hint="eastAsia" w:eastAsia="宋体" w:cs="Times New Roman"/>
              </w:rPr>
              <w:t>4</w:t>
            </w:r>
            <w:r>
              <w:rPr>
                <w:rFonts w:eastAsia="宋体" w:cs="Times New Roman"/>
              </w:rPr>
              <w:t>洛阳市环境空气中PM</w:t>
            </w:r>
            <w:r>
              <w:rPr>
                <w:rFonts w:eastAsia="宋体" w:cs="Times New Roman"/>
                <w:vertAlign w:val="subscript"/>
              </w:rPr>
              <w:t>10</w:t>
            </w:r>
            <w:r>
              <w:rPr>
                <w:rFonts w:eastAsia="宋体" w:cs="Times New Roman"/>
              </w:rPr>
              <w:t>、PM</w:t>
            </w:r>
            <w:r>
              <w:rPr>
                <w:rFonts w:eastAsia="宋体" w:cs="Times New Roman"/>
                <w:vertAlign w:val="subscript"/>
              </w:rPr>
              <w:t>2.5</w:t>
            </w:r>
            <w:r>
              <w:rPr>
                <w:rFonts w:eastAsia="宋体" w:cs="Times New Roman"/>
              </w:rPr>
              <w:t>、O</w:t>
            </w:r>
            <w:r>
              <w:rPr>
                <w:rFonts w:eastAsia="宋体" w:cs="Times New Roman"/>
                <w:vertAlign w:val="subscript"/>
              </w:rPr>
              <w:t>3</w:t>
            </w:r>
            <w:r>
              <w:rPr>
                <w:rFonts w:eastAsia="宋体" w:cs="Times New Roman"/>
              </w:rPr>
              <w:t>均出现不同程度的超标情况。</w:t>
            </w:r>
          </w:p>
          <w:p w14:paraId="159C2B6D">
            <w:pPr>
              <w:pStyle w:val="154"/>
              <w:spacing w:line="520" w:lineRule="exact"/>
              <w:ind w:firstLine="480" w:firstLineChars="200"/>
              <w:jc w:val="left"/>
              <w:rPr>
                <w:rFonts w:eastAsia="宋体" w:cs="Times New Roman"/>
                <w:kern w:val="2"/>
                <w:szCs w:val="21"/>
              </w:rPr>
            </w:pPr>
            <w:r>
              <w:rPr>
                <w:rFonts w:eastAsia="宋体" w:cs="Times New Roman"/>
                <w:b/>
                <w:u w:val="single"/>
              </w:rPr>
              <w:t>本项目运营过程中</w:t>
            </w:r>
            <w:r>
              <w:rPr>
                <w:rFonts w:eastAsia="宋体" w:cs="Times New Roman"/>
                <w:b/>
                <w:kern w:val="2"/>
                <w:szCs w:val="21"/>
                <w:u w:val="single"/>
              </w:rPr>
              <w:t>注</w:t>
            </w:r>
            <w:r>
              <w:rPr>
                <w:rFonts w:hint="eastAsia" w:eastAsia="宋体" w:cs="Times New Roman"/>
                <w:b/>
                <w:kern w:val="2"/>
                <w:szCs w:val="21"/>
                <w:u w:val="single"/>
              </w:rPr>
              <w:t>塑工艺生产线混合搅拌、破碎工序产生的含尘、VOCs废气</w:t>
            </w:r>
            <w:r>
              <w:rPr>
                <w:rFonts w:eastAsia="宋体" w:cs="Times New Roman"/>
                <w:b/>
                <w:kern w:val="2"/>
                <w:szCs w:val="21"/>
                <w:u w:val="single"/>
              </w:rPr>
              <w:t>通过1套</w:t>
            </w:r>
            <w:r>
              <w:rPr>
                <w:rFonts w:hint="eastAsia" w:eastAsia="宋体" w:cs="Times New Roman"/>
                <w:b/>
                <w:kern w:val="2"/>
                <w:szCs w:val="21"/>
                <w:u w:val="single"/>
              </w:rPr>
              <w:t>覆膜</w:t>
            </w:r>
            <w:r>
              <w:rPr>
                <w:rFonts w:eastAsia="宋体" w:cs="Times New Roman"/>
                <w:b/>
                <w:kern w:val="2"/>
                <w:szCs w:val="21"/>
                <w:u w:val="single"/>
              </w:rPr>
              <w:t>袋式除尘器</w:t>
            </w:r>
            <w:r>
              <w:rPr>
                <w:rFonts w:hint="eastAsia" w:eastAsia="宋体" w:cs="Times New Roman"/>
                <w:b/>
                <w:kern w:val="2"/>
                <w:szCs w:val="21"/>
                <w:u w:val="single"/>
              </w:rPr>
              <w:t>处理后，与注塑工序过程中产生的废气共同进入主管道；聚氨酯工艺生产线过程中产生的废气</w:t>
            </w:r>
            <w:r>
              <w:rPr>
                <w:rFonts w:eastAsia="宋体" w:cs="Times New Roman"/>
                <w:b/>
                <w:kern w:val="2"/>
                <w:szCs w:val="21"/>
                <w:u w:val="single"/>
              </w:rPr>
              <w:t>进入主管道</w:t>
            </w:r>
            <w:r>
              <w:rPr>
                <w:rFonts w:hint="eastAsia" w:eastAsia="宋体" w:cs="Times New Roman"/>
                <w:b/>
                <w:kern w:val="2"/>
                <w:szCs w:val="21"/>
                <w:u w:val="single"/>
              </w:rPr>
              <w:t>；鞋面布激光切割产生废气进入主管道，三者合并后经过一套两级活性炭吸附工艺处理后通过排气筒DA001排放。</w:t>
            </w:r>
            <w:r>
              <w:rPr>
                <w:rFonts w:eastAsia="宋体" w:cs="Times New Roman"/>
              </w:rPr>
              <w:t>废气污染物经处理后可达标排放，对项目区域环境空气影响较小，不会改变项目所在区域的大气环境功能。</w:t>
            </w:r>
          </w:p>
          <w:p w14:paraId="1705644A">
            <w:pPr>
              <w:pStyle w:val="156"/>
              <w:ind w:firstLine="480"/>
              <w:rPr>
                <w:rFonts w:eastAsia="宋体" w:cs="Times New Roman"/>
              </w:rPr>
            </w:pPr>
            <w:r>
              <w:rPr>
                <w:rFonts w:eastAsia="宋体" w:cs="Times New Roman"/>
              </w:rPr>
              <w:t>地表水：本项目生活污水经化粪池处理后，经市政管网排入洛阳市中州渠人工湿地，最终排入伊洛河，根据《202</w:t>
            </w:r>
            <w:r>
              <w:rPr>
                <w:rFonts w:hint="eastAsia" w:eastAsia="宋体" w:cs="Times New Roman"/>
              </w:rPr>
              <w:t>4洛</w:t>
            </w:r>
            <w:r>
              <w:rPr>
                <w:rFonts w:eastAsia="宋体" w:cs="Times New Roman"/>
              </w:rPr>
              <w:t>阳市生态环境状况公报》，202</w:t>
            </w:r>
            <w:r>
              <w:rPr>
                <w:rFonts w:hint="eastAsia" w:eastAsia="宋体" w:cs="Times New Roman"/>
              </w:rPr>
              <w:t>4</w:t>
            </w:r>
            <w:r>
              <w:rPr>
                <w:rFonts w:eastAsia="宋体" w:cs="Times New Roman"/>
              </w:rPr>
              <w:t>年伊洛河河流综合污染指数为0.2</w:t>
            </w:r>
            <w:r>
              <w:rPr>
                <w:rFonts w:hint="eastAsia" w:eastAsia="宋体" w:cs="Times New Roman"/>
              </w:rPr>
              <w:t>52</w:t>
            </w:r>
            <w:r>
              <w:rPr>
                <w:rFonts w:eastAsia="宋体" w:cs="Times New Roman"/>
              </w:rPr>
              <w:t>，河流水质状况为</w:t>
            </w:r>
            <w:r>
              <w:rPr>
                <w:rFonts w:asciiTheme="minorEastAsia" w:hAnsiTheme="minorEastAsia"/>
                <w:szCs w:val="24"/>
              </w:rPr>
              <w:t>“</w:t>
            </w:r>
            <w:r>
              <w:rPr>
                <w:rFonts w:eastAsia="宋体" w:cs="Times New Roman"/>
              </w:rPr>
              <w:t>优”。</w:t>
            </w:r>
          </w:p>
          <w:p w14:paraId="3FB5A474">
            <w:pPr>
              <w:pStyle w:val="156"/>
              <w:ind w:firstLine="480"/>
              <w:rPr>
                <w:rFonts w:eastAsia="宋体" w:cs="Times New Roman"/>
              </w:rPr>
            </w:pPr>
            <w:r>
              <w:rPr>
                <w:rFonts w:eastAsia="宋体" w:cs="Times New Roman"/>
              </w:rPr>
              <w:t>运营期设备冷却水定期补充，循环使用不排放；生活污水经化粪池处理后，经市政管网排入中州渠人工湿地处理，对区域地表水环境产生影响较小。</w:t>
            </w:r>
          </w:p>
          <w:p w14:paraId="6F12B595">
            <w:pPr>
              <w:pStyle w:val="156"/>
              <w:ind w:firstLine="480"/>
              <w:rPr>
                <w:rFonts w:eastAsia="宋体" w:cs="Times New Roman"/>
              </w:rPr>
            </w:pPr>
            <w:r>
              <w:rPr>
                <w:rFonts w:eastAsia="宋体" w:cs="Times New Roman"/>
              </w:rPr>
              <w:t>噪声：本项目</w:t>
            </w:r>
            <w:r>
              <w:rPr>
                <w:rFonts w:hint="eastAsia" w:eastAsia="宋体" w:cs="Times New Roman"/>
              </w:rPr>
              <w:t>采取</w:t>
            </w:r>
            <w:r>
              <w:rPr>
                <w:rFonts w:eastAsia="宋体" w:cs="Times New Roman"/>
              </w:rPr>
              <w:t>基础减震、厂房隔声等降噪措施后，运营期厂界</w:t>
            </w:r>
            <w:r>
              <w:rPr>
                <w:rFonts w:hint="eastAsia" w:eastAsia="宋体" w:cs="Times New Roman"/>
              </w:rPr>
              <w:t>噪声</w:t>
            </w:r>
            <w:r>
              <w:rPr>
                <w:rFonts w:eastAsia="宋体" w:cs="Times New Roman"/>
              </w:rPr>
              <w:t>能够满足《工业企业厂界环境噪声排放标准》（GB12348-2008）3类标准要求，</w:t>
            </w:r>
            <w:r>
              <w:rPr>
                <w:rFonts w:hint="eastAsia"/>
              </w:rPr>
              <w:t>对周边环境造成的噪声影响较小，</w:t>
            </w:r>
            <w:r>
              <w:rPr>
                <w:rFonts w:eastAsia="宋体" w:cs="Times New Roman"/>
              </w:rPr>
              <w:t>不会改变项目所在区域的声环境功能。</w:t>
            </w:r>
          </w:p>
          <w:p w14:paraId="2778DDD6">
            <w:pPr>
              <w:pStyle w:val="156"/>
              <w:ind w:firstLine="480"/>
              <w:rPr>
                <w:rFonts w:eastAsia="宋体" w:cs="Times New Roman"/>
              </w:rPr>
            </w:pPr>
            <w:r>
              <w:rPr>
                <w:rFonts w:eastAsia="宋体" w:cs="Times New Roman"/>
              </w:rPr>
              <w:t>因此，本项目建设符合环境质量底线要求。</w:t>
            </w:r>
          </w:p>
          <w:p w14:paraId="229B7475">
            <w:pPr>
              <w:pStyle w:val="156"/>
              <w:ind w:firstLine="480"/>
              <w:rPr>
                <w:rFonts w:eastAsia="宋体" w:cs="Times New Roman"/>
              </w:rPr>
            </w:pPr>
            <w:r>
              <w:rPr>
                <w:rFonts w:eastAsia="宋体" w:cs="Times New Roman"/>
              </w:rPr>
              <w:t>（3）资源利用上线</w:t>
            </w:r>
          </w:p>
          <w:p w14:paraId="60C8EC25">
            <w:pPr>
              <w:pStyle w:val="156"/>
              <w:ind w:firstLine="480"/>
              <w:rPr>
                <w:rFonts w:eastAsia="宋体" w:cs="Times New Roman"/>
              </w:rPr>
            </w:pPr>
            <w:r>
              <w:rPr>
                <w:rFonts w:hint="eastAsia" w:ascii="宋体" w:hAnsi="宋体" w:eastAsia="宋体" w:cs="宋体"/>
              </w:rPr>
              <w:t>①</w:t>
            </w:r>
            <w:r>
              <w:rPr>
                <w:rFonts w:eastAsia="宋体" w:cs="Times New Roman"/>
              </w:rPr>
              <w:t>水资源</w:t>
            </w:r>
          </w:p>
          <w:p w14:paraId="69D92808">
            <w:pPr>
              <w:pStyle w:val="156"/>
              <w:ind w:firstLine="480"/>
              <w:rPr>
                <w:rFonts w:eastAsia="宋体" w:cs="Times New Roman"/>
              </w:rPr>
            </w:pPr>
            <w:r>
              <w:rPr>
                <w:rFonts w:eastAsia="宋体" w:cs="Times New Roman"/>
              </w:rPr>
              <w:t>本项目属于制鞋业项目，水源来自东屯村自来水管网，能够满足职工日常生活用水。根据水利部发布的《关于印发钢铁等十八项工业用水定额的通知》（2020年1月）可知，本项目不属于水利部发布的</w:t>
            </w:r>
            <w:r>
              <w:rPr>
                <w:rFonts w:asciiTheme="minorEastAsia" w:hAnsiTheme="minorEastAsia"/>
                <w:szCs w:val="24"/>
              </w:rPr>
              <w:t>“</w:t>
            </w:r>
            <w:r>
              <w:rPr>
                <w:rFonts w:eastAsia="宋体" w:cs="Times New Roman"/>
              </w:rPr>
              <w:t>十八项传统高耗水工业行业</w:t>
            </w:r>
            <w:r>
              <w:rPr>
                <w:rFonts w:hint="eastAsia" w:eastAsia="宋体" w:cs="Times New Roman"/>
              </w:rPr>
              <w:t>”</w:t>
            </w:r>
            <w:r>
              <w:rPr>
                <w:rFonts w:eastAsia="宋体" w:cs="Times New Roman"/>
              </w:rPr>
              <w:t>。</w:t>
            </w:r>
          </w:p>
          <w:p w14:paraId="34E14C24">
            <w:pPr>
              <w:pStyle w:val="156"/>
              <w:ind w:firstLine="480"/>
              <w:rPr>
                <w:rFonts w:eastAsia="宋体" w:cs="Times New Roman"/>
              </w:rPr>
            </w:pPr>
            <w:r>
              <w:rPr>
                <w:rFonts w:eastAsia="宋体" w:cs="Times New Roman"/>
              </w:rPr>
              <w:t>本项目不涉及地下水资源开采，资源消耗量相对区域资源利用总量较少，不影响区域水资源总量。</w:t>
            </w:r>
          </w:p>
          <w:p w14:paraId="31B33D65">
            <w:pPr>
              <w:pStyle w:val="156"/>
              <w:ind w:firstLine="480"/>
              <w:rPr>
                <w:rFonts w:eastAsia="宋体" w:cs="Times New Roman"/>
              </w:rPr>
            </w:pPr>
            <w:r>
              <w:rPr>
                <w:rFonts w:hint="eastAsia" w:ascii="宋体" w:hAnsi="宋体" w:eastAsia="宋体" w:cs="宋体"/>
              </w:rPr>
              <w:t>②</w:t>
            </w:r>
            <w:r>
              <w:rPr>
                <w:rFonts w:eastAsia="宋体" w:cs="Times New Roman"/>
              </w:rPr>
              <w:t>土地资源</w:t>
            </w:r>
          </w:p>
          <w:p w14:paraId="1C78FF83">
            <w:pPr>
              <w:pStyle w:val="156"/>
              <w:ind w:firstLine="480"/>
              <w:rPr>
                <w:rFonts w:eastAsia="宋体" w:cs="Times New Roman"/>
              </w:rPr>
            </w:pPr>
            <w:r>
              <w:rPr>
                <w:rFonts w:eastAsia="宋体" w:cs="Times New Roman"/>
              </w:rPr>
              <w:t>本项目位于</w:t>
            </w:r>
            <w:r>
              <w:rPr>
                <w:rFonts w:eastAsia="宋体" w:cs="Times New Roman"/>
                <w:szCs w:val="24"/>
              </w:rPr>
              <w:t>洛阳偃师</w:t>
            </w:r>
            <w:r>
              <w:rPr>
                <w:rFonts w:hint="eastAsia" w:eastAsia="宋体" w:cs="Times New Roman"/>
                <w:szCs w:val="24"/>
              </w:rPr>
              <w:t>区先进制造业开发区</w:t>
            </w:r>
            <w:r>
              <w:rPr>
                <w:rFonts w:eastAsia="宋体" w:cs="Times New Roman"/>
                <w:szCs w:val="24"/>
              </w:rPr>
              <w:t>山化</w:t>
            </w:r>
            <w:r>
              <w:rPr>
                <w:rFonts w:hint="eastAsia" w:eastAsia="宋体" w:cs="Times New Roman"/>
                <w:szCs w:val="24"/>
              </w:rPr>
              <w:t>片</w:t>
            </w:r>
            <w:r>
              <w:rPr>
                <w:rFonts w:eastAsia="宋体" w:cs="Times New Roman"/>
                <w:szCs w:val="24"/>
              </w:rPr>
              <w:t>区</w:t>
            </w:r>
            <w:r>
              <w:rPr>
                <w:rFonts w:hint="eastAsia" w:eastAsia="宋体" w:cs="Times New Roman"/>
                <w:szCs w:val="24"/>
              </w:rPr>
              <w:t>东屯工业区</w:t>
            </w:r>
            <w:r>
              <w:rPr>
                <w:rFonts w:eastAsia="宋体" w:cs="Times New Roman"/>
              </w:rPr>
              <w:t>，本项目建设不会改变区域各类土地结构及类型，能够满足土地资源利用管控要求。</w:t>
            </w:r>
          </w:p>
          <w:p w14:paraId="6FA096C2">
            <w:pPr>
              <w:pStyle w:val="156"/>
              <w:ind w:firstLine="480"/>
              <w:rPr>
                <w:rFonts w:eastAsia="宋体" w:cs="Times New Roman"/>
              </w:rPr>
            </w:pPr>
            <w:r>
              <w:rPr>
                <w:rFonts w:hint="eastAsia" w:ascii="宋体" w:hAnsi="宋体" w:eastAsia="宋体" w:cs="宋体"/>
              </w:rPr>
              <w:t>③</w:t>
            </w:r>
            <w:r>
              <w:rPr>
                <w:rFonts w:eastAsia="宋体" w:cs="Times New Roman"/>
              </w:rPr>
              <w:t>能源</w:t>
            </w:r>
          </w:p>
          <w:p w14:paraId="20442784">
            <w:pPr>
              <w:pStyle w:val="156"/>
              <w:ind w:firstLine="480"/>
              <w:rPr>
                <w:rFonts w:eastAsia="宋体" w:cs="Times New Roman"/>
              </w:rPr>
            </w:pPr>
            <w:r>
              <w:rPr>
                <w:rFonts w:eastAsia="宋体" w:cs="Times New Roman"/>
              </w:rPr>
              <w:t>本项目生产过程中所用的能源为电能，用电由山化镇电网供给。本项目建设不会超过当地能源利用上线。</w:t>
            </w:r>
          </w:p>
          <w:p w14:paraId="4E8F07D0">
            <w:pPr>
              <w:pStyle w:val="156"/>
              <w:ind w:firstLine="480"/>
              <w:rPr>
                <w:rFonts w:eastAsia="宋体" w:cs="Times New Roman"/>
              </w:rPr>
            </w:pPr>
            <w:r>
              <w:rPr>
                <w:rFonts w:eastAsia="宋体" w:cs="Times New Roman"/>
              </w:rPr>
              <w:t>（4）洛阳市偃师区环境管控单元生态环境准入清单</w:t>
            </w:r>
          </w:p>
          <w:p w14:paraId="429F139A">
            <w:pPr>
              <w:pStyle w:val="156"/>
              <w:ind w:firstLine="480"/>
              <w:rPr>
                <w:rFonts w:eastAsia="宋体" w:cs="Times New Roman"/>
              </w:rPr>
            </w:pPr>
            <w:r>
              <w:rPr>
                <w:rFonts w:eastAsia="宋体" w:cs="Times New Roman"/>
              </w:rPr>
              <w:t>本项目位于洛阳市偃师</w:t>
            </w:r>
            <w:r>
              <w:rPr>
                <w:rFonts w:hint="eastAsia" w:eastAsia="宋体" w:cs="Times New Roman"/>
              </w:rPr>
              <w:t>市</w:t>
            </w:r>
            <w:r>
              <w:rPr>
                <w:rFonts w:eastAsia="宋体" w:cs="Times New Roman"/>
              </w:rPr>
              <w:t>先进制造业开发区。对照偃师区环境管控单元生态环境准入清单本项目所在区域为重点管控单元（环境管控单元编码ZH41030720001，名称为</w:t>
            </w:r>
            <w:r>
              <w:rPr>
                <w:rFonts w:hint="eastAsia" w:eastAsia="宋体" w:cs="Times New Roman"/>
              </w:rPr>
              <w:t>洛阳偃师区先进制造业开发区</w:t>
            </w:r>
            <w:r>
              <w:rPr>
                <w:rFonts w:eastAsia="宋体" w:cs="Times New Roman"/>
              </w:rPr>
              <w:t>，根据河南省三线一单综合信息应用平台查询结果（附图</w:t>
            </w:r>
            <w:r>
              <w:rPr>
                <w:rFonts w:hint="eastAsia" w:eastAsia="宋体" w:cs="Times New Roman"/>
              </w:rPr>
              <w:t>11-2</w:t>
            </w:r>
            <w:r>
              <w:rPr>
                <w:rFonts w:eastAsia="宋体" w:cs="Times New Roman"/>
              </w:rPr>
              <w:t>），研判分析报告结论如下：</w:t>
            </w:r>
          </w:p>
          <w:p w14:paraId="69BC13EC">
            <w:pPr>
              <w:spacing w:line="520" w:lineRule="exact"/>
              <w:ind w:firstLine="480" w:firstLineChars="200"/>
              <w:rPr>
                <w:rFonts w:ascii="Times New Roman" w:hAnsi="Times New Roman"/>
              </w:rPr>
            </w:pPr>
            <w:r>
              <w:rPr>
                <w:rFonts w:hint="eastAsia"/>
              </w:rPr>
              <w:t>①</w:t>
            </w:r>
            <w:r>
              <w:rPr>
                <w:rFonts w:ascii="Times New Roman" w:hAnsi="Times New Roman"/>
              </w:rPr>
              <w:t>空间冲突：</w:t>
            </w:r>
          </w:p>
          <w:p w14:paraId="2E1A4E4C">
            <w:pPr>
              <w:spacing w:line="520" w:lineRule="exact"/>
              <w:ind w:firstLine="480" w:firstLineChars="200"/>
              <w:rPr>
                <w:rFonts w:ascii="Times New Roman" w:hAnsi="Times New Roman"/>
              </w:rPr>
            </w:pPr>
            <w:r>
              <w:rPr>
                <w:rFonts w:ascii="Times New Roman" w:hAnsi="Times New Roman"/>
              </w:rPr>
              <w:t>经研判，初步判定该项目无空间冲突，最终结果以自然资源部门提供的为准。</w:t>
            </w:r>
          </w:p>
          <w:p w14:paraId="203958C5">
            <w:pPr>
              <w:spacing w:line="520" w:lineRule="exact"/>
              <w:ind w:firstLine="480" w:firstLineChars="200"/>
              <w:rPr>
                <w:rFonts w:ascii="Times New Roman" w:hAnsi="Times New Roman"/>
              </w:rPr>
            </w:pPr>
            <w:r>
              <w:rPr>
                <w:rFonts w:hint="eastAsia"/>
              </w:rPr>
              <w:t>②</w:t>
            </w:r>
            <w:r>
              <w:rPr>
                <w:rFonts w:ascii="Times New Roman" w:hAnsi="Times New Roman"/>
              </w:rPr>
              <w:t>项目涉及的各类管控分区有关情况</w:t>
            </w:r>
          </w:p>
          <w:p w14:paraId="12656A07">
            <w:pPr>
              <w:autoSpaceDE w:val="0"/>
              <w:autoSpaceDN w:val="0"/>
              <w:adjustRightInd w:val="0"/>
              <w:spacing w:line="520" w:lineRule="exact"/>
              <w:ind w:firstLine="480" w:firstLineChars="200"/>
              <w:rPr>
                <w:rFonts w:ascii="Times New Roman" w:hAnsi="Times New Roman"/>
                <w:sz w:val="28"/>
                <w:szCs w:val="28"/>
              </w:rPr>
            </w:pPr>
            <w:r>
              <w:rPr>
                <w:rFonts w:ascii="Times New Roman" w:hAnsi="Times New Roman"/>
              </w:rPr>
              <w:t>根据管控单元压占分析，项目建设区域涉及4个生态环境管控单元，其中优先保护单元0个，重点管控单元3个，一般管控单元1个、水源地0个。</w:t>
            </w:r>
          </w:p>
          <w:p w14:paraId="4C3B19D9">
            <w:pPr>
              <w:spacing w:line="520" w:lineRule="exact"/>
              <w:ind w:firstLine="480" w:firstLineChars="200"/>
              <w:rPr>
                <w:rFonts w:ascii="Times New Roman" w:hAnsi="Times New Roman"/>
              </w:rPr>
            </w:pPr>
            <w:r>
              <w:rPr>
                <w:rFonts w:hint="eastAsia"/>
              </w:rPr>
              <w:t>③</w:t>
            </w:r>
            <w:r>
              <w:rPr>
                <w:rFonts w:ascii="Times New Roman" w:hAnsi="Times New Roman"/>
              </w:rPr>
              <w:t>环境管控单元分析</w:t>
            </w:r>
          </w:p>
          <w:p w14:paraId="5411018B">
            <w:pPr>
              <w:spacing w:line="520" w:lineRule="exact"/>
              <w:ind w:firstLine="480" w:firstLineChars="200"/>
              <w:rPr>
                <w:rFonts w:ascii="Times New Roman" w:hAnsi="Times New Roman"/>
              </w:rPr>
            </w:pPr>
            <w:r>
              <w:rPr>
                <w:rFonts w:ascii="Times New Roman" w:hAnsi="Times New Roman"/>
              </w:rPr>
              <w:t>经比对，项目涉及1个河南省环境管控单元，其中优先保护单元0个，重点管控单元1个，一般管控单元0个，详见下表。</w:t>
            </w:r>
          </w:p>
          <w:p w14:paraId="70F92FBF">
            <w:pPr>
              <w:spacing w:line="520" w:lineRule="exact"/>
              <w:ind w:firstLine="480" w:firstLineChars="200"/>
              <w:rPr>
                <w:rFonts w:ascii="Times New Roman" w:hAnsi="Times New Roman"/>
              </w:rPr>
            </w:pPr>
          </w:p>
          <w:p w14:paraId="2F3372CD">
            <w:pPr>
              <w:spacing w:line="520" w:lineRule="exact"/>
              <w:ind w:firstLine="480" w:firstLineChars="200"/>
              <w:rPr>
                <w:rFonts w:ascii="Times New Roman" w:hAnsi="Times New Roman"/>
              </w:rPr>
            </w:pPr>
          </w:p>
          <w:p w14:paraId="24B6E926">
            <w:pPr>
              <w:spacing w:line="520" w:lineRule="exact"/>
              <w:ind w:firstLine="480" w:firstLineChars="200"/>
              <w:rPr>
                <w:rFonts w:ascii="Times New Roman" w:hAnsi="Times New Roman"/>
              </w:rPr>
            </w:pPr>
          </w:p>
          <w:p w14:paraId="65EFF4FB">
            <w:pPr>
              <w:spacing w:line="520" w:lineRule="exact"/>
              <w:ind w:firstLine="480" w:firstLineChars="200"/>
              <w:rPr>
                <w:rFonts w:ascii="Times New Roman" w:hAnsi="Times New Roman"/>
              </w:rPr>
            </w:pPr>
          </w:p>
          <w:p w14:paraId="12928DD7">
            <w:pPr>
              <w:spacing w:line="520" w:lineRule="exact"/>
              <w:ind w:firstLine="480" w:firstLineChars="200"/>
              <w:rPr>
                <w:rFonts w:ascii="Times New Roman" w:hAnsi="Times New Roman"/>
              </w:rPr>
            </w:pPr>
          </w:p>
          <w:p w14:paraId="491F5F4F">
            <w:pPr>
              <w:spacing w:line="520" w:lineRule="exact"/>
              <w:ind w:firstLine="480" w:firstLineChars="200"/>
              <w:rPr>
                <w:rFonts w:ascii="Times New Roman" w:hAnsi="Times New Roman"/>
              </w:rPr>
            </w:pPr>
          </w:p>
          <w:p w14:paraId="7E76D1E1">
            <w:pPr>
              <w:spacing w:line="520" w:lineRule="exact"/>
              <w:ind w:firstLine="480" w:firstLineChars="200"/>
              <w:rPr>
                <w:rFonts w:ascii="Times New Roman" w:hAnsi="Times New Roman"/>
              </w:rPr>
            </w:pPr>
          </w:p>
          <w:p w14:paraId="3E3E4443">
            <w:pPr>
              <w:spacing w:line="520" w:lineRule="exact"/>
              <w:ind w:firstLine="480" w:firstLineChars="200"/>
              <w:rPr>
                <w:rFonts w:ascii="Times New Roman" w:hAnsi="Times New Roman"/>
              </w:rPr>
            </w:pPr>
          </w:p>
          <w:p w14:paraId="35AD4FFB">
            <w:pPr>
              <w:spacing w:line="520" w:lineRule="exact"/>
              <w:ind w:firstLine="480" w:firstLineChars="200"/>
              <w:rPr>
                <w:rFonts w:ascii="Times New Roman" w:hAnsi="Times New Roman"/>
              </w:rPr>
            </w:pPr>
          </w:p>
          <w:p w14:paraId="181A63AF">
            <w:pPr>
              <w:spacing w:line="520" w:lineRule="exact"/>
              <w:ind w:firstLine="480" w:firstLineChars="200"/>
              <w:rPr>
                <w:rFonts w:ascii="Times New Roman" w:hAnsi="Times New Roman"/>
              </w:rPr>
            </w:pPr>
          </w:p>
          <w:p w14:paraId="6DF795BA">
            <w:pPr>
              <w:spacing w:line="520" w:lineRule="exact"/>
              <w:ind w:firstLine="480" w:firstLineChars="200"/>
              <w:rPr>
                <w:rFonts w:ascii="Times New Roman" w:hAnsi="Times New Roman"/>
              </w:rPr>
            </w:pPr>
          </w:p>
          <w:p w14:paraId="1D1AAB62">
            <w:pPr>
              <w:spacing w:line="520" w:lineRule="exact"/>
              <w:ind w:firstLine="480" w:firstLineChars="200"/>
              <w:rPr>
                <w:rFonts w:ascii="Times New Roman" w:hAnsi="Times New Roman"/>
              </w:rPr>
            </w:pPr>
          </w:p>
        </w:tc>
      </w:tr>
    </w:tbl>
    <w:p w14:paraId="3C006373">
      <w:pPr>
        <w:sectPr>
          <w:footerReference r:id="rId6" w:type="default"/>
          <w:pgSz w:w="11907" w:h="16840"/>
          <w:pgMar w:top="1588" w:right="1418" w:bottom="1588" w:left="1418" w:header="851" w:footer="992" w:gutter="0"/>
          <w:pgNumType w:start="1"/>
          <w:cols w:space="425" w:num="1"/>
          <w:docGrid w:type="linesAndChars" w:linePitch="312" w:charSpace="0"/>
        </w:sectPr>
      </w:pPr>
    </w:p>
    <w:p w14:paraId="5C212D6B">
      <w:pPr>
        <w:spacing w:line="20" w:lineRule="exact"/>
        <w:rPr>
          <w:rFonts w:ascii="Times New Roman" w:hAnsi="Times New Roman"/>
        </w:rPr>
      </w:pPr>
    </w:p>
    <w:tbl>
      <w:tblPr>
        <w:tblStyle w:val="88"/>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4248"/>
      </w:tblGrid>
      <w:tr w14:paraId="08925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26" w:hRule="atLeast"/>
          <w:jc w:val="center"/>
        </w:trPr>
        <w:tc>
          <w:tcPr>
            <w:tcW w:w="5000" w:type="pct"/>
            <w:tcMar>
              <w:top w:w="0" w:type="dxa"/>
              <w:left w:w="108" w:type="dxa"/>
              <w:bottom w:w="0" w:type="dxa"/>
              <w:right w:w="108" w:type="dxa"/>
            </w:tcMar>
            <w:vAlign w:val="center"/>
          </w:tcPr>
          <w:p w14:paraId="3CFB95D7">
            <w:pPr>
              <w:pStyle w:val="182"/>
              <w:ind w:firstLine="480"/>
            </w:pPr>
            <w:r>
              <w:t xml:space="preserve">表1-3  </w:t>
            </w:r>
            <w:r>
              <w:rPr>
                <w:rFonts w:hint="eastAsia"/>
              </w:rPr>
              <w:t xml:space="preserve">                       </w:t>
            </w:r>
            <w:r>
              <w:t xml:space="preserve">  项目涉及河南省环境管控单元一览表</w:t>
            </w:r>
          </w:p>
          <w:tbl>
            <w:tblPr>
              <w:tblStyle w:val="8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4"/>
              <w:gridCol w:w="741"/>
              <w:gridCol w:w="773"/>
              <w:gridCol w:w="426"/>
              <w:gridCol w:w="445"/>
              <w:gridCol w:w="445"/>
              <w:gridCol w:w="5201"/>
              <w:gridCol w:w="3852"/>
              <w:gridCol w:w="955"/>
            </w:tblGrid>
            <w:tr w14:paraId="56F8F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3" w:type="pct"/>
                  <w:tcBorders>
                    <w:top w:val="single" w:color="auto" w:sz="12" w:space="0"/>
                    <w:left w:val="single" w:color="auto" w:sz="12" w:space="0"/>
                    <w:bottom w:val="single" w:color="000000" w:sz="4" w:space="0"/>
                  </w:tcBorders>
                  <w:vAlign w:val="center"/>
                </w:tcPr>
                <w:p w14:paraId="759D327A">
                  <w:pPr>
                    <w:pStyle w:val="154"/>
                    <w:rPr>
                      <w:sz w:val="21"/>
                      <w:szCs w:val="21"/>
                    </w:rPr>
                  </w:pPr>
                  <w:r>
                    <w:rPr>
                      <w:sz w:val="21"/>
                      <w:szCs w:val="21"/>
                    </w:rPr>
                    <w:t>环境管控单元编码</w:t>
                  </w:r>
                </w:p>
              </w:tc>
              <w:tc>
                <w:tcPr>
                  <w:tcW w:w="265" w:type="pct"/>
                  <w:tcBorders>
                    <w:top w:val="single" w:color="auto" w:sz="12" w:space="0"/>
                    <w:bottom w:val="single" w:color="000000" w:sz="4" w:space="0"/>
                  </w:tcBorders>
                  <w:vAlign w:val="center"/>
                </w:tcPr>
                <w:p w14:paraId="249F0755">
                  <w:pPr>
                    <w:pStyle w:val="154"/>
                    <w:rPr>
                      <w:sz w:val="21"/>
                      <w:szCs w:val="21"/>
                    </w:rPr>
                  </w:pPr>
                  <w:r>
                    <w:rPr>
                      <w:sz w:val="21"/>
                      <w:szCs w:val="21"/>
                    </w:rPr>
                    <w:t>环境管控单元名称</w:t>
                  </w:r>
                </w:p>
              </w:tc>
              <w:tc>
                <w:tcPr>
                  <w:tcW w:w="276" w:type="pct"/>
                  <w:tcBorders>
                    <w:top w:val="single" w:color="auto" w:sz="12" w:space="0"/>
                    <w:bottom w:val="single" w:color="000000" w:sz="4" w:space="0"/>
                  </w:tcBorders>
                  <w:vAlign w:val="center"/>
                </w:tcPr>
                <w:p w14:paraId="183F5B1C">
                  <w:pPr>
                    <w:pStyle w:val="154"/>
                    <w:rPr>
                      <w:sz w:val="21"/>
                      <w:szCs w:val="21"/>
                    </w:rPr>
                  </w:pPr>
                  <w:r>
                    <w:rPr>
                      <w:sz w:val="21"/>
                      <w:szCs w:val="21"/>
                    </w:rPr>
                    <w:t>管控分类</w:t>
                  </w:r>
                </w:p>
              </w:tc>
              <w:tc>
                <w:tcPr>
                  <w:tcW w:w="148" w:type="pct"/>
                  <w:tcBorders>
                    <w:top w:val="single" w:color="auto" w:sz="12" w:space="0"/>
                    <w:bottom w:val="single" w:color="000000" w:sz="4" w:space="0"/>
                  </w:tcBorders>
                  <w:vAlign w:val="center"/>
                </w:tcPr>
                <w:p w14:paraId="408766D0">
                  <w:pPr>
                    <w:pStyle w:val="154"/>
                    <w:rPr>
                      <w:sz w:val="21"/>
                      <w:szCs w:val="21"/>
                    </w:rPr>
                  </w:pPr>
                  <w:r>
                    <w:rPr>
                      <w:sz w:val="21"/>
                      <w:szCs w:val="21"/>
                    </w:rPr>
                    <w:t>市</w:t>
                  </w:r>
                </w:p>
              </w:tc>
              <w:tc>
                <w:tcPr>
                  <w:tcW w:w="159" w:type="pct"/>
                  <w:tcBorders>
                    <w:top w:val="single" w:color="auto" w:sz="12" w:space="0"/>
                    <w:bottom w:val="single" w:color="000000" w:sz="4" w:space="0"/>
                  </w:tcBorders>
                  <w:vAlign w:val="center"/>
                </w:tcPr>
                <w:p w14:paraId="2ACF8D9E">
                  <w:pPr>
                    <w:pStyle w:val="154"/>
                    <w:rPr>
                      <w:sz w:val="21"/>
                      <w:szCs w:val="21"/>
                    </w:rPr>
                  </w:pPr>
                  <w:r>
                    <w:rPr>
                      <w:sz w:val="21"/>
                      <w:szCs w:val="21"/>
                    </w:rPr>
                    <w:t>区县</w:t>
                  </w:r>
                </w:p>
              </w:tc>
              <w:tc>
                <w:tcPr>
                  <w:tcW w:w="2014" w:type="pct"/>
                  <w:gridSpan w:val="2"/>
                  <w:tcBorders>
                    <w:top w:val="single" w:color="auto" w:sz="12" w:space="0"/>
                  </w:tcBorders>
                  <w:vAlign w:val="center"/>
                </w:tcPr>
                <w:p w14:paraId="75B45A6B">
                  <w:pPr>
                    <w:pStyle w:val="154"/>
                    <w:rPr>
                      <w:sz w:val="21"/>
                      <w:szCs w:val="21"/>
                    </w:rPr>
                  </w:pPr>
                  <w:r>
                    <w:rPr>
                      <w:sz w:val="21"/>
                      <w:szCs w:val="21"/>
                    </w:rPr>
                    <w:t>管控要求</w:t>
                  </w:r>
                </w:p>
              </w:tc>
              <w:tc>
                <w:tcPr>
                  <w:tcW w:w="1374" w:type="pct"/>
                  <w:tcBorders>
                    <w:top w:val="single" w:color="auto" w:sz="12" w:space="0"/>
                  </w:tcBorders>
                  <w:vAlign w:val="center"/>
                </w:tcPr>
                <w:p w14:paraId="3E10C338">
                  <w:pPr>
                    <w:pStyle w:val="154"/>
                    <w:rPr>
                      <w:sz w:val="21"/>
                      <w:szCs w:val="21"/>
                    </w:rPr>
                  </w:pPr>
                  <w:r>
                    <w:rPr>
                      <w:sz w:val="21"/>
                      <w:szCs w:val="21"/>
                    </w:rPr>
                    <w:t>本项目情况</w:t>
                  </w:r>
                </w:p>
              </w:tc>
              <w:tc>
                <w:tcPr>
                  <w:tcW w:w="341" w:type="pct"/>
                  <w:tcBorders>
                    <w:top w:val="single" w:color="auto" w:sz="12" w:space="0"/>
                    <w:right w:val="single" w:color="auto" w:sz="12" w:space="0"/>
                  </w:tcBorders>
                  <w:vAlign w:val="center"/>
                </w:tcPr>
                <w:p w14:paraId="4FC5D835">
                  <w:pPr>
                    <w:pStyle w:val="154"/>
                  </w:pPr>
                  <w:r>
                    <w:t>相符性</w:t>
                  </w:r>
                </w:p>
              </w:tc>
            </w:tr>
            <w:tr w14:paraId="2A6B6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3" w:type="pct"/>
                  <w:vMerge w:val="restart"/>
                  <w:tcBorders>
                    <w:left w:val="single" w:color="auto" w:sz="12" w:space="0"/>
                    <w:bottom w:val="single" w:color="auto" w:sz="12" w:space="0"/>
                  </w:tcBorders>
                  <w:vAlign w:val="center"/>
                </w:tcPr>
                <w:p w14:paraId="27BB58CD">
                  <w:pPr>
                    <w:pStyle w:val="154"/>
                    <w:rPr>
                      <w:sz w:val="21"/>
                      <w:szCs w:val="21"/>
                    </w:rPr>
                  </w:pPr>
                  <w:r>
                    <w:rPr>
                      <w:sz w:val="21"/>
                      <w:szCs w:val="21"/>
                    </w:rPr>
                    <w:t>ZH4103</w:t>
                  </w:r>
                </w:p>
                <w:p w14:paraId="04840B1B">
                  <w:pPr>
                    <w:pStyle w:val="154"/>
                    <w:rPr>
                      <w:sz w:val="21"/>
                      <w:szCs w:val="21"/>
                    </w:rPr>
                  </w:pPr>
                  <w:r>
                    <w:rPr>
                      <w:sz w:val="21"/>
                      <w:szCs w:val="21"/>
                    </w:rPr>
                    <w:t>0720001</w:t>
                  </w:r>
                </w:p>
              </w:tc>
              <w:tc>
                <w:tcPr>
                  <w:tcW w:w="265" w:type="pct"/>
                  <w:vMerge w:val="restart"/>
                  <w:tcBorders>
                    <w:bottom w:val="single" w:color="auto" w:sz="12" w:space="0"/>
                  </w:tcBorders>
                  <w:vAlign w:val="center"/>
                </w:tcPr>
                <w:p w14:paraId="1FEFBCD4">
                  <w:pPr>
                    <w:pStyle w:val="154"/>
                    <w:rPr>
                      <w:sz w:val="21"/>
                      <w:szCs w:val="21"/>
                    </w:rPr>
                  </w:pPr>
                  <w:r>
                    <w:rPr>
                      <w:sz w:val="21"/>
                      <w:szCs w:val="21"/>
                    </w:rPr>
                    <w:t>洛阳偃师区先进制造业开发区</w:t>
                  </w:r>
                </w:p>
              </w:tc>
              <w:tc>
                <w:tcPr>
                  <w:tcW w:w="276" w:type="pct"/>
                  <w:vMerge w:val="restart"/>
                  <w:tcBorders>
                    <w:bottom w:val="single" w:color="auto" w:sz="12" w:space="0"/>
                  </w:tcBorders>
                  <w:vAlign w:val="center"/>
                </w:tcPr>
                <w:p w14:paraId="53A968D1">
                  <w:pPr>
                    <w:pStyle w:val="154"/>
                    <w:rPr>
                      <w:sz w:val="21"/>
                      <w:szCs w:val="21"/>
                    </w:rPr>
                  </w:pPr>
                  <w:r>
                    <w:rPr>
                      <w:sz w:val="21"/>
                      <w:szCs w:val="21"/>
                    </w:rPr>
                    <w:t>重点</w:t>
                  </w:r>
                </w:p>
              </w:tc>
              <w:tc>
                <w:tcPr>
                  <w:tcW w:w="148" w:type="pct"/>
                  <w:vMerge w:val="restart"/>
                  <w:tcBorders>
                    <w:bottom w:val="single" w:color="auto" w:sz="12" w:space="0"/>
                  </w:tcBorders>
                  <w:vAlign w:val="center"/>
                </w:tcPr>
                <w:p w14:paraId="282E37F4">
                  <w:pPr>
                    <w:pStyle w:val="154"/>
                    <w:rPr>
                      <w:sz w:val="21"/>
                      <w:szCs w:val="21"/>
                    </w:rPr>
                  </w:pPr>
                  <w:r>
                    <w:rPr>
                      <w:sz w:val="21"/>
                      <w:szCs w:val="21"/>
                    </w:rPr>
                    <w:t>洛</w:t>
                  </w:r>
                </w:p>
                <w:p w14:paraId="4DF9AE5C">
                  <w:pPr>
                    <w:pStyle w:val="154"/>
                    <w:rPr>
                      <w:sz w:val="21"/>
                      <w:szCs w:val="21"/>
                    </w:rPr>
                  </w:pPr>
                  <w:r>
                    <w:rPr>
                      <w:sz w:val="21"/>
                      <w:szCs w:val="21"/>
                    </w:rPr>
                    <w:t>阳市</w:t>
                  </w:r>
                </w:p>
              </w:tc>
              <w:tc>
                <w:tcPr>
                  <w:tcW w:w="159" w:type="pct"/>
                  <w:vMerge w:val="restart"/>
                  <w:tcBorders>
                    <w:bottom w:val="single" w:color="auto" w:sz="12" w:space="0"/>
                  </w:tcBorders>
                  <w:vAlign w:val="center"/>
                </w:tcPr>
                <w:p w14:paraId="23C0D8DB">
                  <w:pPr>
                    <w:pStyle w:val="154"/>
                    <w:rPr>
                      <w:sz w:val="21"/>
                      <w:szCs w:val="21"/>
                    </w:rPr>
                  </w:pPr>
                  <w:r>
                    <w:rPr>
                      <w:sz w:val="21"/>
                      <w:szCs w:val="21"/>
                    </w:rPr>
                    <w:t>偃师区</w:t>
                  </w:r>
                </w:p>
              </w:tc>
              <w:tc>
                <w:tcPr>
                  <w:tcW w:w="159" w:type="pct"/>
                  <w:vAlign w:val="center"/>
                </w:tcPr>
                <w:p w14:paraId="40CCACBB">
                  <w:pPr>
                    <w:pStyle w:val="154"/>
                    <w:rPr>
                      <w:sz w:val="21"/>
                      <w:szCs w:val="21"/>
                    </w:rPr>
                  </w:pPr>
                  <w:r>
                    <w:rPr>
                      <w:sz w:val="21"/>
                      <w:szCs w:val="21"/>
                    </w:rPr>
                    <w:t>空间布局约束</w:t>
                  </w:r>
                </w:p>
              </w:tc>
              <w:tc>
                <w:tcPr>
                  <w:tcW w:w="1855" w:type="pct"/>
                  <w:vAlign w:val="center"/>
                </w:tcPr>
                <w:p w14:paraId="12AF31E6">
                  <w:pPr>
                    <w:pStyle w:val="154"/>
                    <w:adjustRightInd/>
                    <w:jc w:val="left"/>
                    <w:rPr>
                      <w:sz w:val="21"/>
                      <w:szCs w:val="21"/>
                    </w:rPr>
                  </w:pPr>
                  <w:r>
                    <w:rPr>
                      <w:sz w:val="21"/>
                      <w:szCs w:val="21"/>
                    </w:rPr>
                    <w:t>1、入驻项目应符合园区规划或规划环评的要求。</w:t>
                  </w:r>
                </w:p>
                <w:p w14:paraId="4618B540">
                  <w:pPr>
                    <w:pStyle w:val="154"/>
                    <w:adjustRightInd/>
                    <w:jc w:val="left"/>
                    <w:rPr>
                      <w:sz w:val="21"/>
                      <w:szCs w:val="21"/>
                    </w:rPr>
                  </w:pPr>
                  <w:r>
                    <w:rPr>
                      <w:sz w:val="21"/>
                      <w:szCs w:val="21"/>
                    </w:rPr>
                    <w:t>2、重点发展节能环保装备制造、新能源、新材料(含化工)等产业，建设高新技术示范基地和科技成果转化示范区。</w:t>
                  </w:r>
                </w:p>
                <w:p w14:paraId="06B8FA3E">
                  <w:pPr>
                    <w:pStyle w:val="154"/>
                    <w:adjustRightInd/>
                    <w:jc w:val="left"/>
                    <w:rPr>
                      <w:sz w:val="21"/>
                      <w:szCs w:val="21"/>
                    </w:rPr>
                  </w:pPr>
                  <w:r>
                    <w:rPr>
                      <w:sz w:val="21"/>
                      <w:szCs w:val="21"/>
                    </w:rPr>
                    <w:t>3、禁止《产业结构调整指导目录》淘汰类项目入驻。</w:t>
                  </w:r>
                </w:p>
                <w:p w14:paraId="793E3FAC">
                  <w:pPr>
                    <w:pStyle w:val="154"/>
                    <w:adjustRightInd/>
                    <w:jc w:val="left"/>
                    <w:rPr>
                      <w:sz w:val="21"/>
                      <w:szCs w:val="21"/>
                    </w:rPr>
                  </w:pPr>
                  <w:r>
                    <w:rPr>
                      <w:sz w:val="21"/>
                      <w:szCs w:val="21"/>
                    </w:rPr>
                    <w:t>4、禁止新建燃煤、重油及高污染燃料的锅炉项目，锅炉应采用清洁能源。</w:t>
                  </w:r>
                </w:p>
                <w:p w14:paraId="45A741DD">
                  <w:pPr>
                    <w:pStyle w:val="154"/>
                    <w:adjustRightInd/>
                    <w:jc w:val="left"/>
                    <w:rPr>
                      <w:sz w:val="21"/>
                      <w:szCs w:val="21"/>
                    </w:rPr>
                  </w:pPr>
                  <w:r>
                    <w:rPr>
                      <w:sz w:val="21"/>
                      <w:szCs w:val="21"/>
                    </w:rPr>
                    <w:t>5、在开发区实现集中供热之后，在保障各企业工业用蒸汽的等级、压力及用汽的连续性的基础上，原则上不再新增分散式燃气锅炉项目。</w:t>
                  </w:r>
                </w:p>
                <w:p w14:paraId="2468D1E2">
                  <w:pPr>
                    <w:pStyle w:val="154"/>
                    <w:adjustRightInd/>
                    <w:jc w:val="left"/>
                    <w:rPr>
                      <w:sz w:val="21"/>
                      <w:szCs w:val="21"/>
                    </w:rPr>
                  </w:pPr>
                  <w:r>
                    <w:rPr>
                      <w:sz w:val="21"/>
                      <w:szCs w:val="21"/>
                    </w:rPr>
                    <w:t>6、新建、改建、扩建“两高”项目应采用先进的工艺技术和装备，符合国家、省、市“两高”项目相关管理要求。</w:t>
                  </w:r>
                </w:p>
              </w:tc>
              <w:tc>
                <w:tcPr>
                  <w:tcW w:w="1374" w:type="pct"/>
                  <w:vAlign w:val="center"/>
                </w:tcPr>
                <w:p w14:paraId="00740DA2">
                  <w:pPr>
                    <w:pStyle w:val="154"/>
                    <w:jc w:val="left"/>
                    <w:rPr>
                      <w:sz w:val="21"/>
                      <w:szCs w:val="21"/>
                    </w:rPr>
                  </w:pPr>
                  <w:r>
                    <w:rPr>
                      <w:sz w:val="21"/>
                      <w:szCs w:val="21"/>
                    </w:rPr>
                    <w:t>1、本项目为制鞋项目，位于偃师区先进制造业开发区，符合园区规划要求。</w:t>
                  </w:r>
                </w:p>
                <w:p w14:paraId="0EEFC801">
                  <w:pPr>
                    <w:pStyle w:val="154"/>
                    <w:jc w:val="left"/>
                    <w:rPr>
                      <w:sz w:val="21"/>
                      <w:szCs w:val="21"/>
                    </w:rPr>
                  </w:pPr>
                  <w:r>
                    <w:rPr>
                      <w:sz w:val="21"/>
                      <w:szCs w:val="21"/>
                    </w:rPr>
                    <w:t>2、不涉及</w:t>
                  </w:r>
                  <w:r>
                    <w:rPr>
                      <w:rFonts w:hint="eastAsia"/>
                      <w:sz w:val="21"/>
                      <w:szCs w:val="21"/>
                    </w:rPr>
                    <w:t>。</w:t>
                  </w:r>
                </w:p>
                <w:p w14:paraId="56DCE9AA">
                  <w:pPr>
                    <w:pStyle w:val="154"/>
                    <w:jc w:val="left"/>
                    <w:rPr>
                      <w:sz w:val="21"/>
                      <w:szCs w:val="21"/>
                    </w:rPr>
                  </w:pPr>
                  <w:r>
                    <w:rPr>
                      <w:sz w:val="21"/>
                      <w:szCs w:val="21"/>
                    </w:rPr>
                    <w:t>3、本项目为制鞋项目，属于《产业结构调整指导目录》中允许类。</w:t>
                  </w:r>
                </w:p>
                <w:p w14:paraId="510E2DE6">
                  <w:pPr>
                    <w:pStyle w:val="154"/>
                    <w:jc w:val="left"/>
                    <w:rPr>
                      <w:sz w:val="21"/>
                      <w:szCs w:val="21"/>
                    </w:rPr>
                  </w:pPr>
                  <w:r>
                    <w:rPr>
                      <w:sz w:val="21"/>
                      <w:szCs w:val="21"/>
                    </w:rPr>
                    <w:t>4、不涉及</w:t>
                  </w:r>
                  <w:r>
                    <w:rPr>
                      <w:rFonts w:hint="eastAsia"/>
                      <w:sz w:val="21"/>
                      <w:szCs w:val="21"/>
                    </w:rPr>
                    <w:t>。</w:t>
                  </w:r>
                </w:p>
                <w:p w14:paraId="2E536B44">
                  <w:pPr>
                    <w:pStyle w:val="154"/>
                    <w:jc w:val="left"/>
                    <w:rPr>
                      <w:sz w:val="21"/>
                      <w:szCs w:val="21"/>
                    </w:rPr>
                  </w:pPr>
                  <w:r>
                    <w:rPr>
                      <w:sz w:val="21"/>
                      <w:szCs w:val="21"/>
                    </w:rPr>
                    <w:t>5、不涉及</w:t>
                  </w:r>
                  <w:r>
                    <w:rPr>
                      <w:rFonts w:hint="eastAsia"/>
                      <w:sz w:val="21"/>
                      <w:szCs w:val="21"/>
                    </w:rPr>
                    <w:t>。</w:t>
                  </w:r>
                </w:p>
                <w:p w14:paraId="7D37467C">
                  <w:pPr>
                    <w:pStyle w:val="154"/>
                    <w:jc w:val="left"/>
                    <w:rPr>
                      <w:sz w:val="21"/>
                      <w:szCs w:val="21"/>
                    </w:rPr>
                  </w:pPr>
                  <w:r>
                    <w:rPr>
                      <w:sz w:val="21"/>
                      <w:szCs w:val="21"/>
                    </w:rPr>
                    <w:t>6、根据关于印发《河南省“两高”项目管理目录》（2023年修订）的通知（豫发改环资</w:t>
                  </w:r>
                  <w:r>
                    <w:rPr>
                      <w:rFonts w:hint="eastAsia"/>
                      <w:sz w:val="21"/>
                      <w:szCs w:val="21"/>
                    </w:rPr>
                    <w:t>〔</w:t>
                  </w:r>
                  <w:r>
                    <w:rPr>
                      <w:sz w:val="21"/>
                      <w:szCs w:val="21"/>
                    </w:rPr>
                    <w:t>2023</w:t>
                  </w:r>
                  <w:r>
                    <w:rPr>
                      <w:rFonts w:hint="eastAsia"/>
                      <w:sz w:val="21"/>
                      <w:szCs w:val="21"/>
                    </w:rPr>
                    <w:t>〕</w:t>
                  </w:r>
                  <w:r>
                    <w:rPr>
                      <w:sz w:val="21"/>
                      <w:szCs w:val="21"/>
                    </w:rPr>
                    <w:t>38号文）本项目不属于“两高”项目</w:t>
                  </w:r>
                  <w:r>
                    <w:rPr>
                      <w:rFonts w:hint="eastAsia"/>
                      <w:sz w:val="21"/>
                      <w:szCs w:val="21"/>
                    </w:rPr>
                    <w:t>。</w:t>
                  </w:r>
                </w:p>
              </w:tc>
              <w:tc>
                <w:tcPr>
                  <w:tcW w:w="341" w:type="pct"/>
                  <w:tcBorders>
                    <w:right w:val="single" w:color="auto" w:sz="12" w:space="0"/>
                  </w:tcBorders>
                  <w:vAlign w:val="center"/>
                </w:tcPr>
                <w:p w14:paraId="10A9AA22">
                  <w:pPr>
                    <w:pStyle w:val="154"/>
                  </w:pPr>
                  <w:r>
                    <w:t>相符</w:t>
                  </w:r>
                </w:p>
              </w:tc>
            </w:tr>
            <w:tr w14:paraId="0A797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3" w:type="pct"/>
                  <w:vMerge w:val="continue"/>
                  <w:tcBorders>
                    <w:left w:val="single" w:color="auto" w:sz="12" w:space="0"/>
                    <w:bottom w:val="single" w:color="auto" w:sz="12" w:space="0"/>
                  </w:tcBorders>
                  <w:vAlign w:val="center"/>
                </w:tcPr>
                <w:p w14:paraId="757515AE">
                  <w:pPr>
                    <w:pStyle w:val="154"/>
                    <w:rPr>
                      <w:sz w:val="21"/>
                      <w:szCs w:val="21"/>
                    </w:rPr>
                  </w:pPr>
                </w:p>
              </w:tc>
              <w:tc>
                <w:tcPr>
                  <w:tcW w:w="265" w:type="pct"/>
                  <w:vMerge w:val="continue"/>
                  <w:tcBorders>
                    <w:bottom w:val="single" w:color="auto" w:sz="12" w:space="0"/>
                  </w:tcBorders>
                  <w:vAlign w:val="center"/>
                </w:tcPr>
                <w:p w14:paraId="2FF660D2">
                  <w:pPr>
                    <w:pStyle w:val="154"/>
                    <w:rPr>
                      <w:sz w:val="21"/>
                      <w:szCs w:val="21"/>
                    </w:rPr>
                  </w:pPr>
                </w:p>
              </w:tc>
              <w:tc>
                <w:tcPr>
                  <w:tcW w:w="276" w:type="pct"/>
                  <w:vMerge w:val="continue"/>
                  <w:tcBorders>
                    <w:bottom w:val="single" w:color="auto" w:sz="12" w:space="0"/>
                  </w:tcBorders>
                  <w:vAlign w:val="center"/>
                </w:tcPr>
                <w:p w14:paraId="491D89DC">
                  <w:pPr>
                    <w:pStyle w:val="154"/>
                    <w:rPr>
                      <w:sz w:val="21"/>
                      <w:szCs w:val="21"/>
                    </w:rPr>
                  </w:pPr>
                </w:p>
              </w:tc>
              <w:tc>
                <w:tcPr>
                  <w:tcW w:w="148" w:type="pct"/>
                  <w:vMerge w:val="continue"/>
                  <w:tcBorders>
                    <w:bottom w:val="single" w:color="auto" w:sz="12" w:space="0"/>
                  </w:tcBorders>
                  <w:vAlign w:val="center"/>
                </w:tcPr>
                <w:p w14:paraId="1643AE84">
                  <w:pPr>
                    <w:pStyle w:val="154"/>
                    <w:rPr>
                      <w:sz w:val="21"/>
                      <w:szCs w:val="21"/>
                    </w:rPr>
                  </w:pPr>
                </w:p>
              </w:tc>
              <w:tc>
                <w:tcPr>
                  <w:tcW w:w="159" w:type="pct"/>
                  <w:vMerge w:val="continue"/>
                  <w:tcBorders>
                    <w:bottom w:val="single" w:color="auto" w:sz="12" w:space="0"/>
                  </w:tcBorders>
                  <w:vAlign w:val="center"/>
                </w:tcPr>
                <w:p w14:paraId="4A6A9836">
                  <w:pPr>
                    <w:pStyle w:val="154"/>
                    <w:rPr>
                      <w:sz w:val="21"/>
                      <w:szCs w:val="21"/>
                    </w:rPr>
                  </w:pPr>
                </w:p>
              </w:tc>
              <w:tc>
                <w:tcPr>
                  <w:tcW w:w="159" w:type="pct"/>
                  <w:vAlign w:val="center"/>
                </w:tcPr>
                <w:p w14:paraId="75CAEE23">
                  <w:pPr>
                    <w:pStyle w:val="154"/>
                    <w:rPr>
                      <w:sz w:val="21"/>
                      <w:szCs w:val="21"/>
                    </w:rPr>
                  </w:pPr>
                  <w:r>
                    <w:rPr>
                      <w:sz w:val="21"/>
                      <w:szCs w:val="21"/>
                    </w:rPr>
                    <w:t>污染物排放管控</w:t>
                  </w:r>
                </w:p>
              </w:tc>
              <w:tc>
                <w:tcPr>
                  <w:tcW w:w="1855" w:type="pct"/>
                  <w:vAlign w:val="center"/>
                </w:tcPr>
                <w:p w14:paraId="3630262A">
                  <w:pPr>
                    <w:pStyle w:val="154"/>
                    <w:jc w:val="both"/>
                    <w:rPr>
                      <w:sz w:val="21"/>
                      <w:szCs w:val="21"/>
                    </w:rPr>
                  </w:pPr>
                  <w:r>
                    <w:rPr>
                      <w:sz w:val="21"/>
                      <w:szCs w:val="21"/>
                    </w:rPr>
                    <w:t>1、重点行业二氧化硫、氮氧化物、颗粒物、VOCs全面执行大气污染物特别排放限值。</w:t>
                  </w:r>
                </w:p>
                <w:p w14:paraId="719FDFEA">
                  <w:pPr>
                    <w:pStyle w:val="154"/>
                    <w:jc w:val="both"/>
                    <w:rPr>
                      <w:sz w:val="21"/>
                      <w:szCs w:val="21"/>
                    </w:rPr>
                  </w:pPr>
                  <w:r>
                    <w:rPr>
                      <w:sz w:val="21"/>
                      <w:szCs w:val="21"/>
                    </w:rPr>
                    <w:t>2、涉及VOCs废气排放的项目应根据废气产生情况，选择合理处理工艺。</w:t>
                  </w:r>
                </w:p>
                <w:p w14:paraId="0BB80D41">
                  <w:pPr>
                    <w:pStyle w:val="154"/>
                    <w:jc w:val="both"/>
                    <w:rPr>
                      <w:sz w:val="21"/>
                      <w:szCs w:val="21"/>
                    </w:rPr>
                  </w:pPr>
                  <w:r>
                    <w:rPr>
                      <w:sz w:val="21"/>
                      <w:szCs w:val="21"/>
                    </w:rPr>
                    <w:t>3、入驻开发区企业废水排放应满足污水处理厂纳管标准，需通过污水管网排入集中污水处理厂处理，出水执行《河南省黄河流域水污染物排放标准》(DB41/2087-2021)中的相关标准:生产废水不得直排外环境。</w:t>
                  </w:r>
                </w:p>
                <w:p w14:paraId="4B202402">
                  <w:pPr>
                    <w:pStyle w:val="154"/>
                    <w:jc w:val="both"/>
                    <w:rPr>
                      <w:sz w:val="21"/>
                      <w:szCs w:val="21"/>
                    </w:rPr>
                  </w:pPr>
                  <w:r>
                    <w:rPr>
                      <w:sz w:val="21"/>
                      <w:szCs w:val="21"/>
                    </w:rPr>
                    <w:t>4、入区项目新增主要污染物总量指标需满足区域或行业替代的有关要求。新、改、扩建重点行业涉重点重金属(铅、汞、镉、铬、砷)项目需实行排放等量置换或减量置换，禁止入驻不满足重金属排放控制要求的建设项目。</w:t>
                  </w:r>
                </w:p>
              </w:tc>
              <w:tc>
                <w:tcPr>
                  <w:tcW w:w="1374" w:type="pct"/>
                  <w:vAlign w:val="center"/>
                </w:tcPr>
                <w:p w14:paraId="785608B8">
                  <w:pPr>
                    <w:pStyle w:val="154"/>
                    <w:jc w:val="left"/>
                    <w:rPr>
                      <w:sz w:val="21"/>
                      <w:szCs w:val="21"/>
                    </w:rPr>
                  </w:pPr>
                  <w:r>
                    <w:rPr>
                      <w:sz w:val="21"/>
                      <w:szCs w:val="21"/>
                    </w:rPr>
                    <w:t>1、本项目为制鞋业，属于重点行业，运营期涉及排放的VOCs全面执行大气污染物特别排放限值。</w:t>
                  </w:r>
                </w:p>
                <w:p w14:paraId="463DFF2B">
                  <w:pPr>
                    <w:pStyle w:val="154"/>
                    <w:jc w:val="left"/>
                    <w:rPr>
                      <w:sz w:val="21"/>
                      <w:szCs w:val="21"/>
                    </w:rPr>
                  </w:pPr>
                  <w:r>
                    <w:rPr>
                      <w:b/>
                      <w:sz w:val="21"/>
                      <w:szCs w:val="21"/>
                      <w:u w:val="single"/>
                    </w:rPr>
                    <w:t>2、</w:t>
                  </w:r>
                  <w:r>
                    <w:rPr>
                      <w:rFonts w:eastAsia="宋体" w:cs="Times New Roman"/>
                      <w:b/>
                      <w:sz w:val="21"/>
                      <w:szCs w:val="21"/>
                      <w:u w:val="single"/>
                    </w:rPr>
                    <w:t>本项目运营过程中</w:t>
                  </w:r>
                  <w:r>
                    <w:rPr>
                      <w:rFonts w:eastAsia="宋体" w:cs="Times New Roman"/>
                      <w:b/>
                      <w:kern w:val="2"/>
                      <w:sz w:val="21"/>
                      <w:szCs w:val="21"/>
                      <w:u w:val="single"/>
                    </w:rPr>
                    <w:t>注</w:t>
                  </w:r>
                  <w:r>
                    <w:rPr>
                      <w:rFonts w:hint="eastAsia" w:eastAsia="宋体" w:cs="Times New Roman"/>
                      <w:b/>
                      <w:kern w:val="2"/>
                      <w:sz w:val="21"/>
                      <w:szCs w:val="21"/>
                      <w:u w:val="single"/>
                    </w:rPr>
                    <w:t>塑工艺生产线混合搅拌、破碎工序产生的含尘、VOCs废气</w:t>
                  </w:r>
                  <w:r>
                    <w:rPr>
                      <w:rFonts w:eastAsia="宋体" w:cs="Times New Roman"/>
                      <w:b/>
                      <w:kern w:val="2"/>
                      <w:sz w:val="21"/>
                      <w:szCs w:val="21"/>
                      <w:u w:val="single"/>
                    </w:rPr>
                    <w:t>通过1套</w:t>
                  </w:r>
                  <w:r>
                    <w:rPr>
                      <w:rFonts w:hint="eastAsia" w:eastAsia="宋体" w:cs="Times New Roman"/>
                      <w:b/>
                      <w:kern w:val="2"/>
                      <w:sz w:val="21"/>
                      <w:szCs w:val="21"/>
                      <w:u w:val="single"/>
                    </w:rPr>
                    <w:t>覆膜</w:t>
                  </w:r>
                  <w:r>
                    <w:rPr>
                      <w:rFonts w:eastAsia="宋体" w:cs="Times New Roman"/>
                      <w:b/>
                      <w:kern w:val="2"/>
                      <w:sz w:val="21"/>
                      <w:szCs w:val="21"/>
                      <w:u w:val="single"/>
                    </w:rPr>
                    <w:t>袋式除尘器</w:t>
                  </w:r>
                  <w:r>
                    <w:rPr>
                      <w:rFonts w:hint="eastAsia" w:eastAsia="宋体" w:cs="Times New Roman"/>
                      <w:b/>
                      <w:kern w:val="2"/>
                      <w:sz w:val="21"/>
                      <w:szCs w:val="21"/>
                      <w:u w:val="single"/>
                    </w:rPr>
                    <w:t>处理后，与注塑工序过程中产生的废气共同进入主管道；聚氨酯工艺生产线过程中产生的废气</w:t>
                  </w:r>
                  <w:r>
                    <w:rPr>
                      <w:rFonts w:eastAsia="宋体" w:cs="Times New Roman"/>
                      <w:b/>
                      <w:kern w:val="2"/>
                      <w:sz w:val="21"/>
                      <w:szCs w:val="21"/>
                      <w:u w:val="single"/>
                    </w:rPr>
                    <w:t>进入主管道</w:t>
                  </w:r>
                  <w:r>
                    <w:rPr>
                      <w:rFonts w:hint="eastAsia" w:eastAsia="宋体" w:cs="Times New Roman"/>
                      <w:b/>
                      <w:kern w:val="2"/>
                      <w:sz w:val="21"/>
                      <w:szCs w:val="21"/>
                      <w:u w:val="single"/>
                    </w:rPr>
                    <w:t>；鞋面布激光切割产生废气进入主管道，三者合并后经过一套两级活性炭吸附工艺处理后通过排气筒DA001排放。</w:t>
                  </w:r>
                  <w:r>
                    <w:rPr>
                      <w:sz w:val="21"/>
                      <w:szCs w:val="21"/>
                    </w:rPr>
                    <w:t>3、本项目循环冷却水每日补充损耗水量，循环使用，不排放。生活污水依托厂区化粪池处理后，经市政管网排入洛阳市中州渠人工湿地处理。</w:t>
                  </w:r>
                </w:p>
                <w:p w14:paraId="7AF2FDBB">
                  <w:pPr>
                    <w:pStyle w:val="154"/>
                    <w:jc w:val="left"/>
                    <w:rPr>
                      <w:sz w:val="21"/>
                      <w:szCs w:val="21"/>
                    </w:rPr>
                  </w:pPr>
                  <w:r>
                    <w:rPr>
                      <w:sz w:val="21"/>
                      <w:szCs w:val="21"/>
                    </w:rPr>
                    <w:t>4、本项目新增VOCs实现区域内倍量替代，本项目不涉及重金属。</w:t>
                  </w:r>
                </w:p>
              </w:tc>
              <w:tc>
                <w:tcPr>
                  <w:tcW w:w="341" w:type="pct"/>
                  <w:tcBorders>
                    <w:right w:val="single" w:color="auto" w:sz="12" w:space="0"/>
                  </w:tcBorders>
                  <w:vAlign w:val="center"/>
                </w:tcPr>
                <w:p w14:paraId="2D23586B">
                  <w:pPr>
                    <w:pStyle w:val="154"/>
                  </w:pPr>
                  <w:r>
                    <w:t>相符</w:t>
                  </w:r>
                </w:p>
              </w:tc>
            </w:tr>
            <w:tr w14:paraId="30BB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3" w:type="pct"/>
                  <w:vMerge w:val="continue"/>
                  <w:tcBorders>
                    <w:left w:val="single" w:color="auto" w:sz="12" w:space="0"/>
                    <w:bottom w:val="single" w:color="auto" w:sz="12" w:space="0"/>
                  </w:tcBorders>
                  <w:vAlign w:val="center"/>
                </w:tcPr>
                <w:p w14:paraId="6BCA0703">
                  <w:pPr>
                    <w:pStyle w:val="154"/>
                    <w:rPr>
                      <w:sz w:val="21"/>
                      <w:szCs w:val="21"/>
                    </w:rPr>
                  </w:pPr>
                </w:p>
              </w:tc>
              <w:tc>
                <w:tcPr>
                  <w:tcW w:w="265" w:type="pct"/>
                  <w:vMerge w:val="continue"/>
                  <w:tcBorders>
                    <w:bottom w:val="single" w:color="auto" w:sz="12" w:space="0"/>
                  </w:tcBorders>
                  <w:vAlign w:val="center"/>
                </w:tcPr>
                <w:p w14:paraId="6108B1A6">
                  <w:pPr>
                    <w:pStyle w:val="154"/>
                    <w:rPr>
                      <w:sz w:val="21"/>
                      <w:szCs w:val="21"/>
                    </w:rPr>
                  </w:pPr>
                </w:p>
              </w:tc>
              <w:tc>
                <w:tcPr>
                  <w:tcW w:w="276" w:type="pct"/>
                  <w:vMerge w:val="continue"/>
                  <w:tcBorders>
                    <w:bottom w:val="single" w:color="auto" w:sz="12" w:space="0"/>
                  </w:tcBorders>
                  <w:vAlign w:val="center"/>
                </w:tcPr>
                <w:p w14:paraId="094A29D5">
                  <w:pPr>
                    <w:pStyle w:val="154"/>
                    <w:rPr>
                      <w:sz w:val="21"/>
                      <w:szCs w:val="21"/>
                    </w:rPr>
                  </w:pPr>
                </w:p>
              </w:tc>
              <w:tc>
                <w:tcPr>
                  <w:tcW w:w="148" w:type="pct"/>
                  <w:vMerge w:val="continue"/>
                  <w:tcBorders>
                    <w:bottom w:val="single" w:color="auto" w:sz="12" w:space="0"/>
                  </w:tcBorders>
                  <w:vAlign w:val="center"/>
                </w:tcPr>
                <w:p w14:paraId="6B3AE63A">
                  <w:pPr>
                    <w:pStyle w:val="154"/>
                    <w:rPr>
                      <w:sz w:val="21"/>
                      <w:szCs w:val="21"/>
                    </w:rPr>
                  </w:pPr>
                </w:p>
              </w:tc>
              <w:tc>
                <w:tcPr>
                  <w:tcW w:w="159" w:type="pct"/>
                  <w:vMerge w:val="continue"/>
                  <w:tcBorders>
                    <w:bottom w:val="single" w:color="auto" w:sz="12" w:space="0"/>
                  </w:tcBorders>
                  <w:vAlign w:val="center"/>
                </w:tcPr>
                <w:p w14:paraId="0AA0B9DD">
                  <w:pPr>
                    <w:pStyle w:val="154"/>
                    <w:rPr>
                      <w:sz w:val="21"/>
                      <w:szCs w:val="21"/>
                    </w:rPr>
                  </w:pPr>
                </w:p>
              </w:tc>
              <w:tc>
                <w:tcPr>
                  <w:tcW w:w="159" w:type="pct"/>
                  <w:tcBorders>
                    <w:bottom w:val="single" w:color="000000" w:sz="4" w:space="0"/>
                  </w:tcBorders>
                  <w:vAlign w:val="center"/>
                </w:tcPr>
                <w:p w14:paraId="368C30EC">
                  <w:pPr>
                    <w:pStyle w:val="154"/>
                    <w:rPr>
                      <w:sz w:val="21"/>
                      <w:szCs w:val="21"/>
                    </w:rPr>
                  </w:pPr>
                  <w:r>
                    <w:rPr>
                      <w:sz w:val="21"/>
                      <w:szCs w:val="21"/>
                    </w:rPr>
                    <w:t>环境风险防控</w:t>
                  </w:r>
                </w:p>
              </w:tc>
              <w:tc>
                <w:tcPr>
                  <w:tcW w:w="1855" w:type="pct"/>
                  <w:tcBorders>
                    <w:bottom w:val="single" w:color="000000" w:sz="4" w:space="0"/>
                  </w:tcBorders>
                  <w:vAlign w:val="center"/>
                </w:tcPr>
                <w:p w14:paraId="6AD7809E">
                  <w:pPr>
                    <w:pStyle w:val="154"/>
                    <w:jc w:val="left"/>
                    <w:rPr>
                      <w:sz w:val="21"/>
                      <w:szCs w:val="21"/>
                    </w:rPr>
                  </w:pPr>
                  <w:r>
                    <w:rPr>
                      <w:sz w:val="21"/>
                      <w:szCs w:val="21"/>
                    </w:rPr>
                    <w:t>1、加强开发区环境安全管理工作，严格危险化学品管理，减少环境风险。</w:t>
                  </w:r>
                </w:p>
                <w:p w14:paraId="7E6D94E6">
                  <w:pPr>
                    <w:pStyle w:val="154"/>
                    <w:jc w:val="left"/>
                    <w:rPr>
                      <w:sz w:val="21"/>
                      <w:szCs w:val="21"/>
                    </w:rPr>
                  </w:pPr>
                  <w:r>
                    <w:rPr>
                      <w:sz w:val="21"/>
                      <w:szCs w:val="21"/>
                    </w:rPr>
                    <w:t>2、建立开发区风险防范体系以及风险防范应急预案；基础设施和企业内部生产运营管理中，认真落实环境风险防范措施，减少环境风险事故发生。</w:t>
                  </w:r>
                </w:p>
                <w:p w14:paraId="56754D91">
                  <w:pPr>
                    <w:pStyle w:val="154"/>
                    <w:jc w:val="left"/>
                    <w:rPr>
                      <w:sz w:val="21"/>
                      <w:szCs w:val="21"/>
                    </w:rPr>
                  </w:pPr>
                  <w:r>
                    <w:rPr>
                      <w:sz w:val="21"/>
                      <w:szCs w:val="21"/>
                    </w:rPr>
                    <w:t>3、做好事故废水的风险管控联动，防止事故废水排入雨水管网或未经处理直接进入地表水体。</w:t>
                  </w:r>
                </w:p>
                <w:p w14:paraId="3E31C819">
                  <w:pPr>
                    <w:pStyle w:val="154"/>
                    <w:jc w:val="left"/>
                    <w:rPr>
                      <w:sz w:val="21"/>
                      <w:szCs w:val="21"/>
                    </w:rPr>
                  </w:pPr>
                  <w:r>
                    <w:rPr>
                      <w:sz w:val="21"/>
                      <w:szCs w:val="21"/>
                    </w:rPr>
                    <w:t>4、重点排污单位，应按照排污许可执行监测要求，对土壤、地下水进行监测，发现问题及时采取有效防治措施，避免对土壤、地下水造成污染。</w:t>
                  </w:r>
                </w:p>
              </w:tc>
              <w:tc>
                <w:tcPr>
                  <w:tcW w:w="1374" w:type="pct"/>
                  <w:tcBorders>
                    <w:bottom w:val="single" w:color="000000" w:sz="4" w:space="0"/>
                  </w:tcBorders>
                  <w:vAlign w:val="center"/>
                </w:tcPr>
                <w:p w14:paraId="7A0CB25B">
                  <w:pPr>
                    <w:pStyle w:val="154"/>
                    <w:jc w:val="left"/>
                    <w:rPr>
                      <w:sz w:val="21"/>
                      <w:szCs w:val="21"/>
                    </w:rPr>
                  </w:pPr>
                  <w:r>
                    <w:rPr>
                      <w:sz w:val="21"/>
                      <w:szCs w:val="21"/>
                    </w:rPr>
                    <w:t>1、不涉及</w:t>
                  </w:r>
                  <w:r>
                    <w:rPr>
                      <w:rFonts w:hint="eastAsia"/>
                      <w:sz w:val="21"/>
                      <w:szCs w:val="21"/>
                    </w:rPr>
                    <w:t>。</w:t>
                  </w:r>
                </w:p>
                <w:p w14:paraId="6A934B54">
                  <w:pPr>
                    <w:pStyle w:val="154"/>
                    <w:jc w:val="left"/>
                    <w:rPr>
                      <w:sz w:val="21"/>
                      <w:szCs w:val="21"/>
                    </w:rPr>
                  </w:pPr>
                  <w:r>
                    <w:rPr>
                      <w:sz w:val="21"/>
                      <w:szCs w:val="21"/>
                    </w:rPr>
                    <w:t>2、不涉及</w:t>
                  </w:r>
                  <w:r>
                    <w:rPr>
                      <w:rFonts w:hint="eastAsia"/>
                      <w:sz w:val="21"/>
                      <w:szCs w:val="21"/>
                    </w:rPr>
                    <w:t>。</w:t>
                  </w:r>
                </w:p>
                <w:p w14:paraId="53E8028D">
                  <w:pPr>
                    <w:pStyle w:val="154"/>
                    <w:jc w:val="left"/>
                    <w:rPr>
                      <w:sz w:val="21"/>
                      <w:szCs w:val="21"/>
                    </w:rPr>
                  </w:pPr>
                  <w:r>
                    <w:rPr>
                      <w:sz w:val="21"/>
                      <w:szCs w:val="21"/>
                    </w:rPr>
                    <w:t>3、不涉及</w:t>
                  </w:r>
                  <w:r>
                    <w:rPr>
                      <w:rFonts w:hint="eastAsia"/>
                      <w:sz w:val="21"/>
                      <w:szCs w:val="21"/>
                    </w:rPr>
                    <w:t>。</w:t>
                  </w:r>
                </w:p>
                <w:p w14:paraId="53864F7D">
                  <w:pPr>
                    <w:pStyle w:val="154"/>
                    <w:jc w:val="left"/>
                    <w:rPr>
                      <w:sz w:val="21"/>
                      <w:szCs w:val="21"/>
                    </w:rPr>
                  </w:pPr>
                  <w:r>
                    <w:rPr>
                      <w:sz w:val="21"/>
                      <w:szCs w:val="21"/>
                    </w:rPr>
                    <w:t>4、不涉及</w:t>
                  </w:r>
                  <w:r>
                    <w:rPr>
                      <w:rFonts w:hint="eastAsia"/>
                      <w:sz w:val="21"/>
                      <w:szCs w:val="21"/>
                    </w:rPr>
                    <w:t>。</w:t>
                  </w:r>
                </w:p>
              </w:tc>
              <w:tc>
                <w:tcPr>
                  <w:tcW w:w="341" w:type="pct"/>
                  <w:tcBorders>
                    <w:bottom w:val="single" w:color="000000" w:sz="4" w:space="0"/>
                    <w:right w:val="single" w:color="auto" w:sz="12" w:space="0"/>
                  </w:tcBorders>
                  <w:vAlign w:val="center"/>
                </w:tcPr>
                <w:p w14:paraId="22E101A2">
                  <w:pPr>
                    <w:pStyle w:val="154"/>
                  </w:pPr>
                  <w:r>
                    <w:t>/</w:t>
                  </w:r>
                </w:p>
              </w:tc>
            </w:tr>
            <w:tr w14:paraId="6D9B2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3" w:type="pct"/>
                  <w:vMerge w:val="continue"/>
                  <w:tcBorders>
                    <w:left w:val="single" w:color="auto" w:sz="12" w:space="0"/>
                    <w:bottom w:val="single" w:color="auto" w:sz="12" w:space="0"/>
                  </w:tcBorders>
                  <w:vAlign w:val="center"/>
                </w:tcPr>
                <w:p w14:paraId="6C0C85BC">
                  <w:pPr>
                    <w:pStyle w:val="154"/>
                    <w:rPr>
                      <w:sz w:val="21"/>
                      <w:szCs w:val="21"/>
                    </w:rPr>
                  </w:pPr>
                </w:p>
              </w:tc>
              <w:tc>
                <w:tcPr>
                  <w:tcW w:w="265" w:type="pct"/>
                  <w:vMerge w:val="continue"/>
                  <w:tcBorders>
                    <w:bottom w:val="single" w:color="auto" w:sz="12" w:space="0"/>
                  </w:tcBorders>
                  <w:vAlign w:val="center"/>
                </w:tcPr>
                <w:p w14:paraId="79273292">
                  <w:pPr>
                    <w:pStyle w:val="154"/>
                    <w:rPr>
                      <w:sz w:val="21"/>
                      <w:szCs w:val="21"/>
                    </w:rPr>
                  </w:pPr>
                </w:p>
              </w:tc>
              <w:tc>
                <w:tcPr>
                  <w:tcW w:w="276" w:type="pct"/>
                  <w:vMerge w:val="continue"/>
                  <w:tcBorders>
                    <w:bottom w:val="single" w:color="auto" w:sz="12" w:space="0"/>
                  </w:tcBorders>
                  <w:vAlign w:val="center"/>
                </w:tcPr>
                <w:p w14:paraId="06899E4A">
                  <w:pPr>
                    <w:pStyle w:val="154"/>
                    <w:rPr>
                      <w:sz w:val="21"/>
                      <w:szCs w:val="21"/>
                    </w:rPr>
                  </w:pPr>
                </w:p>
              </w:tc>
              <w:tc>
                <w:tcPr>
                  <w:tcW w:w="148" w:type="pct"/>
                  <w:vMerge w:val="continue"/>
                  <w:tcBorders>
                    <w:bottom w:val="single" w:color="auto" w:sz="12" w:space="0"/>
                  </w:tcBorders>
                  <w:vAlign w:val="center"/>
                </w:tcPr>
                <w:p w14:paraId="4D3B9A30">
                  <w:pPr>
                    <w:pStyle w:val="154"/>
                    <w:rPr>
                      <w:sz w:val="21"/>
                      <w:szCs w:val="21"/>
                    </w:rPr>
                  </w:pPr>
                </w:p>
              </w:tc>
              <w:tc>
                <w:tcPr>
                  <w:tcW w:w="159" w:type="pct"/>
                  <w:vMerge w:val="continue"/>
                  <w:tcBorders>
                    <w:bottom w:val="single" w:color="auto" w:sz="12" w:space="0"/>
                  </w:tcBorders>
                  <w:vAlign w:val="center"/>
                </w:tcPr>
                <w:p w14:paraId="1F24ACC8">
                  <w:pPr>
                    <w:pStyle w:val="154"/>
                    <w:rPr>
                      <w:sz w:val="21"/>
                      <w:szCs w:val="21"/>
                    </w:rPr>
                  </w:pPr>
                </w:p>
              </w:tc>
              <w:tc>
                <w:tcPr>
                  <w:tcW w:w="159" w:type="pct"/>
                  <w:tcBorders>
                    <w:bottom w:val="single" w:color="auto" w:sz="12" w:space="0"/>
                  </w:tcBorders>
                  <w:vAlign w:val="center"/>
                </w:tcPr>
                <w:p w14:paraId="08F5B6C6">
                  <w:pPr>
                    <w:pStyle w:val="154"/>
                    <w:rPr>
                      <w:sz w:val="21"/>
                      <w:szCs w:val="21"/>
                    </w:rPr>
                  </w:pPr>
                  <w:r>
                    <w:rPr>
                      <w:sz w:val="21"/>
                      <w:szCs w:val="21"/>
                    </w:rPr>
                    <w:t>资源开发效率要求</w:t>
                  </w:r>
                </w:p>
              </w:tc>
              <w:tc>
                <w:tcPr>
                  <w:tcW w:w="1855" w:type="pct"/>
                  <w:tcBorders>
                    <w:bottom w:val="single" w:color="auto" w:sz="12" w:space="0"/>
                  </w:tcBorders>
                  <w:vAlign w:val="center"/>
                </w:tcPr>
                <w:p w14:paraId="45CB2558">
                  <w:pPr>
                    <w:pStyle w:val="154"/>
                    <w:jc w:val="left"/>
                    <w:rPr>
                      <w:sz w:val="21"/>
                      <w:szCs w:val="21"/>
                    </w:rPr>
                  </w:pPr>
                  <w:r>
                    <w:rPr>
                      <w:sz w:val="21"/>
                      <w:szCs w:val="21"/>
                    </w:rPr>
                    <w:t>1、入区新改扩建设项目的清洁生产水平应达到国内先进水平。</w:t>
                  </w:r>
                </w:p>
                <w:p w14:paraId="5DD6D933">
                  <w:pPr>
                    <w:pStyle w:val="154"/>
                    <w:jc w:val="left"/>
                    <w:rPr>
                      <w:sz w:val="21"/>
                      <w:szCs w:val="21"/>
                    </w:rPr>
                  </w:pPr>
                  <w:r>
                    <w:rPr>
                      <w:sz w:val="21"/>
                      <w:szCs w:val="21"/>
                    </w:rPr>
                    <w:t>2、入区项目在条件具备的情况下，应加大中水回用力度，建设再生水回用配套设施，提高再生水利用率。</w:t>
                  </w:r>
                </w:p>
              </w:tc>
              <w:tc>
                <w:tcPr>
                  <w:tcW w:w="1374" w:type="pct"/>
                  <w:tcBorders>
                    <w:bottom w:val="single" w:color="auto" w:sz="12" w:space="0"/>
                  </w:tcBorders>
                  <w:vAlign w:val="center"/>
                </w:tcPr>
                <w:p w14:paraId="00A566C2">
                  <w:pPr>
                    <w:pStyle w:val="154"/>
                    <w:jc w:val="left"/>
                    <w:rPr>
                      <w:sz w:val="21"/>
                      <w:szCs w:val="21"/>
                    </w:rPr>
                  </w:pPr>
                  <w:r>
                    <w:rPr>
                      <w:sz w:val="21"/>
                      <w:szCs w:val="21"/>
                    </w:rPr>
                    <w:t>1、本项目使用能源为电能，满足制鞋企业引领性企业要求。</w:t>
                  </w:r>
                </w:p>
                <w:p w14:paraId="071491F2">
                  <w:pPr>
                    <w:pStyle w:val="154"/>
                    <w:jc w:val="left"/>
                    <w:rPr>
                      <w:sz w:val="21"/>
                      <w:szCs w:val="21"/>
                    </w:rPr>
                  </w:pPr>
                  <w:r>
                    <w:rPr>
                      <w:sz w:val="21"/>
                      <w:szCs w:val="21"/>
                    </w:rPr>
                    <w:t>2、不涉及。</w:t>
                  </w:r>
                </w:p>
              </w:tc>
              <w:tc>
                <w:tcPr>
                  <w:tcW w:w="341" w:type="pct"/>
                  <w:tcBorders>
                    <w:bottom w:val="single" w:color="auto" w:sz="12" w:space="0"/>
                    <w:right w:val="single" w:color="auto" w:sz="12" w:space="0"/>
                  </w:tcBorders>
                  <w:vAlign w:val="center"/>
                </w:tcPr>
                <w:p w14:paraId="654D398B">
                  <w:pPr>
                    <w:pStyle w:val="154"/>
                  </w:pPr>
                  <w:r>
                    <w:t>/</w:t>
                  </w:r>
                </w:p>
              </w:tc>
            </w:tr>
          </w:tbl>
          <w:p w14:paraId="7B065AFB">
            <w:pPr>
              <w:spacing w:line="520" w:lineRule="exact"/>
              <w:ind w:firstLine="480" w:firstLineChars="200"/>
              <w:rPr>
                <w:rFonts w:ascii="Times New Roman" w:hAnsi="Times New Roman"/>
              </w:rPr>
            </w:pPr>
            <w:r>
              <w:rPr>
                <w:rFonts w:hint="eastAsia"/>
              </w:rPr>
              <w:t>④</w:t>
            </w:r>
            <w:r>
              <w:rPr>
                <w:rFonts w:ascii="Times New Roman" w:hAnsi="Times New Roman"/>
              </w:rPr>
              <w:t>水环境管控分区分析</w:t>
            </w:r>
          </w:p>
          <w:p w14:paraId="2B44F2F6">
            <w:pPr>
              <w:pStyle w:val="156"/>
              <w:ind w:firstLine="480"/>
              <w:rPr>
                <w:rFonts w:eastAsia="宋体" w:cs="Times New Roman"/>
              </w:rPr>
            </w:pPr>
            <w:r>
              <w:rPr>
                <w:rFonts w:hint="eastAsia" w:eastAsia="宋体" w:cs="Times New Roman"/>
              </w:rPr>
              <w:t>经比对，项目涉及1个河南省水环境管控分区，其中水环境优先保护区0个,工业污染重点管控区1个,城镇生活污染重点管控区0个,农业污染重点管控区0个,水环境一般管控区0个，详见下表。</w:t>
            </w:r>
          </w:p>
          <w:p w14:paraId="79370890">
            <w:pPr>
              <w:pStyle w:val="182"/>
              <w:ind w:firstLine="480"/>
            </w:pPr>
            <w:r>
              <w:t>表1-4                          项目涉及河南省水环境管控一览表</w:t>
            </w:r>
          </w:p>
          <w:tbl>
            <w:tblPr>
              <w:tblStyle w:val="8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34"/>
              <w:gridCol w:w="977"/>
              <w:gridCol w:w="843"/>
              <w:gridCol w:w="672"/>
              <w:gridCol w:w="672"/>
              <w:gridCol w:w="1017"/>
              <w:gridCol w:w="4483"/>
              <w:gridCol w:w="2596"/>
              <w:gridCol w:w="908"/>
            </w:tblGrid>
            <w:tr w14:paraId="4CA71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55" w:type="pct"/>
                  <w:vAlign w:val="center"/>
                </w:tcPr>
                <w:p w14:paraId="7AC52026">
                  <w:pPr>
                    <w:pStyle w:val="154"/>
                    <w:rPr>
                      <w:sz w:val="21"/>
                      <w:szCs w:val="21"/>
                    </w:rPr>
                  </w:pPr>
                  <w:r>
                    <w:rPr>
                      <w:sz w:val="21"/>
                      <w:szCs w:val="21"/>
                    </w:rPr>
                    <w:t>环境管控单元编码</w:t>
                  </w:r>
                </w:p>
              </w:tc>
              <w:tc>
                <w:tcPr>
                  <w:tcW w:w="349" w:type="pct"/>
                  <w:vAlign w:val="center"/>
                </w:tcPr>
                <w:p w14:paraId="479917A3">
                  <w:pPr>
                    <w:pStyle w:val="154"/>
                    <w:rPr>
                      <w:sz w:val="21"/>
                      <w:szCs w:val="21"/>
                    </w:rPr>
                  </w:pPr>
                  <w:r>
                    <w:rPr>
                      <w:sz w:val="21"/>
                      <w:szCs w:val="21"/>
                    </w:rPr>
                    <w:t>水环境管控分区名称</w:t>
                  </w:r>
                </w:p>
              </w:tc>
              <w:tc>
                <w:tcPr>
                  <w:tcW w:w="301" w:type="pct"/>
                  <w:vAlign w:val="center"/>
                </w:tcPr>
                <w:p w14:paraId="64849583">
                  <w:pPr>
                    <w:pStyle w:val="154"/>
                    <w:rPr>
                      <w:sz w:val="21"/>
                      <w:szCs w:val="21"/>
                    </w:rPr>
                  </w:pPr>
                  <w:r>
                    <w:rPr>
                      <w:sz w:val="21"/>
                      <w:szCs w:val="21"/>
                    </w:rPr>
                    <w:t>管控分类</w:t>
                  </w:r>
                </w:p>
              </w:tc>
              <w:tc>
                <w:tcPr>
                  <w:tcW w:w="240" w:type="pct"/>
                  <w:vAlign w:val="center"/>
                </w:tcPr>
                <w:p w14:paraId="20360D98">
                  <w:pPr>
                    <w:pStyle w:val="154"/>
                    <w:rPr>
                      <w:sz w:val="21"/>
                      <w:szCs w:val="21"/>
                    </w:rPr>
                  </w:pPr>
                  <w:r>
                    <w:rPr>
                      <w:sz w:val="21"/>
                      <w:szCs w:val="21"/>
                    </w:rPr>
                    <w:t>市</w:t>
                  </w:r>
                </w:p>
              </w:tc>
              <w:tc>
                <w:tcPr>
                  <w:tcW w:w="240" w:type="pct"/>
                  <w:vAlign w:val="center"/>
                </w:tcPr>
                <w:p w14:paraId="5A9FE3C8">
                  <w:pPr>
                    <w:pStyle w:val="154"/>
                    <w:rPr>
                      <w:sz w:val="21"/>
                      <w:szCs w:val="21"/>
                    </w:rPr>
                  </w:pPr>
                  <w:r>
                    <w:rPr>
                      <w:sz w:val="21"/>
                      <w:szCs w:val="21"/>
                    </w:rPr>
                    <w:t>区县</w:t>
                  </w:r>
                </w:p>
              </w:tc>
              <w:tc>
                <w:tcPr>
                  <w:tcW w:w="1963" w:type="pct"/>
                  <w:gridSpan w:val="2"/>
                  <w:vAlign w:val="center"/>
                </w:tcPr>
                <w:p w14:paraId="58DB18A5">
                  <w:pPr>
                    <w:pStyle w:val="154"/>
                    <w:rPr>
                      <w:sz w:val="21"/>
                      <w:szCs w:val="21"/>
                    </w:rPr>
                  </w:pPr>
                  <w:r>
                    <w:rPr>
                      <w:sz w:val="21"/>
                      <w:szCs w:val="21"/>
                    </w:rPr>
                    <w:t>管控要求</w:t>
                  </w:r>
                </w:p>
              </w:tc>
              <w:tc>
                <w:tcPr>
                  <w:tcW w:w="927" w:type="pct"/>
                  <w:vAlign w:val="center"/>
                </w:tcPr>
                <w:p w14:paraId="14E44464">
                  <w:pPr>
                    <w:pStyle w:val="154"/>
                    <w:rPr>
                      <w:sz w:val="21"/>
                      <w:szCs w:val="21"/>
                    </w:rPr>
                  </w:pPr>
                  <w:r>
                    <w:rPr>
                      <w:sz w:val="21"/>
                      <w:szCs w:val="21"/>
                    </w:rPr>
                    <w:t>本项目情况</w:t>
                  </w:r>
                </w:p>
              </w:tc>
              <w:tc>
                <w:tcPr>
                  <w:tcW w:w="326" w:type="pct"/>
                  <w:vAlign w:val="center"/>
                </w:tcPr>
                <w:p w14:paraId="2629CBC4">
                  <w:pPr>
                    <w:pStyle w:val="154"/>
                    <w:rPr>
                      <w:sz w:val="21"/>
                      <w:szCs w:val="21"/>
                    </w:rPr>
                  </w:pPr>
                  <w:r>
                    <w:rPr>
                      <w:sz w:val="21"/>
                      <w:szCs w:val="21"/>
                    </w:rPr>
                    <w:t>相符性</w:t>
                  </w:r>
                </w:p>
              </w:tc>
            </w:tr>
            <w:tr w14:paraId="2B43A2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55" w:type="pct"/>
                  <w:vMerge w:val="restart"/>
                  <w:vAlign w:val="center"/>
                </w:tcPr>
                <w:p w14:paraId="4016DF2D">
                  <w:pPr>
                    <w:pStyle w:val="154"/>
                    <w:rPr>
                      <w:sz w:val="21"/>
                      <w:szCs w:val="21"/>
                    </w:rPr>
                  </w:pPr>
                  <w:r>
                    <w:rPr>
                      <w:sz w:val="21"/>
                      <w:szCs w:val="21"/>
                    </w:rPr>
                    <w:t>YS4103</w:t>
                  </w:r>
                </w:p>
                <w:p w14:paraId="6E39E1E1">
                  <w:pPr>
                    <w:pStyle w:val="154"/>
                    <w:rPr>
                      <w:sz w:val="21"/>
                      <w:szCs w:val="21"/>
                    </w:rPr>
                  </w:pPr>
                  <w:r>
                    <w:rPr>
                      <w:sz w:val="21"/>
                      <w:szCs w:val="21"/>
                    </w:rPr>
                    <w:t>072210292</w:t>
                  </w:r>
                </w:p>
              </w:tc>
              <w:tc>
                <w:tcPr>
                  <w:tcW w:w="349" w:type="pct"/>
                  <w:vMerge w:val="restart"/>
                  <w:vAlign w:val="center"/>
                </w:tcPr>
                <w:p w14:paraId="1CFB61AE">
                  <w:pPr>
                    <w:pStyle w:val="154"/>
                    <w:rPr>
                      <w:sz w:val="21"/>
                      <w:szCs w:val="21"/>
                    </w:rPr>
                  </w:pPr>
                  <w:r>
                    <w:rPr>
                      <w:sz w:val="21"/>
                      <w:szCs w:val="21"/>
                    </w:rPr>
                    <w:t>洛阳偃师区先进制造业开发区</w:t>
                  </w:r>
                </w:p>
              </w:tc>
              <w:tc>
                <w:tcPr>
                  <w:tcW w:w="301" w:type="pct"/>
                  <w:vMerge w:val="restart"/>
                  <w:vAlign w:val="center"/>
                </w:tcPr>
                <w:p w14:paraId="3073B170">
                  <w:pPr>
                    <w:pStyle w:val="154"/>
                    <w:rPr>
                      <w:sz w:val="21"/>
                      <w:szCs w:val="21"/>
                    </w:rPr>
                  </w:pPr>
                  <w:r>
                    <w:rPr>
                      <w:sz w:val="21"/>
                      <w:szCs w:val="21"/>
                    </w:rPr>
                    <w:t>重点</w:t>
                  </w:r>
                </w:p>
              </w:tc>
              <w:tc>
                <w:tcPr>
                  <w:tcW w:w="240" w:type="pct"/>
                  <w:vMerge w:val="restart"/>
                  <w:vAlign w:val="center"/>
                </w:tcPr>
                <w:p w14:paraId="195885B6">
                  <w:pPr>
                    <w:pStyle w:val="154"/>
                    <w:rPr>
                      <w:sz w:val="21"/>
                      <w:szCs w:val="21"/>
                    </w:rPr>
                  </w:pPr>
                  <w:r>
                    <w:rPr>
                      <w:sz w:val="21"/>
                      <w:szCs w:val="21"/>
                    </w:rPr>
                    <w:t>洛阳市</w:t>
                  </w:r>
                </w:p>
              </w:tc>
              <w:tc>
                <w:tcPr>
                  <w:tcW w:w="240" w:type="pct"/>
                  <w:vMerge w:val="restart"/>
                  <w:vAlign w:val="center"/>
                </w:tcPr>
                <w:p w14:paraId="509BA86C">
                  <w:pPr>
                    <w:pStyle w:val="154"/>
                    <w:rPr>
                      <w:sz w:val="21"/>
                      <w:szCs w:val="21"/>
                    </w:rPr>
                  </w:pPr>
                  <w:r>
                    <w:rPr>
                      <w:sz w:val="21"/>
                      <w:szCs w:val="21"/>
                    </w:rPr>
                    <w:t>偃师区</w:t>
                  </w:r>
                </w:p>
              </w:tc>
              <w:tc>
                <w:tcPr>
                  <w:tcW w:w="363" w:type="pct"/>
                  <w:vAlign w:val="center"/>
                </w:tcPr>
                <w:p w14:paraId="0E7B9F5B">
                  <w:pPr>
                    <w:pStyle w:val="154"/>
                    <w:rPr>
                      <w:sz w:val="21"/>
                      <w:szCs w:val="21"/>
                    </w:rPr>
                  </w:pPr>
                  <w:r>
                    <w:rPr>
                      <w:sz w:val="21"/>
                      <w:szCs w:val="21"/>
                    </w:rPr>
                    <w:t>空间布局约束</w:t>
                  </w:r>
                </w:p>
              </w:tc>
              <w:tc>
                <w:tcPr>
                  <w:tcW w:w="1601" w:type="pct"/>
                  <w:vAlign w:val="center"/>
                </w:tcPr>
                <w:p w14:paraId="4BDC707E">
                  <w:pPr>
                    <w:pStyle w:val="154"/>
                    <w:jc w:val="left"/>
                    <w:rPr>
                      <w:sz w:val="21"/>
                      <w:szCs w:val="21"/>
                    </w:rPr>
                  </w:pPr>
                  <w:r>
                    <w:rPr>
                      <w:sz w:val="21"/>
                      <w:szCs w:val="21"/>
                    </w:rPr>
                    <w:t>禁止不符合开发区规划或规划环评的项目入驻。</w:t>
                  </w:r>
                </w:p>
              </w:tc>
              <w:tc>
                <w:tcPr>
                  <w:tcW w:w="927" w:type="pct"/>
                  <w:vAlign w:val="center"/>
                </w:tcPr>
                <w:p w14:paraId="5D7DD2B7">
                  <w:pPr>
                    <w:pStyle w:val="154"/>
                    <w:jc w:val="left"/>
                    <w:rPr>
                      <w:sz w:val="21"/>
                      <w:szCs w:val="21"/>
                    </w:rPr>
                  </w:pPr>
                  <w:r>
                    <w:rPr>
                      <w:sz w:val="21"/>
                      <w:szCs w:val="21"/>
                    </w:rPr>
                    <w:t>本项目为制鞋项目，位于偃师区先进制造业开发区，符合园区规划要求。</w:t>
                  </w:r>
                </w:p>
              </w:tc>
              <w:tc>
                <w:tcPr>
                  <w:tcW w:w="326" w:type="pct"/>
                  <w:vAlign w:val="center"/>
                </w:tcPr>
                <w:p w14:paraId="0268E5D2">
                  <w:pPr>
                    <w:pStyle w:val="154"/>
                    <w:rPr>
                      <w:sz w:val="21"/>
                      <w:szCs w:val="21"/>
                    </w:rPr>
                  </w:pPr>
                  <w:r>
                    <w:rPr>
                      <w:sz w:val="21"/>
                      <w:szCs w:val="21"/>
                    </w:rPr>
                    <w:t>相符</w:t>
                  </w:r>
                </w:p>
              </w:tc>
            </w:tr>
            <w:tr w14:paraId="5A6824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55" w:type="pct"/>
                  <w:vMerge w:val="continue"/>
                  <w:vAlign w:val="center"/>
                </w:tcPr>
                <w:p w14:paraId="51A7FC90">
                  <w:pPr>
                    <w:pStyle w:val="154"/>
                    <w:rPr>
                      <w:sz w:val="21"/>
                      <w:szCs w:val="21"/>
                    </w:rPr>
                  </w:pPr>
                </w:p>
              </w:tc>
              <w:tc>
                <w:tcPr>
                  <w:tcW w:w="349" w:type="pct"/>
                  <w:vMerge w:val="continue"/>
                  <w:vAlign w:val="center"/>
                </w:tcPr>
                <w:p w14:paraId="0DD17032">
                  <w:pPr>
                    <w:pStyle w:val="154"/>
                    <w:rPr>
                      <w:sz w:val="21"/>
                      <w:szCs w:val="21"/>
                    </w:rPr>
                  </w:pPr>
                </w:p>
              </w:tc>
              <w:tc>
                <w:tcPr>
                  <w:tcW w:w="301" w:type="pct"/>
                  <w:vMerge w:val="continue"/>
                  <w:vAlign w:val="center"/>
                </w:tcPr>
                <w:p w14:paraId="64DC136F">
                  <w:pPr>
                    <w:pStyle w:val="154"/>
                    <w:rPr>
                      <w:sz w:val="21"/>
                      <w:szCs w:val="21"/>
                    </w:rPr>
                  </w:pPr>
                </w:p>
              </w:tc>
              <w:tc>
                <w:tcPr>
                  <w:tcW w:w="240" w:type="pct"/>
                  <w:vMerge w:val="continue"/>
                  <w:vAlign w:val="center"/>
                </w:tcPr>
                <w:p w14:paraId="1A1B0698">
                  <w:pPr>
                    <w:pStyle w:val="154"/>
                    <w:rPr>
                      <w:sz w:val="21"/>
                      <w:szCs w:val="21"/>
                    </w:rPr>
                  </w:pPr>
                </w:p>
              </w:tc>
              <w:tc>
                <w:tcPr>
                  <w:tcW w:w="240" w:type="pct"/>
                  <w:vMerge w:val="continue"/>
                  <w:vAlign w:val="center"/>
                </w:tcPr>
                <w:p w14:paraId="3B9DC4DB">
                  <w:pPr>
                    <w:pStyle w:val="154"/>
                    <w:rPr>
                      <w:sz w:val="21"/>
                      <w:szCs w:val="21"/>
                    </w:rPr>
                  </w:pPr>
                </w:p>
              </w:tc>
              <w:tc>
                <w:tcPr>
                  <w:tcW w:w="363" w:type="pct"/>
                  <w:vAlign w:val="center"/>
                </w:tcPr>
                <w:p w14:paraId="40D6318A">
                  <w:pPr>
                    <w:pStyle w:val="154"/>
                    <w:rPr>
                      <w:sz w:val="21"/>
                      <w:szCs w:val="21"/>
                    </w:rPr>
                  </w:pPr>
                  <w:r>
                    <w:rPr>
                      <w:sz w:val="21"/>
                      <w:szCs w:val="21"/>
                    </w:rPr>
                    <w:t>污染物排放管控</w:t>
                  </w:r>
                </w:p>
              </w:tc>
              <w:tc>
                <w:tcPr>
                  <w:tcW w:w="1601" w:type="pct"/>
                  <w:vAlign w:val="center"/>
                </w:tcPr>
                <w:p w14:paraId="29C11C32">
                  <w:pPr>
                    <w:pStyle w:val="154"/>
                    <w:jc w:val="left"/>
                    <w:rPr>
                      <w:sz w:val="21"/>
                      <w:szCs w:val="21"/>
                    </w:rPr>
                  </w:pPr>
                  <w:r>
                    <w:rPr>
                      <w:sz w:val="21"/>
                      <w:szCs w:val="21"/>
                    </w:rPr>
                    <w:t>入驻开发区企业废水排放应满足污水处理厂纳管标准，需通过污水管网排入集中污水处理厂处理，出水执行《河南省黄河流域水污染物排放标准》(DB41/2087-2021)中的相关标准；生产废水不得直排外环境。</w:t>
                  </w:r>
                </w:p>
              </w:tc>
              <w:tc>
                <w:tcPr>
                  <w:tcW w:w="927" w:type="pct"/>
                  <w:vAlign w:val="center"/>
                </w:tcPr>
                <w:p w14:paraId="76BFC2D8">
                  <w:pPr>
                    <w:pStyle w:val="154"/>
                    <w:jc w:val="left"/>
                    <w:rPr>
                      <w:sz w:val="21"/>
                      <w:szCs w:val="21"/>
                    </w:rPr>
                  </w:pPr>
                  <w:r>
                    <w:rPr>
                      <w:sz w:val="21"/>
                      <w:szCs w:val="21"/>
                    </w:rPr>
                    <w:t>本项目循环冷却水每日补充损耗水量，循环使用，不排放。生活污水依托厂区化粪池处理后，经市政管网排入洛阳市中州渠人工湿地处理。</w:t>
                  </w:r>
                </w:p>
              </w:tc>
              <w:tc>
                <w:tcPr>
                  <w:tcW w:w="326" w:type="pct"/>
                  <w:vAlign w:val="center"/>
                </w:tcPr>
                <w:p w14:paraId="0277A110">
                  <w:pPr>
                    <w:pStyle w:val="154"/>
                    <w:rPr>
                      <w:sz w:val="21"/>
                      <w:szCs w:val="21"/>
                    </w:rPr>
                  </w:pPr>
                  <w:r>
                    <w:rPr>
                      <w:sz w:val="21"/>
                      <w:szCs w:val="21"/>
                    </w:rPr>
                    <w:t>相符</w:t>
                  </w:r>
                </w:p>
              </w:tc>
            </w:tr>
            <w:tr w14:paraId="3F1429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55" w:type="pct"/>
                  <w:vMerge w:val="continue"/>
                  <w:vAlign w:val="center"/>
                </w:tcPr>
                <w:p w14:paraId="73EF17AA">
                  <w:pPr>
                    <w:pStyle w:val="154"/>
                    <w:rPr>
                      <w:sz w:val="21"/>
                      <w:szCs w:val="21"/>
                    </w:rPr>
                  </w:pPr>
                </w:p>
              </w:tc>
              <w:tc>
                <w:tcPr>
                  <w:tcW w:w="349" w:type="pct"/>
                  <w:vMerge w:val="continue"/>
                  <w:vAlign w:val="center"/>
                </w:tcPr>
                <w:p w14:paraId="111238AF">
                  <w:pPr>
                    <w:pStyle w:val="154"/>
                    <w:rPr>
                      <w:sz w:val="21"/>
                      <w:szCs w:val="21"/>
                    </w:rPr>
                  </w:pPr>
                </w:p>
              </w:tc>
              <w:tc>
                <w:tcPr>
                  <w:tcW w:w="301" w:type="pct"/>
                  <w:vMerge w:val="continue"/>
                  <w:vAlign w:val="center"/>
                </w:tcPr>
                <w:p w14:paraId="173C1A12">
                  <w:pPr>
                    <w:pStyle w:val="154"/>
                    <w:rPr>
                      <w:sz w:val="21"/>
                      <w:szCs w:val="21"/>
                    </w:rPr>
                  </w:pPr>
                </w:p>
              </w:tc>
              <w:tc>
                <w:tcPr>
                  <w:tcW w:w="240" w:type="pct"/>
                  <w:vMerge w:val="continue"/>
                  <w:vAlign w:val="center"/>
                </w:tcPr>
                <w:p w14:paraId="276D7AB7">
                  <w:pPr>
                    <w:pStyle w:val="154"/>
                    <w:rPr>
                      <w:sz w:val="21"/>
                      <w:szCs w:val="21"/>
                    </w:rPr>
                  </w:pPr>
                </w:p>
              </w:tc>
              <w:tc>
                <w:tcPr>
                  <w:tcW w:w="240" w:type="pct"/>
                  <w:vMerge w:val="continue"/>
                  <w:vAlign w:val="center"/>
                </w:tcPr>
                <w:p w14:paraId="6801DCF3">
                  <w:pPr>
                    <w:pStyle w:val="154"/>
                    <w:rPr>
                      <w:sz w:val="21"/>
                      <w:szCs w:val="21"/>
                    </w:rPr>
                  </w:pPr>
                </w:p>
              </w:tc>
              <w:tc>
                <w:tcPr>
                  <w:tcW w:w="363" w:type="pct"/>
                  <w:vAlign w:val="center"/>
                </w:tcPr>
                <w:p w14:paraId="08FF1B47">
                  <w:pPr>
                    <w:pStyle w:val="154"/>
                    <w:rPr>
                      <w:sz w:val="21"/>
                      <w:szCs w:val="21"/>
                    </w:rPr>
                  </w:pPr>
                  <w:r>
                    <w:rPr>
                      <w:sz w:val="21"/>
                      <w:szCs w:val="21"/>
                    </w:rPr>
                    <w:t>环境风险管控</w:t>
                  </w:r>
                </w:p>
              </w:tc>
              <w:tc>
                <w:tcPr>
                  <w:tcW w:w="1601" w:type="pct"/>
                  <w:vAlign w:val="center"/>
                </w:tcPr>
                <w:p w14:paraId="0C7751A8">
                  <w:pPr>
                    <w:pStyle w:val="154"/>
                    <w:jc w:val="left"/>
                    <w:rPr>
                      <w:sz w:val="21"/>
                      <w:szCs w:val="21"/>
                    </w:rPr>
                  </w:pPr>
                  <w:r>
                    <w:rPr>
                      <w:sz w:val="21"/>
                      <w:szCs w:val="21"/>
                    </w:rPr>
                    <w:t>1.加强开发区环境安全管理工作，严格危险化学品管理，减少环境风险。</w:t>
                  </w:r>
                </w:p>
                <w:p w14:paraId="73259F95">
                  <w:pPr>
                    <w:pStyle w:val="154"/>
                    <w:jc w:val="left"/>
                    <w:rPr>
                      <w:sz w:val="21"/>
                      <w:szCs w:val="21"/>
                    </w:rPr>
                  </w:pPr>
                  <w:r>
                    <w:rPr>
                      <w:sz w:val="21"/>
                      <w:szCs w:val="21"/>
                    </w:rPr>
                    <w:t>2.建立开发区风险防范体系以及风险防范应急预案；基础设施和企业内部生产运营管理中，认真落实环境风险防范措施，减少环境风险事故发生。</w:t>
                  </w:r>
                </w:p>
                <w:p w14:paraId="07331F33">
                  <w:pPr>
                    <w:pStyle w:val="154"/>
                    <w:jc w:val="left"/>
                    <w:rPr>
                      <w:sz w:val="21"/>
                      <w:szCs w:val="21"/>
                    </w:rPr>
                  </w:pPr>
                  <w:r>
                    <w:rPr>
                      <w:sz w:val="21"/>
                      <w:szCs w:val="21"/>
                    </w:rPr>
                    <w:t>3</w:t>
                  </w:r>
                  <w:r>
                    <w:rPr>
                      <w:rFonts w:hint="eastAsia"/>
                      <w:sz w:val="21"/>
                      <w:szCs w:val="21"/>
                    </w:rPr>
                    <w:t>.</w:t>
                  </w:r>
                  <w:r>
                    <w:rPr>
                      <w:sz w:val="21"/>
                      <w:szCs w:val="21"/>
                    </w:rPr>
                    <w:t>做好事故废水的风险管控联动，防止事故废水排入雨水管网或未经处理直接进入地表水体。</w:t>
                  </w:r>
                </w:p>
              </w:tc>
              <w:tc>
                <w:tcPr>
                  <w:tcW w:w="927" w:type="pct"/>
                  <w:vAlign w:val="center"/>
                </w:tcPr>
                <w:p w14:paraId="602D8D49">
                  <w:pPr>
                    <w:pStyle w:val="154"/>
                    <w:jc w:val="left"/>
                    <w:rPr>
                      <w:sz w:val="21"/>
                      <w:szCs w:val="21"/>
                    </w:rPr>
                  </w:pPr>
                  <w:r>
                    <w:rPr>
                      <w:sz w:val="21"/>
                      <w:szCs w:val="21"/>
                    </w:rPr>
                    <w:t>1、不涉及</w:t>
                  </w:r>
                  <w:r>
                    <w:rPr>
                      <w:rFonts w:hint="eastAsia"/>
                      <w:sz w:val="21"/>
                      <w:szCs w:val="21"/>
                    </w:rPr>
                    <w:t>。</w:t>
                  </w:r>
                </w:p>
                <w:p w14:paraId="01E03B69">
                  <w:pPr>
                    <w:pStyle w:val="154"/>
                    <w:jc w:val="left"/>
                    <w:rPr>
                      <w:sz w:val="21"/>
                      <w:szCs w:val="21"/>
                    </w:rPr>
                  </w:pPr>
                  <w:r>
                    <w:rPr>
                      <w:sz w:val="21"/>
                      <w:szCs w:val="21"/>
                    </w:rPr>
                    <w:t>2、按要求建立风险防范体系以及风险应急预案。</w:t>
                  </w:r>
                </w:p>
                <w:p w14:paraId="48A49F91">
                  <w:pPr>
                    <w:pStyle w:val="154"/>
                    <w:jc w:val="left"/>
                    <w:rPr>
                      <w:sz w:val="21"/>
                      <w:szCs w:val="21"/>
                    </w:rPr>
                  </w:pPr>
                  <w:r>
                    <w:rPr>
                      <w:sz w:val="21"/>
                      <w:szCs w:val="21"/>
                    </w:rPr>
                    <w:t>3、不涉及</w:t>
                  </w:r>
                  <w:r>
                    <w:rPr>
                      <w:rFonts w:hint="eastAsia"/>
                      <w:sz w:val="21"/>
                      <w:szCs w:val="21"/>
                    </w:rPr>
                    <w:t>。</w:t>
                  </w:r>
                </w:p>
              </w:tc>
              <w:tc>
                <w:tcPr>
                  <w:tcW w:w="326" w:type="pct"/>
                  <w:vAlign w:val="center"/>
                </w:tcPr>
                <w:p w14:paraId="0DA1682C">
                  <w:pPr>
                    <w:pStyle w:val="154"/>
                    <w:rPr>
                      <w:sz w:val="21"/>
                      <w:szCs w:val="21"/>
                    </w:rPr>
                  </w:pPr>
                  <w:r>
                    <w:rPr>
                      <w:sz w:val="21"/>
                      <w:szCs w:val="21"/>
                    </w:rPr>
                    <w:t>相符</w:t>
                  </w:r>
                </w:p>
              </w:tc>
            </w:tr>
            <w:tr w14:paraId="3F9CE1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55" w:type="pct"/>
                  <w:vMerge w:val="continue"/>
                  <w:vAlign w:val="center"/>
                </w:tcPr>
                <w:p w14:paraId="40D8083F">
                  <w:pPr>
                    <w:pStyle w:val="154"/>
                    <w:rPr>
                      <w:sz w:val="21"/>
                      <w:szCs w:val="21"/>
                    </w:rPr>
                  </w:pPr>
                </w:p>
              </w:tc>
              <w:tc>
                <w:tcPr>
                  <w:tcW w:w="349" w:type="pct"/>
                  <w:vMerge w:val="continue"/>
                  <w:vAlign w:val="center"/>
                </w:tcPr>
                <w:p w14:paraId="6D629A43">
                  <w:pPr>
                    <w:pStyle w:val="154"/>
                    <w:rPr>
                      <w:sz w:val="21"/>
                      <w:szCs w:val="21"/>
                    </w:rPr>
                  </w:pPr>
                </w:p>
              </w:tc>
              <w:tc>
                <w:tcPr>
                  <w:tcW w:w="301" w:type="pct"/>
                  <w:vMerge w:val="continue"/>
                  <w:vAlign w:val="center"/>
                </w:tcPr>
                <w:p w14:paraId="5BE4C9DB">
                  <w:pPr>
                    <w:pStyle w:val="154"/>
                    <w:rPr>
                      <w:sz w:val="21"/>
                      <w:szCs w:val="21"/>
                    </w:rPr>
                  </w:pPr>
                </w:p>
              </w:tc>
              <w:tc>
                <w:tcPr>
                  <w:tcW w:w="240" w:type="pct"/>
                  <w:vMerge w:val="continue"/>
                  <w:vAlign w:val="center"/>
                </w:tcPr>
                <w:p w14:paraId="399851A7">
                  <w:pPr>
                    <w:pStyle w:val="154"/>
                    <w:rPr>
                      <w:sz w:val="21"/>
                      <w:szCs w:val="21"/>
                    </w:rPr>
                  </w:pPr>
                </w:p>
              </w:tc>
              <w:tc>
                <w:tcPr>
                  <w:tcW w:w="240" w:type="pct"/>
                  <w:vMerge w:val="continue"/>
                  <w:vAlign w:val="center"/>
                </w:tcPr>
                <w:p w14:paraId="0D9FE98A">
                  <w:pPr>
                    <w:pStyle w:val="154"/>
                    <w:rPr>
                      <w:sz w:val="21"/>
                      <w:szCs w:val="21"/>
                    </w:rPr>
                  </w:pPr>
                </w:p>
              </w:tc>
              <w:tc>
                <w:tcPr>
                  <w:tcW w:w="363" w:type="pct"/>
                  <w:vAlign w:val="center"/>
                </w:tcPr>
                <w:p w14:paraId="142BE35A">
                  <w:pPr>
                    <w:pStyle w:val="154"/>
                    <w:rPr>
                      <w:sz w:val="21"/>
                      <w:szCs w:val="21"/>
                    </w:rPr>
                  </w:pPr>
                  <w:r>
                    <w:rPr>
                      <w:sz w:val="21"/>
                      <w:szCs w:val="21"/>
                    </w:rPr>
                    <w:t>资源开发效率要求</w:t>
                  </w:r>
                </w:p>
              </w:tc>
              <w:tc>
                <w:tcPr>
                  <w:tcW w:w="1601" w:type="pct"/>
                  <w:vAlign w:val="center"/>
                </w:tcPr>
                <w:p w14:paraId="4D7A7301">
                  <w:pPr>
                    <w:pStyle w:val="154"/>
                    <w:jc w:val="left"/>
                    <w:rPr>
                      <w:sz w:val="21"/>
                      <w:szCs w:val="21"/>
                    </w:rPr>
                  </w:pPr>
                  <w:r>
                    <w:rPr>
                      <w:sz w:val="21"/>
                      <w:szCs w:val="21"/>
                    </w:rPr>
                    <w:t>入区项目在条件具备的情况下，应加大中水回用力度，建设再生水回用配套设施，提高再生水利用率。</w:t>
                  </w:r>
                </w:p>
              </w:tc>
              <w:tc>
                <w:tcPr>
                  <w:tcW w:w="927" w:type="pct"/>
                  <w:vAlign w:val="center"/>
                </w:tcPr>
                <w:p w14:paraId="37A01DBD">
                  <w:pPr>
                    <w:pStyle w:val="154"/>
                    <w:jc w:val="left"/>
                    <w:rPr>
                      <w:sz w:val="21"/>
                      <w:szCs w:val="21"/>
                    </w:rPr>
                  </w:pPr>
                  <w:r>
                    <w:rPr>
                      <w:sz w:val="21"/>
                      <w:szCs w:val="21"/>
                    </w:rPr>
                    <w:t>本项目循环冷却水每日补充损耗水量，循环使用，不排放。生活污水</w:t>
                  </w:r>
                  <w:r>
                    <w:rPr>
                      <w:rFonts w:hint="eastAsia"/>
                      <w:sz w:val="21"/>
                      <w:szCs w:val="21"/>
                    </w:rPr>
                    <w:t>经</w:t>
                  </w:r>
                  <w:r>
                    <w:rPr>
                      <w:sz w:val="21"/>
                      <w:szCs w:val="21"/>
                    </w:rPr>
                    <w:t>厂区化粪池处理后，经市政管网排入洛阳市中州渠人工湿地处理。</w:t>
                  </w:r>
                </w:p>
              </w:tc>
              <w:tc>
                <w:tcPr>
                  <w:tcW w:w="326" w:type="pct"/>
                  <w:vAlign w:val="center"/>
                </w:tcPr>
                <w:p w14:paraId="3B000107">
                  <w:pPr>
                    <w:pStyle w:val="154"/>
                    <w:rPr>
                      <w:sz w:val="21"/>
                      <w:szCs w:val="21"/>
                    </w:rPr>
                  </w:pPr>
                  <w:r>
                    <w:rPr>
                      <w:sz w:val="21"/>
                      <w:szCs w:val="21"/>
                    </w:rPr>
                    <w:t>相符</w:t>
                  </w:r>
                </w:p>
              </w:tc>
            </w:tr>
          </w:tbl>
          <w:p w14:paraId="1BDD89FD">
            <w:pPr>
              <w:spacing w:line="520" w:lineRule="exact"/>
              <w:ind w:firstLine="480" w:firstLineChars="200"/>
              <w:rPr>
                <w:rFonts w:ascii="Times New Roman" w:hAnsi="Times New Roman"/>
              </w:rPr>
            </w:pPr>
            <w:r>
              <w:rPr>
                <w:rFonts w:hint="eastAsia"/>
              </w:rPr>
              <w:t>⑤</w:t>
            </w:r>
            <w:r>
              <w:rPr>
                <w:rFonts w:ascii="Times New Roman" w:hAnsi="Times New Roman"/>
              </w:rPr>
              <w:t>大气环境管控分区分析</w:t>
            </w:r>
          </w:p>
          <w:p w14:paraId="0AB46DF3">
            <w:pPr>
              <w:autoSpaceDE w:val="0"/>
              <w:autoSpaceDN w:val="0"/>
              <w:adjustRightInd w:val="0"/>
              <w:spacing w:line="520" w:lineRule="exact"/>
              <w:ind w:firstLine="480" w:firstLineChars="200"/>
              <w:rPr>
                <w:rFonts w:ascii="Times New Roman" w:hAnsi="Times New Roman"/>
              </w:rPr>
            </w:pPr>
            <w:r>
              <w:rPr>
                <w:rFonts w:hint="eastAsia" w:ascii="Times New Roman" w:hAnsi="Times New Roman"/>
              </w:rPr>
              <w:t>经比对，项目涉及</w:t>
            </w:r>
            <w:r>
              <w:rPr>
                <w:rFonts w:ascii="Times New Roman" w:hAnsi="Times New Roman"/>
              </w:rPr>
              <w:t>1</w:t>
            </w:r>
            <w:r>
              <w:rPr>
                <w:rFonts w:hint="eastAsia" w:ascii="Times New Roman" w:hAnsi="Times New Roman"/>
              </w:rPr>
              <w:t>个河南省大气环境管控分区，其中大气环境优先保护区</w:t>
            </w:r>
            <w:r>
              <w:rPr>
                <w:rFonts w:ascii="Times New Roman" w:hAnsi="Times New Roman"/>
              </w:rPr>
              <w:t>0</w:t>
            </w:r>
            <w:r>
              <w:rPr>
                <w:rFonts w:hint="eastAsia" w:ascii="Times New Roman" w:hAnsi="Times New Roman"/>
              </w:rPr>
              <w:t>个</w:t>
            </w:r>
            <w:r>
              <w:rPr>
                <w:rFonts w:ascii="Times New Roman" w:hAnsi="Times New Roman"/>
              </w:rPr>
              <w:t>,</w:t>
            </w:r>
            <w:r>
              <w:rPr>
                <w:rFonts w:hint="eastAsia" w:ascii="Times New Roman" w:hAnsi="Times New Roman"/>
              </w:rPr>
              <w:t>高排放重点管控区</w:t>
            </w:r>
            <w:r>
              <w:rPr>
                <w:rFonts w:ascii="Times New Roman" w:hAnsi="Times New Roman"/>
              </w:rPr>
              <w:t>1</w:t>
            </w:r>
            <w:r>
              <w:rPr>
                <w:rFonts w:hint="eastAsia" w:ascii="Times New Roman" w:hAnsi="Times New Roman"/>
              </w:rPr>
              <w:t>个</w:t>
            </w:r>
            <w:r>
              <w:rPr>
                <w:rFonts w:ascii="Times New Roman" w:hAnsi="Times New Roman"/>
              </w:rPr>
              <w:t>,</w:t>
            </w:r>
            <w:r>
              <w:rPr>
                <w:rFonts w:hint="eastAsia" w:ascii="Times New Roman" w:hAnsi="Times New Roman"/>
              </w:rPr>
              <w:t>布局敏感重点管控区</w:t>
            </w:r>
            <w:r>
              <w:rPr>
                <w:rFonts w:ascii="Times New Roman" w:hAnsi="Times New Roman"/>
              </w:rPr>
              <w:t>0</w:t>
            </w:r>
            <w:r>
              <w:rPr>
                <w:rFonts w:hint="eastAsia" w:ascii="Times New Roman" w:hAnsi="Times New Roman"/>
              </w:rPr>
              <w:t>个</w:t>
            </w:r>
            <w:r>
              <w:rPr>
                <w:rFonts w:ascii="Times New Roman" w:hAnsi="Times New Roman"/>
              </w:rPr>
              <w:t>,</w:t>
            </w:r>
            <w:r>
              <w:rPr>
                <w:rFonts w:hint="eastAsia" w:ascii="Times New Roman" w:hAnsi="Times New Roman"/>
              </w:rPr>
              <w:t>弱扩散重点管控区</w:t>
            </w:r>
            <w:r>
              <w:rPr>
                <w:rFonts w:ascii="Times New Roman" w:hAnsi="Times New Roman"/>
              </w:rPr>
              <w:t>0</w:t>
            </w:r>
            <w:r>
              <w:rPr>
                <w:rFonts w:hint="eastAsia" w:ascii="Times New Roman" w:hAnsi="Times New Roman"/>
              </w:rPr>
              <w:t>个</w:t>
            </w:r>
            <w:r>
              <w:rPr>
                <w:rFonts w:ascii="Times New Roman" w:hAnsi="Times New Roman"/>
              </w:rPr>
              <w:t>,</w:t>
            </w:r>
            <w:r>
              <w:rPr>
                <w:rFonts w:hint="eastAsia" w:ascii="Times New Roman" w:hAnsi="Times New Roman"/>
              </w:rPr>
              <w:t>受体敏感重点管控区</w:t>
            </w:r>
            <w:r>
              <w:rPr>
                <w:rFonts w:ascii="Times New Roman" w:hAnsi="Times New Roman"/>
              </w:rPr>
              <w:t>0</w:t>
            </w:r>
            <w:r>
              <w:rPr>
                <w:rFonts w:hint="eastAsia" w:ascii="Times New Roman" w:hAnsi="Times New Roman"/>
              </w:rPr>
              <w:t>个</w:t>
            </w:r>
            <w:r>
              <w:rPr>
                <w:rFonts w:ascii="Times New Roman" w:hAnsi="Times New Roman"/>
              </w:rPr>
              <w:t>,</w:t>
            </w:r>
            <w:r>
              <w:rPr>
                <w:rFonts w:hint="eastAsia" w:ascii="Times New Roman" w:hAnsi="Times New Roman"/>
              </w:rPr>
              <w:t>大气环境一般管控区</w:t>
            </w:r>
            <w:r>
              <w:rPr>
                <w:rFonts w:ascii="Times New Roman" w:hAnsi="Times New Roman"/>
              </w:rPr>
              <w:t>0</w:t>
            </w:r>
            <w:r>
              <w:rPr>
                <w:rFonts w:hint="eastAsia" w:ascii="Times New Roman" w:hAnsi="Times New Roman"/>
              </w:rPr>
              <w:t>个，详见下表。</w:t>
            </w:r>
          </w:p>
          <w:p w14:paraId="6EEC8088">
            <w:pPr>
              <w:pStyle w:val="182"/>
              <w:ind w:firstLine="480"/>
              <w:rPr>
                <w:rFonts w:cs="宋体"/>
                <w:sz w:val="28"/>
                <w:szCs w:val="28"/>
              </w:rPr>
            </w:pPr>
            <w:r>
              <w:t>表1-5                          项目涉及河南省大气环境管控一览表</w:t>
            </w:r>
          </w:p>
          <w:tbl>
            <w:tblPr>
              <w:tblStyle w:val="8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31"/>
              <w:gridCol w:w="1322"/>
              <w:gridCol w:w="849"/>
              <w:gridCol w:w="672"/>
              <w:gridCol w:w="672"/>
              <w:gridCol w:w="1193"/>
              <w:gridCol w:w="4511"/>
              <w:gridCol w:w="1994"/>
              <w:gridCol w:w="958"/>
            </w:tblGrid>
            <w:tr w14:paraId="1825FB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54" w:type="pct"/>
                  <w:vAlign w:val="center"/>
                </w:tcPr>
                <w:p w14:paraId="0D92FF8C">
                  <w:pPr>
                    <w:pStyle w:val="154"/>
                    <w:rPr>
                      <w:sz w:val="21"/>
                      <w:szCs w:val="21"/>
                    </w:rPr>
                  </w:pPr>
                  <w:r>
                    <w:rPr>
                      <w:sz w:val="21"/>
                      <w:szCs w:val="21"/>
                    </w:rPr>
                    <w:t>环境管控单元编码</w:t>
                  </w:r>
                </w:p>
              </w:tc>
              <w:tc>
                <w:tcPr>
                  <w:tcW w:w="472" w:type="pct"/>
                  <w:vAlign w:val="center"/>
                </w:tcPr>
                <w:p w14:paraId="57E0E6F0">
                  <w:pPr>
                    <w:pStyle w:val="154"/>
                    <w:rPr>
                      <w:sz w:val="21"/>
                      <w:szCs w:val="21"/>
                    </w:rPr>
                  </w:pPr>
                  <w:r>
                    <w:rPr>
                      <w:sz w:val="21"/>
                      <w:szCs w:val="21"/>
                    </w:rPr>
                    <w:t>大气环境管控分区名称</w:t>
                  </w:r>
                </w:p>
              </w:tc>
              <w:tc>
                <w:tcPr>
                  <w:tcW w:w="303" w:type="pct"/>
                  <w:vAlign w:val="center"/>
                </w:tcPr>
                <w:p w14:paraId="099F711F">
                  <w:pPr>
                    <w:pStyle w:val="154"/>
                    <w:rPr>
                      <w:sz w:val="21"/>
                      <w:szCs w:val="21"/>
                    </w:rPr>
                  </w:pPr>
                  <w:r>
                    <w:rPr>
                      <w:sz w:val="21"/>
                      <w:szCs w:val="21"/>
                    </w:rPr>
                    <w:t>管控分类</w:t>
                  </w:r>
                </w:p>
              </w:tc>
              <w:tc>
                <w:tcPr>
                  <w:tcW w:w="240" w:type="pct"/>
                  <w:vAlign w:val="center"/>
                </w:tcPr>
                <w:p w14:paraId="76395F46">
                  <w:pPr>
                    <w:pStyle w:val="154"/>
                    <w:rPr>
                      <w:sz w:val="21"/>
                      <w:szCs w:val="21"/>
                    </w:rPr>
                  </w:pPr>
                  <w:r>
                    <w:rPr>
                      <w:sz w:val="21"/>
                      <w:szCs w:val="21"/>
                    </w:rPr>
                    <w:t>市</w:t>
                  </w:r>
                </w:p>
              </w:tc>
              <w:tc>
                <w:tcPr>
                  <w:tcW w:w="240" w:type="pct"/>
                  <w:vAlign w:val="center"/>
                </w:tcPr>
                <w:p w14:paraId="191732F1">
                  <w:pPr>
                    <w:pStyle w:val="154"/>
                    <w:rPr>
                      <w:sz w:val="21"/>
                      <w:szCs w:val="21"/>
                    </w:rPr>
                  </w:pPr>
                  <w:r>
                    <w:rPr>
                      <w:sz w:val="21"/>
                      <w:szCs w:val="21"/>
                    </w:rPr>
                    <w:t>区县</w:t>
                  </w:r>
                </w:p>
              </w:tc>
              <w:tc>
                <w:tcPr>
                  <w:tcW w:w="2037" w:type="pct"/>
                  <w:gridSpan w:val="2"/>
                  <w:vAlign w:val="center"/>
                </w:tcPr>
                <w:p w14:paraId="50E55118">
                  <w:pPr>
                    <w:pStyle w:val="154"/>
                    <w:rPr>
                      <w:sz w:val="21"/>
                      <w:szCs w:val="21"/>
                    </w:rPr>
                  </w:pPr>
                  <w:r>
                    <w:rPr>
                      <w:sz w:val="21"/>
                      <w:szCs w:val="21"/>
                    </w:rPr>
                    <w:t>管控要求</w:t>
                  </w:r>
                </w:p>
              </w:tc>
              <w:tc>
                <w:tcPr>
                  <w:tcW w:w="712" w:type="pct"/>
                  <w:vAlign w:val="center"/>
                </w:tcPr>
                <w:p w14:paraId="771F4428">
                  <w:pPr>
                    <w:pStyle w:val="154"/>
                    <w:rPr>
                      <w:sz w:val="21"/>
                      <w:szCs w:val="21"/>
                    </w:rPr>
                  </w:pPr>
                  <w:r>
                    <w:rPr>
                      <w:sz w:val="21"/>
                      <w:szCs w:val="21"/>
                    </w:rPr>
                    <w:t>本项目情况</w:t>
                  </w:r>
                </w:p>
              </w:tc>
              <w:tc>
                <w:tcPr>
                  <w:tcW w:w="343" w:type="pct"/>
                  <w:vAlign w:val="center"/>
                </w:tcPr>
                <w:p w14:paraId="395C96AA">
                  <w:pPr>
                    <w:pStyle w:val="154"/>
                    <w:rPr>
                      <w:sz w:val="21"/>
                      <w:szCs w:val="21"/>
                    </w:rPr>
                  </w:pPr>
                  <w:r>
                    <w:rPr>
                      <w:sz w:val="21"/>
                      <w:szCs w:val="21"/>
                    </w:rPr>
                    <w:t>相符性</w:t>
                  </w:r>
                </w:p>
              </w:tc>
            </w:tr>
            <w:tr w14:paraId="233B6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atLeast"/>
              </w:trPr>
              <w:tc>
                <w:tcPr>
                  <w:tcW w:w="654" w:type="pct"/>
                  <w:vMerge w:val="restart"/>
                  <w:vAlign w:val="center"/>
                </w:tcPr>
                <w:p w14:paraId="09F6FEBA">
                  <w:pPr>
                    <w:pStyle w:val="154"/>
                    <w:rPr>
                      <w:b/>
                      <w:bCs/>
                      <w:sz w:val="21"/>
                      <w:szCs w:val="21"/>
                    </w:rPr>
                  </w:pPr>
                  <w:r>
                    <w:rPr>
                      <w:sz w:val="21"/>
                      <w:szCs w:val="21"/>
                    </w:rPr>
                    <w:t>YS4103</w:t>
                  </w:r>
                </w:p>
                <w:p w14:paraId="315F7040">
                  <w:pPr>
                    <w:pStyle w:val="154"/>
                    <w:rPr>
                      <w:b/>
                      <w:bCs/>
                      <w:sz w:val="21"/>
                      <w:szCs w:val="21"/>
                    </w:rPr>
                  </w:pPr>
                  <w:r>
                    <w:rPr>
                      <w:sz w:val="21"/>
                      <w:szCs w:val="21"/>
                    </w:rPr>
                    <w:t>72310003</w:t>
                  </w:r>
                </w:p>
              </w:tc>
              <w:tc>
                <w:tcPr>
                  <w:tcW w:w="472" w:type="pct"/>
                  <w:vMerge w:val="restart"/>
                  <w:vAlign w:val="center"/>
                </w:tcPr>
                <w:p w14:paraId="50033507">
                  <w:pPr>
                    <w:pStyle w:val="154"/>
                    <w:rPr>
                      <w:b/>
                      <w:bCs/>
                      <w:sz w:val="21"/>
                      <w:szCs w:val="21"/>
                    </w:rPr>
                  </w:pPr>
                  <w:r>
                    <w:rPr>
                      <w:sz w:val="21"/>
                      <w:szCs w:val="21"/>
                    </w:rPr>
                    <w:t>洛阳偃师区先进制造业开发区</w:t>
                  </w:r>
                </w:p>
              </w:tc>
              <w:tc>
                <w:tcPr>
                  <w:tcW w:w="303" w:type="pct"/>
                  <w:vMerge w:val="restart"/>
                  <w:vAlign w:val="center"/>
                </w:tcPr>
                <w:p w14:paraId="2FD893E8">
                  <w:pPr>
                    <w:pStyle w:val="154"/>
                    <w:rPr>
                      <w:b/>
                      <w:bCs/>
                      <w:sz w:val="21"/>
                      <w:szCs w:val="21"/>
                    </w:rPr>
                  </w:pPr>
                  <w:r>
                    <w:rPr>
                      <w:sz w:val="21"/>
                      <w:szCs w:val="21"/>
                    </w:rPr>
                    <w:t>重点</w:t>
                  </w:r>
                </w:p>
              </w:tc>
              <w:tc>
                <w:tcPr>
                  <w:tcW w:w="240" w:type="pct"/>
                  <w:vMerge w:val="restart"/>
                  <w:vAlign w:val="center"/>
                </w:tcPr>
                <w:p w14:paraId="2714B8F1">
                  <w:pPr>
                    <w:pStyle w:val="154"/>
                    <w:rPr>
                      <w:b/>
                      <w:bCs/>
                      <w:sz w:val="21"/>
                      <w:szCs w:val="21"/>
                    </w:rPr>
                  </w:pPr>
                  <w:r>
                    <w:rPr>
                      <w:sz w:val="21"/>
                      <w:szCs w:val="21"/>
                    </w:rPr>
                    <w:t>洛阳市</w:t>
                  </w:r>
                </w:p>
              </w:tc>
              <w:tc>
                <w:tcPr>
                  <w:tcW w:w="240" w:type="pct"/>
                  <w:vMerge w:val="restart"/>
                  <w:vAlign w:val="center"/>
                </w:tcPr>
                <w:p w14:paraId="7539C1CD">
                  <w:pPr>
                    <w:pStyle w:val="154"/>
                    <w:rPr>
                      <w:b/>
                      <w:bCs/>
                      <w:sz w:val="21"/>
                      <w:szCs w:val="21"/>
                    </w:rPr>
                  </w:pPr>
                  <w:r>
                    <w:rPr>
                      <w:sz w:val="21"/>
                      <w:szCs w:val="21"/>
                    </w:rPr>
                    <w:t>偃师区</w:t>
                  </w:r>
                </w:p>
              </w:tc>
              <w:tc>
                <w:tcPr>
                  <w:tcW w:w="426" w:type="pct"/>
                  <w:vAlign w:val="center"/>
                </w:tcPr>
                <w:p w14:paraId="047A0D89">
                  <w:pPr>
                    <w:pStyle w:val="154"/>
                    <w:rPr>
                      <w:b/>
                      <w:bCs/>
                      <w:sz w:val="21"/>
                      <w:szCs w:val="21"/>
                    </w:rPr>
                  </w:pPr>
                  <w:r>
                    <w:rPr>
                      <w:sz w:val="21"/>
                      <w:szCs w:val="21"/>
                    </w:rPr>
                    <w:t>空间布局约束</w:t>
                  </w:r>
                </w:p>
              </w:tc>
              <w:tc>
                <w:tcPr>
                  <w:tcW w:w="1611" w:type="pct"/>
                  <w:vAlign w:val="center"/>
                </w:tcPr>
                <w:p w14:paraId="7ABC87BA">
                  <w:pPr>
                    <w:pStyle w:val="154"/>
                    <w:jc w:val="left"/>
                    <w:rPr>
                      <w:b/>
                      <w:bCs/>
                      <w:sz w:val="21"/>
                      <w:szCs w:val="21"/>
                    </w:rPr>
                  </w:pPr>
                  <w:r>
                    <w:rPr>
                      <w:sz w:val="21"/>
                      <w:szCs w:val="21"/>
                    </w:rPr>
                    <w:t>入驻项目应符合园区规划或规划环评的要求。重点发展节能环保装备制造、新能源、新材料(含化工)等产业，建设高新技术示范基地和科技成果转化示范区。禁止《产业结构调整指导目录》淘汰类项目入驻。禁止新建燃煤、重油及高污染燃料的锅炉项目，锅炉应采用清洁能源。在开发区实现集中供热之后，在保障各企业工业用蒸汽的等级、压力及用汽的连续性的基础上，原则上不再新增分散式燃气锅炉项目。新建、改建、扩建</w:t>
                  </w:r>
                  <w:r>
                    <w:rPr>
                      <w:rFonts w:asciiTheme="minorEastAsia" w:hAnsiTheme="minorEastAsia"/>
                      <w:sz w:val="21"/>
                      <w:szCs w:val="21"/>
                    </w:rPr>
                    <w:t>“</w:t>
                  </w:r>
                  <w:r>
                    <w:rPr>
                      <w:sz w:val="21"/>
                      <w:szCs w:val="21"/>
                    </w:rPr>
                    <w:t>两高</w:t>
                  </w:r>
                  <w:r>
                    <w:rPr>
                      <w:rFonts w:hint="eastAsia"/>
                      <w:sz w:val="21"/>
                      <w:szCs w:val="21"/>
                    </w:rPr>
                    <w:t>”</w:t>
                  </w:r>
                  <w:r>
                    <w:rPr>
                      <w:sz w:val="21"/>
                      <w:szCs w:val="21"/>
                    </w:rPr>
                    <w:t>项目应采用先进的工艺技术和装备，符合国家、省、市</w:t>
                  </w:r>
                  <w:r>
                    <w:rPr>
                      <w:rFonts w:asciiTheme="minorEastAsia" w:hAnsiTheme="minorEastAsia"/>
                      <w:sz w:val="21"/>
                      <w:szCs w:val="21"/>
                    </w:rPr>
                    <w:t>“</w:t>
                  </w:r>
                  <w:r>
                    <w:rPr>
                      <w:sz w:val="21"/>
                      <w:szCs w:val="21"/>
                    </w:rPr>
                    <w:t>两高</w:t>
                  </w:r>
                  <w:r>
                    <w:rPr>
                      <w:rFonts w:hint="eastAsia"/>
                      <w:sz w:val="21"/>
                      <w:szCs w:val="21"/>
                    </w:rPr>
                    <w:t>”</w:t>
                  </w:r>
                  <w:r>
                    <w:rPr>
                      <w:sz w:val="21"/>
                      <w:szCs w:val="21"/>
                    </w:rPr>
                    <w:t>项目相关管理要求。</w:t>
                  </w:r>
                </w:p>
              </w:tc>
              <w:tc>
                <w:tcPr>
                  <w:tcW w:w="712" w:type="pct"/>
                  <w:vAlign w:val="center"/>
                </w:tcPr>
                <w:p w14:paraId="03023C39">
                  <w:pPr>
                    <w:pStyle w:val="154"/>
                    <w:jc w:val="left"/>
                    <w:rPr>
                      <w:b/>
                      <w:bCs/>
                      <w:sz w:val="21"/>
                      <w:szCs w:val="21"/>
                    </w:rPr>
                  </w:pPr>
                  <w:r>
                    <w:rPr>
                      <w:sz w:val="21"/>
                      <w:szCs w:val="21"/>
                    </w:rPr>
                    <w:t>本项目主要能源为电能，根据关于印发《河南省</w:t>
                  </w:r>
                  <w:r>
                    <w:rPr>
                      <w:rFonts w:hint="eastAsia"/>
                      <w:sz w:val="21"/>
                      <w:szCs w:val="21"/>
                    </w:rPr>
                    <w:t>“</w:t>
                  </w:r>
                  <w:r>
                    <w:rPr>
                      <w:sz w:val="21"/>
                      <w:szCs w:val="21"/>
                    </w:rPr>
                    <w:t>两高</w:t>
                  </w:r>
                  <w:r>
                    <w:rPr>
                      <w:rFonts w:hint="eastAsia"/>
                      <w:sz w:val="21"/>
                      <w:szCs w:val="21"/>
                    </w:rPr>
                    <w:t>”</w:t>
                  </w:r>
                  <w:r>
                    <w:rPr>
                      <w:sz w:val="21"/>
                      <w:szCs w:val="21"/>
                    </w:rPr>
                    <w:t>项目管理目录》（2023年修订）的通知（豫发改环资</w:t>
                  </w:r>
                  <w:r>
                    <w:rPr>
                      <w:rFonts w:hint="eastAsia"/>
                      <w:sz w:val="21"/>
                      <w:szCs w:val="21"/>
                    </w:rPr>
                    <w:t>〔</w:t>
                  </w:r>
                  <w:r>
                    <w:rPr>
                      <w:sz w:val="21"/>
                      <w:szCs w:val="21"/>
                    </w:rPr>
                    <w:t>2023</w:t>
                  </w:r>
                  <w:r>
                    <w:rPr>
                      <w:rFonts w:hint="eastAsia"/>
                      <w:sz w:val="21"/>
                      <w:szCs w:val="21"/>
                    </w:rPr>
                    <w:t>〕</w:t>
                  </w:r>
                  <w:r>
                    <w:rPr>
                      <w:sz w:val="21"/>
                      <w:szCs w:val="21"/>
                    </w:rPr>
                    <w:t>38号文）本项目不属于“两高”项目。</w:t>
                  </w:r>
                </w:p>
              </w:tc>
              <w:tc>
                <w:tcPr>
                  <w:tcW w:w="343" w:type="pct"/>
                  <w:vAlign w:val="center"/>
                </w:tcPr>
                <w:p w14:paraId="3F800CB4">
                  <w:pPr>
                    <w:pStyle w:val="154"/>
                    <w:rPr>
                      <w:sz w:val="21"/>
                      <w:szCs w:val="21"/>
                    </w:rPr>
                  </w:pPr>
                  <w:r>
                    <w:rPr>
                      <w:sz w:val="21"/>
                      <w:szCs w:val="21"/>
                    </w:rPr>
                    <w:t>相符</w:t>
                  </w:r>
                </w:p>
              </w:tc>
            </w:tr>
            <w:tr w14:paraId="2DAB66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79" w:hRule="atLeast"/>
              </w:trPr>
              <w:tc>
                <w:tcPr>
                  <w:tcW w:w="654" w:type="pct"/>
                  <w:vMerge w:val="continue"/>
                  <w:vAlign w:val="center"/>
                </w:tcPr>
                <w:p w14:paraId="377D2E16">
                  <w:pPr>
                    <w:pStyle w:val="154"/>
                    <w:rPr>
                      <w:rFonts w:eastAsia="宋体"/>
                      <w:b/>
                      <w:bCs/>
                      <w:kern w:val="44"/>
                      <w:sz w:val="21"/>
                      <w:szCs w:val="21"/>
                    </w:rPr>
                  </w:pPr>
                </w:p>
              </w:tc>
              <w:tc>
                <w:tcPr>
                  <w:tcW w:w="472" w:type="pct"/>
                  <w:vMerge w:val="continue"/>
                  <w:vAlign w:val="center"/>
                </w:tcPr>
                <w:p w14:paraId="06FBB5EE">
                  <w:pPr>
                    <w:pStyle w:val="154"/>
                    <w:rPr>
                      <w:rFonts w:eastAsia="宋体"/>
                      <w:b/>
                      <w:bCs/>
                      <w:kern w:val="44"/>
                      <w:sz w:val="21"/>
                      <w:szCs w:val="21"/>
                    </w:rPr>
                  </w:pPr>
                </w:p>
              </w:tc>
              <w:tc>
                <w:tcPr>
                  <w:tcW w:w="303" w:type="pct"/>
                  <w:vMerge w:val="continue"/>
                  <w:vAlign w:val="center"/>
                </w:tcPr>
                <w:p w14:paraId="130D62B3">
                  <w:pPr>
                    <w:pStyle w:val="154"/>
                    <w:rPr>
                      <w:rFonts w:eastAsia="宋体"/>
                      <w:b/>
                      <w:bCs/>
                      <w:kern w:val="44"/>
                      <w:sz w:val="21"/>
                      <w:szCs w:val="21"/>
                    </w:rPr>
                  </w:pPr>
                </w:p>
              </w:tc>
              <w:tc>
                <w:tcPr>
                  <w:tcW w:w="240" w:type="pct"/>
                  <w:vMerge w:val="continue"/>
                  <w:vAlign w:val="center"/>
                </w:tcPr>
                <w:p w14:paraId="5B11C90A">
                  <w:pPr>
                    <w:pStyle w:val="154"/>
                    <w:rPr>
                      <w:rFonts w:eastAsia="宋体"/>
                      <w:b/>
                      <w:bCs/>
                      <w:kern w:val="44"/>
                      <w:sz w:val="21"/>
                      <w:szCs w:val="21"/>
                    </w:rPr>
                  </w:pPr>
                </w:p>
              </w:tc>
              <w:tc>
                <w:tcPr>
                  <w:tcW w:w="240" w:type="pct"/>
                  <w:vMerge w:val="continue"/>
                  <w:vAlign w:val="center"/>
                </w:tcPr>
                <w:p w14:paraId="55DBD1DA">
                  <w:pPr>
                    <w:pStyle w:val="154"/>
                    <w:rPr>
                      <w:rFonts w:eastAsia="宋体"/>
                      <w:b/>
                      <w:bCs/>
                      <w:kern w:val="44"/>
                      <w:sz w:val="21"/>
                      <w:szCs w:val="21"/>
                    </w:rPr>
                  </w:pPr>
                </w:p>
              </w:tc>
              <w:tc>
                <w:tcPr>
                  <w:tcW w:w="426" w:type="pct"/>
                  <w:vAlign w:val="center"/>
                </w:tcPr>
                <w:p w14:paraId="4FB995FC">
                  <w:pPr>
                    <w:pStyle w:val="154"/>
                    <w:rPr>
                      <w:sz w:val="21"/>
                      <w:szCs w:val="21"/>
                    </w:rPr>
                  </w:pPr>
                  <w:r>
                    <w:rPr>
                      <w:sz w:val="21"/>
                      <w:szCs w:val="21"/>
                    </w:rPr>
                    <w:t>污染物排放管控</w:t>
                  </w:r>
                </w:p>
              </w:tc>
              <w:tc>
                <w:tcPr>
                  <w:tcW w:w="1611" w:type="pct"/>
                  <w:vAlign w:val="center"/>
                </w:tcPr>
                <w:p w14:paraId="2F050022">
                  <w:pPr>
                    <w:pStyle w:val="154"/>
                    <w:jc w:val="left"/>
                    <w:rPr>
                      <w:sz w:val="21"/>
                      <w:szCs w:val="21"/>
                    </w:rPr>
                  </w:pPr>
                  <w:r>
                    <w:rPr>
                      <w:sz w:val="21"/>
                      <w:szCs w:val="21"/>
                    </w:rPr>
                    <w:t>1、严格执行污染物排放总量控制制度，区内现有企业改扩建工程应做到</w:t>
                  </w:r>
                  <w:r>
                    <w:rPr>
                      <w:rFonts w:asciiTheme="minorEastAsia" w:hAnsiTheme="minorEastAsia"/>
                      <w:sz w:val="21"/>
                      <w:szCs w:val="21"/>
                    </w:rPr>
                    <w:t>“</w:t>
                  </w:r>
                  <w:r>
                    <w:rPr>
                      <w:sz w:val="21"/>
                      <w:szCs w:val="21"/>
                    </w:rPr>
                    <w:t>增产不增污</w:t>
                  </w:r>
                  <w:r>
                    <w:rPr>
                      <w:rFonts w:hint="eastAsia"/>
                      <w:sz w:val="21"/>
                      <w:szCs w:val="21"/>
                    </w:rPr>
                    <w:t>”</w:t>
                  </w:r>
                  <w:r>
                    <w:rPr>
                      <w:sz w:val="21"/>
                      <w:szCs w:val="21"/>
                    </w:rPr>
                    <w:t>，新建项目应实现区域</w:t>
                  </w:r>
                  <w:r>
                    <w:rPr>
                      <w:rFonts w:asciiTheme="minorEastAsia" w:hAnsiTheme="minorEastAsia"/>
                      <w:sz w:val="21"/>
                      <w:szCs w:val="21"/>
                    </w:rPr>
                    <w:t>“</w:t>
                  </w:r>
                  <w:r>
                    <w:rPr>
                      <w:sz w:val="21"/>
                      <w:szCs w:val="21"/>
                    </w:rPr>
                    <w:t>增产减污</w:t>
                  </w:r>
                  <w:r>
                    <w:rPr>
                      <w:rFonts w:hint="eastAsia"/>
                      <w:sz w:val="21"/>
                      <w:szCs w:val="21"/>
                    </w:rPr>
                    <w:t>”</w:t>
                  </w:r>
                  <w:r>
                    <w:rPr>
                      <w:sz w:val="21"/>
                      <w:szCs w:val="21"/>
                    </w:rPr>
                    <w:t>，采取集中供热、集中供气、调整能源结构等措施，严格控制大气污染物的排放。</w:t>
                  </w:r>
                </w:p>
              </w:tc>
              <w:tc>
                <w:tcPr>
                  <w:tcW w:w="712" w:type="pct"/>
                  <w:vAlign w:val="center"/>
                </w:tcPr>
                <w:p w14:paraId="7BAF9B28">
                  <w:pPr>
                    <w:pStyle w:val="154"/>
                    <w:jc w:val="left"/>
                    <w:rPr>
                      <w:sz w:val="21"/>
                      <w:szCs w:val="21"/>
                    </w:rPr>
                  </w:pPr>
                  <w:r>
                    <w:rPr>
                      <w:sz w:val="21"/>
                      <w:szCs w:val="21"/>
                    </w:rPr>
                    <w:t>本项目为制鞋业</w:t>
                  </w:r>
                  <w:r>
                    <w:rPr>
                      <w:rFonts w:hint="eastAsia"/>
                      <w:sz w:val="21"/>
                      <w:szCs w:val="21"/>
                    </w:rPr>
                    <w:t>，</w:t>
                  </w:r>
                  <w:r>
                    <w:rPr>
                      <w:sz w:val="21"/>
                      <w:szCs w:val="21"/>
                    </w:rPr>
                    <w:t>项目严格执行污染物排放总量控度。</w:t>
                  </w:r>
                </w:p>
              </w:tc>
              <w:tc>
                <w:tcPr>
                  <w:tcW w:w="343" w:type="pct"/>
                  <w:vAlign w:val="center"/>
                </w:tcPr>
                <w:p w14:paraId="1297C85B">
                  <w:pPr>
                    <w:pStyle w:val="154"/>
                    <w:rPr>
                      <w:sz w:val="21"/>
                      <w:szCs w:val="21"/>
                    </w:rPr>
                  </w:pPr>
                  <w:r>
                    <w:rPr>
                      <w:sz w:val="21"/>
                      <w:szCs w:val="21"/>
                    </w:rPr>
                    <w:t>/</w:t>
                  </w:r>
                </w:p>
              </w:tc>
            </w:tr>
            <w:tr w14:paraId="62EF86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79" w:hRule="atLeast"/>
              </w:trPr>
              <w:tc>
                <w:tcPr>
                  <w:tcW w:w="654" w:type="pct"/>
                  <w:vMerge w:val="continue"/>
                  <w:vAlign w:val="center"/>
                </w:tcPr>
                <w:p w14:paraId="304FF5B1">
                  <w:pPr>
                    <w:pStyle w:val="154"/>
                    <w:rPr>
                      <w:rFonts w:eastAsia="宋体"/>
                      <w:b/>
                      <w:bCs/>
                      <w:kern w:val="44"/>
                      <w:sz w:val="21"/>
                      <w:szCs w:val="21"/>
                    </w:rPr>
                  </w:pPr>
                </w:p>
              </w:tc>
              <w:tc>
                <w:tcPr>
                  <w:tcW w:w="472" w:type="pct"/>
                  <w:vMerge w:val="continue"/>
                  <w:vAlign w:val="center"/>
                </w:tcPr>
                <w:p w14:paraId="16FB61FE">
                  <w:pPr>
                    <w:pStyle w:val="154"/>
                    <w:rPr>
                      <w:rFonts w:eastAsia="宋体"/>
                      <w:b/>
                      <w:bCs/>
                      <w:kern w:val="44"/>
                      <w:sz w:val="21"/>
                      <w:szCs w:val="21"/>
                    </w:rPr>
                  </w:pPr>
                </w:p>
              </w:tc>
              <w:tc>
                <w:tcPr>
                  <w:tcW w:w="303" w:type="pct"/>
                  <w:vMerge w:val="continue"/>
                  <w:vAlign w:val="center"/>
                </w:tcPr>
                <w:p w14:paraId="06BE5A25">
                  <w:pPr>
                    <w:pStyle w:val="154"/>
                    <w:rPr>
                      <w:rFonts w:eastAsia="宋体"/>
                      <w:b/>
                      <w:bCs/>
                      <w:kern w:val="44"/>
                      <w:sz w:val="21"/>
                      <w:szCs w:val="21"/>
                    </w:rPr>
                  </w:pPr>
                </w:p>
              </w:tc>
              <w:tc>
                <w:tcPr>
                  <w:tcW w:w="240" w:type="pct"/>
                  <w:vMerge w:val="continue"/>
                  <w:vAlign w:val="center"/>
                </w:tcPr>
                <w:p w14:paraId="334230C9">
                  <w:pPr>
                    <w:pStyle w:val="154"/>
                    <w:rPr>
                      <w:rFonts w:eastAsia="宋体"/>
                      <w:b/>
                      <w:bCs/>
                      <w:kern w:val="44"/>
                      <w:sz w:val="21"/>
                      <w:szCs w:val="21"/>
                    </w:rPr>
                  </w:pPr>
                </w:p>
              </w:tc>
              <w:tc>
                <w:tcPr>
                  <w:tcW w:w="240" w:type="pct"/>
                  <w:vMerge w:val="continue"/>
                  <w:vAlign w:val="center"/>
                </w:tcPr>
                <w:p w14:paraId="235F23CF">
                  <w:pPr>
                    <w:pStyle w:val="154"/>
                    <w:rPr>
                      <w:rFonts w:eastAsia="宋体"/>
                      <w:b/>
                      <w:bCs/>
                      <w:kern w:val="44"/>
                      <w:sz w:val="21"/>
                      <w:szCs w:val="21"/>
                    </w:rPr>
                  </w:pPr>
                </w:p>
              </w:tc>
              <w:tc>
                <w:tcPr>
                  <w:tcW w:w="426" w:type="pct"/>
                  <w:vAlign w:val="center"/>
                </w:tcPr>
                <w:p w14:paraId="16A93749">
                  <w:pPr>
                    <w:pStyle w:val="154"/>
                    <w:rPr>
                      <w:sz w:val="21"/>
                      <w:szCs w:val="21"/>
                    </w:rPr>
                  </w:pPr>
                  <w:r>
                    <w:rPr>
                      <w:sz w:val="21"/>
                      <w:szCs w:val="21"/>
                    </w:rPr>
                    <w:t>环境风险防控</w:t>
                  </w:r>
                </w:p>
              </w:tc>
              <w:tc>
                <w:tcPr>
                  <w:tcW w:w="1611" w:type="pct"/>
                  <w:vAlign w:val="center"/>
                </w:tcPr>
                <w:p w14:paraId="3B1B0481">
                  <w:pPr>
                    <w:pStyle w:val="154"/>
                    <w:jc w:val="left"/>
                    <w:rPr>
                      <w:sz w:val="21"/>
                      <w:szCs w:val="21"/>
                    </w:rPr>
                  </w:pPr>
                  <w:r>
                    <w:rPr>
                      <w:sz w:val="21"/>
                      <w:szCs w:val="21"/>
                    </w:rPr>
                    <w:t>1、加强集聚区环境安全管理工作，严格危险化学品管理，集聚区管理部门应制定完善的事故风险应急预案，建立风险防范体系，具备事故应急能力。企业内部应建立相应的事故风险防范体系，制定应急预案，认真落实环境风险防范措施，杜绝发生污染事故。</w:t>
                  </w:r>
                </w:p>
              </w:tc>
              <w:tc>
                <w:tcPr>
                  <w:tcW w:w="712" w:type="pct"/>
                  <w:vAlign w:val="center"/>
                </w:tcPr>
                <w:p w14:paraId="1DD95FF2">
                  <w:pPr>
                    <w:pStyle w:val="154"/>
                    <w:jc w:val="left"/>
                    <w:rPr>
                      <w:sz w:val="21"/>
                      <w:szCs w:val="21"/>
                    </w:rPr>
                  </w:pPr>
                  <w:r>
                    <w:rPr>
                      <w:sz w:val="21"/>
                      <w:szCs w:val="21"/>
                    </w:rPr>
                    <w:t>本项目按要求建立风险防范体系以及风险应急预案。</w:t>
                  </w:r>
                </w:p>
              </w:tc>
              <w:tc>
                <w:tcPr>
                  <w:tcW w:w="343" w:type="pct"/>
                  <w:vAlign w:val="center"/>
                </w:tcPr>
                <w:p w14:paraId="0D55DF94">
                  <w:pPr>
                    <w:pStyle w:val="154"/>
                    <w:rPr>
                      <w:sz w:val="21"/>
                      <w:szCs w:val="21"/>
                    </w:rPr>
                  </w:pPr>
                  <w:r>
                    <w:rPr>
                      <w:rFonts w:hint="eastAsia"/>
                      <w:sz w:val="21"/>
                      <w:szCs w:val="21"/>
                    </w:rPr>
                    <w:t>相符</w:t>
                  </w:r>
                </w:p>
              </w:tc>
            </w:tr>
            <w:tr w14:paraId="58294F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54" w:type="pct"/>
                  <w:vMerge w:val="continue"/>
                  <w:vAlign w:val="center"/>
                </w:tcPr>
                <w:p w14:paraId="02DF6C6C">
                  <w:pPr>
                    <w:pStyle w:val="154"/>
                    <w:rPr>
                      <w:rFonts w:eastAsia="宋体"/>
                      <w:b/>
                      <w:bCs/>
                      <w:kern w:val="44"/>
                      <w:sz w:val="21"/>
                      <w:szCs w:val="21"/>
                    </w:rPr>
                  </w:pPr>
                </w:p>
              </w:tc>
              <w:tc>
                <w:tcPr>
                  <w:tcW w:w="472" w:type="pct"/>
                  <w:vMerge w:val="continue"/>
                  <w:vAlign w:val="center"/>
                </w:tcPr>
                <w:p w14:paraId="43BFC58B">
                  <w:pPr>
                    <w:pStyle w:val="154"/>
                    <w:rPr>
                      <w:rFonts w:eastAsia="宋体"/>
                      <w:b/>
                      <w:bCs/>
                      <w:kern w:val="44"/>
                      <w:sz w:val="21"/>
                      <w:szCs w:val="21"/>
                    </w:rPr>
                  </w:pPr>
                </w:p>
              </w:tc>
              <w:tc>
                <w:tcPr>
                  <w:tcW w:w="303" w:type="pct"/>
                  <w:vMerge w:val="continue"/>
                  <w:vAlign w:val="center"/>
                </w:tcPr>
                <w:p w14:paraId="4890DC92">
                  <w:pPr>
                    <w:pStyle w:val="154"/>
                    <w:rPr>
                      <w:rFonts w:eastAsia="宋体"/>
                      <w:b/>
                      <w:bCs/>
                      <w:kern w:val="44"/>
                      <w:sz w:val="21"/>
                      <w:szCs w:val="21"/>
                    </w:rPr>
                  </w:pPr>
                </w:p>
              </w:tc>
              <w:tc>
                <w:tcPr>
                  <w:tcW w:w="240" w:type="pct"/>
                  <w:vMerge w:val="continue"/>
                  <w:vAlign w:val="center"/>
                </w:tcPr>
                <w:p w14:paraId="27EE6F75">
                  <w:pPr>
                    <w:pStyle w:val="154"/>
                    <w:rPr>
                      <w:rFonts w:eastAsia="宋体"/>
                      <w:b/>
                      <w:bCs/>
                      <w:kern w:val="44"/>
                      <w:sz w:val="21"/>
                      <w:szCs w:val="21"/>
                    </w:rPr>
                  </w:pPr>
                </w:p>
              </w:tc>
              <w:tc>
                <w:tcPr>
                  <w:tcW w:w="240" w:type="pct"/>
                  <w:vMerge w:val="continue"/>
                  <w:vAlign w:val="center"/>
                </w:tcPr>
                <w:p w14:paraId="60A68968">
                  <w:pPr>
                    <w:pStyle w:val="154"/>
                    <w:rPr>
                      <w:rFonts w:eastAsia="宋体"/>
                      <w:b/>
                      <w:bCs/>
                      <w:kern w:val="44"/>
                      <w:sz w:val="21"/>
                      <w:szCs w:val="21"/>
                    </w:rPr>
                  </w:pPr>
                </w:p>
              </w:tc>
              <w:tc>
                <w:tcPr>
                  <w:tcW w:w="426" w:type="pct"/>
                  <w:vAlign w:val="center"/>
                </w:tcPr>
                <w:p w14:paraId="33BF843C">
                  <w:pPr>
                    <w:pStyle w:val="154"/>
                    <w:rPr>
                      <w:sz w:val="21"/>
                      <w:szCs w:val="21"/>
                    </w:rPr>
                  </w:pPr>
                  <w:r>
                    <w:rPr>
                      <w:sz w:val="21"/>
                      <w:szCs w:val="21"/>
                    </w:rPr>
                    <w:t>资源开发效率要求</w:t>
                  </w:r>
                </w:p>
              </w:tc>
              <w:tc>
                <w:tcPr>
                  <w:tcW w:w="1611" w:type="pct"/>
                  <w:vAlign w:val="center"/>
                </w:tcPr>
                <w:p w14:paraId="340D7A2D">
                  <w:pPr>
                    <w:pStyle w:val="154"/>
                    <w:jc w:val="left"/>
                    <w:rPr>
                      <w:sz w:val="21"/>
                      <w:szCs w:val="21"/>
                    </w:rPr>
                  </w:pPr>
                  <w:r>
                    <w:rPr>
                      <w:sz w:val="21"/>
                      <w:szCs w:val="21"/>
                    </w:rPr>
                    <w:t>1、集聚区实施集中供热、供气，以区域热源</w:t>
                  </w:r>
                </w:p>
                <w:p w14:paraId="360DEC5F">
                  <w:pPr>
                    <w:pStyle w:val="154"/>
                    <w:jc w:val="left"/>
                    <w:rPr>
                      <w:sz w:val="21"/>
                      <w:szCs w:val="21"/>
                    </w:rPr>
                  </w:pPr>
                  <w:r>
                    <w:rPr>
                      <w:sz w:val="21"/>
                      <w:szCs w:val="21"/>
                    </w:rPr>
                    <w:t>厂为集中供热热源，实现集聚区集中供热，逐步拆除区内企业自备锅炉。</w:t>
                  </w:r>
                </w:p>
              </w:tc>
              <w:tc>
                <w:tcPr>
                  <w:tcW w:w="712" w:type="pct"/>
                  <w:vAlign w:val="center"/>
                </w:tcPr>
                <w:p w14:paraId="562ABE94">
                  <w:pPr>
                    <w:pStyle w:val="154"/>
                    <w:rPr>
                      <w:sz w:val="21"/>
                      <w:szCs w:val="21"/>
                    </w:rPr>
                  </w:pPr>
                  <w:r>
                    <w:rPr>
                      <w:sz w:val="21"/>
                      <w:szCs w:val="21"/>
                    </w:rPr>
                    <w:t>不涉及</w:t>
                  </w:r>
                  <w:r>
                    <w:rPr>
                      <w:rFonts w:hint="eastAsia"/>
                      <w:sz w:val="21"/>
                      <w:szCs w:val="21"/>
                    </w:rPr>
                    <w:t>。</w:t>
                  </w:r>
                </w:p>
              </w:tc>
              <w:tc>
                <w:tcPr>
                  <w:tcW w:w="343" w:type="pct"/>
                  <w:vAlign w:val="center"/>
                </w:tcPr>
                <w:p w14:paraId="6B6A4ED9">
                  <w:pPr>
                    <w:pStyle w:val="154"/>
                    <w:rPr>
                      <w:sz w:val="21"/>
                      <w:szCs w:val="21"/>
                    </w:rPr>
                  </w:pPr>
                  <w:r>
                    <w:rPr>
                      <w:sz w:val="21"/>
                      <w:szCs w:val="21"/>
                    </w:rPr>
                    <w:t>相符</w:t>
                  </w:r>
                </w:p>
              </w:tc>
            </w:tr>
          </w:tbl>
          <w:p w14:paraId="5478BB7B">
            <w:pPr>
              <w:pStyle w:val="158"/>
              <w:spacing w:before="156"/>
              <w:ind w:firstLine="480" w:firstLineChars="200"/>
              <w:rPr>
                <w:rFonts w:eastAsia="宋体" w:cs="Times New Roman"/>
                <w:b w:val="0"/>
              </w:rPr>
            </w:pPr>
            <w:r>
              <w:rPr>
                <w:rFonts w:eastAsia="宋体" w:cs="Times New Roman"/>
                <w:b w:val="0"/>
              </w:rPr>
              <w:t>由上表可知，本项目符合河南省生态环境分区管控要求，符合偃师区环境管控单元生态环境准入清单要求。</w:t>
            </w:r>
          </w:p>
        </w:tc>
      </w:tr>
    </w:tbl>
    <w:p w14:paraId="2E69F0CC">
      <w:pPr>
        <w:rPr>
          <w:rFonts w:ascii="Times New Roman" w:hAnsi="Times New Roman"/>
        </w:rPr>
      </w:pPr>
    </w:p>
    <w:p w14:paraId="66D8520F">
      <w:pPr>
        <w:pStyle w:val="158"/>
        <w:spacing w:before="156"/>
        <w:rPr>
          <w:rFonts w:eastAsia="宋体" w:cs="Times New Roman"/>
          <w:b w:val="0"/>
        </w:rPr>
        <w:sectPr>
          <w:pgSz w:w="16840" w:h="11907" w:orient="landscape"/>
          <w:pgMar w:top="1588" w:right="1418" w:bottom="1588" w:left="1418" w:header="851" w:footer="992" w:gutter="0"/>
          <w:cols w:space="425" w:num="1"/>
          <w:docGrid w:type="linesAndChars" w:linePitch="312" w:charSpace="0"/>
        </w:sectPr>
      </w:pPr>
    </w:p>
    <w:tbl>
      <w:tblPr>
        <w:tblStyle w:val="88"/>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9324"/>
      </w:tblGrid>
      <w:tr w14:paraId="02239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295" w:hRule="atLeast"/>
          <w:jc w:val="center"/>
        </w:trPr>
        <w:tc>
          <w:tcPr>
            <w:tcW w:w="5000" w:type="pct"/>
            <w:tcMar>
              <w:top w:w="0" w:type="dxa"/>
              <w:left w:w="108" w:type="dxa"/>
              <w:bottom w:w="0" w:type="dxa"/>
              <w:right w:w="108" w:type="dxa"/>
            </w:tcMar>
          </w:tcPr>
          <w:p w14:paraId="4BB78380">
            <w:pPr>
              <w:pStyle w:val="157"/>
            </w:pPr>
            <w:r>
              <w:t>2、《产业结构调整指导目录》（2024年本）</w:t>
            </w:r>
          </w:p>
          <w:p w14:paraId="420E476F">
            <w:pPr>
              <w:pStyle w:val="167"/>
              <w:ind w:firstLine="480"/>
              <w:rPr>
                <w:rFonts w:eastAsia="宋体"/>
              </w:rPr>
            </w:pPr>
            <w:r>
              <w:rPr>
                <w:rFonts w:eastAsia="宋体"/>
              </w:rPr>
              <w:t>根据《产业结构调整指导目录》（2024年本），本项目不属于鼓励类、限制类或禁止类，属于允许类建设项目。且项目已在洛阳市偃师区发展和改革委员会备案，项目代码：</w:t>
            </w:r>
            <w:r>
              <w:rPr>
                <w:rFonts w:hint="eastAsia" w:eastAsia="宋体" w:cs="Times New Roman"/>
              </w:rPr>
              <w:t>2506-410381-04-01-871245</w:t>
            </w:r>
            <w:r>
              <w:rPr>
                <w:rFonts w:eastAsia="宋体"/>
              </w:rPr>
              <w:t>（附件2），本项目符合国家产业政策。</w:t>
            </w:r>
          </w:p>
          <w:p w14:paraId="01ED31B0">
            <w:pPr>
              <w:pStyle w:val="157"/>
            </w:pPr>
            <w:r>
              <w:t>3、《黄河流域生态保护和高质量发展规划纲要》</w:t>
            </w:r>
          </w:p>
          <w:p w14:paraId="20D5B197">
            <w:pPr>
              <w:pStyle w:val="182"/>
              <w:ind w:firstLine="480"/>
            </w:pPr>
            <w:r>
              <w:t>表1-6    与《黄河流域生态保护和高质量发展规划纲要》相符性分析</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849"/>
              <w:gridCol w:w="2365"/>
              <w:gridCol w:w="864"/>
            </w:tblGrid>
            <w:tr w14:paraId="36460F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705" w:type="dxa"/>
                  <w:vAlign w:val="center"/>
                </w:tcPr>
                <w:p w14:paraId="5F2C68B1">
                  <w:pPr>
                    <w:pStyle w:val="154"/>
                    <w:rPr>
                      <w:sz w:val="21"/>
                      <w:szCs w:val="21"/>
                    </w:rPr>
                  </w:pPr>
                  <w:r>
                    <w:rPr>
                      <w:sz w:val="21"/>
                      <w:szCs w:val="21"/>
                    </w:rPr>
                    <w:t>文件要求</w:t>
                  </w:r>
                </w:p>
              </w:tc>
              <w:tc>
                <w:tcPr>
                  <w:tcW w:w="2307" w:type="dxa"/>
                  <w:vAlign w:val="center"/>
                </w:tcPr>
                <w:p w14:paraId="79AC4019">
                  <w:pPr>
                    <w:pStyle w:val="154"/>
                    <w:rPr>
                      <w:sz w:val="21"/>
                      <w:szCs w:val="21"/>
                    </w:rPr>
                  </w:pPr>
                  <w:r>
                    <w:rPr>
                      <w:sz w:val="21"/>
                      <w:szCs w:val="21"/>
                    </w:rPr>
                    <w:t>本项目情况</w:t>
                  </w:r>
                </w:p>
              </w:tc>
              <w:tc>
                <w:tcPr>
                  <w:tcW w:w="843" w:type="dxa"/>
                  <w:vAlign w:val="center"/>
                </w:tcPr>
                <w:p w14:paraId="3E8ABA84">
                  <w:pPr>
                    <w:pStyle w:val="154"/>
                    <w:rPr>
                      <w:sz w:val="21"/>
                      <w:szCs w:val="21"/>
                    </w:rPr>
                  </w:pPr>
                  <w:r>
                    <w:rPr>
                      <w:sz w:val="21"/>
                      <w:szCs w:val="21"/>
                    </w:rPr>
                    <w:t>相符性</w:t>
                  </w:r>
                </w:p>
              </w:tc>
            </w:tr>
            <w:tr w14:paraId="30D8AE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855" w:type="dxa"/>
                  <w:gridSpan w:val="3"/>
                  <w:vAlign w:val="center"/>
                </w:tcPr>
                <w:p w14:paraId="7ECDB8A9">
                  <w:pPr>
                    <w:pStyle w:val="154"/>
                    <w:rPr>
                      <w:sz w:val="21"/>
                      <w:szCs w:val="21"/>
                    </w:rPr>
                  </w:pPr>
                  <w:r>
                    <w:rPr>
                      <w:sz w:val="21"/>
                      <w:szCs w:val="21"/>
                    </w:rPr>
                    <w:t>第八章 强化环境污染系统治理</w:t>
                  </w:r>
                </w:p>
              </w:tc>
            </w:tr>
            <w:tr w14:paraId="019A92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705" w:type="dxa"/>
                  <w:vAlign w:val="center"/>
                </w:tcPr>
                <w:p w14:paraId="6E5C2F37">
                  <w:pPr>
                    <w:pStyle w:val="154"/>
                    <w:jc w:val="left"/>
                    <w:rPr>
                      <w:sz w:val="21"/>
                      <w:szCs w:val="21"/>
                    </w:rPr>
                  </w:pPr>
                  <w:r>
                    <w:rPr>
                      <w:sz w:val="21"/>
                      <w:szCs w:val="21"/>
                    </w:rPr>
                    <w:t>第二节 加大工业污染协同治理力度</w:t>
                  </w:r>
                </w:p>
                <w:p w14:paraId="5AB40011">
                  <w:pPr>
                    <w:pStyle w:val="154"/>
                    <w:jc w:val="left"/>
                    <w:rPr>
                      <w:sz w:val="21"/>
                      <w:szCs w:val="21"/>
                    </w:rPr>
                  </w:pPr>
                  <w:r>
                    <w:rPr>
                      <w:sz w:val="21"/>
                      <w:szCs w:val="21"/>
                    </w:rPr>
                    <w:t>推动沿黄一定范围内高耗水、高污染企业迁入合规园区，加快钢铁、煤电超低排放改造，开展煤炭、火电、钢铁、焦化、化工、有色等行业强制性清洁生产，强化工业炉窑和重点行业挥发性有机物综合治理，实行生态敏感脆弱区工业行业污染物特别排放限值要求。严禁在黄河干流及主要支流临岸一定范围内新建“两高一资”项目及相关产业园区。开展黄河干支流入河排污口专项整治行动，加快构建覆盖所有排污口的在线监测系统，规范入河排污口设置审核。严格落实排污许可制度，沿黄所有固定排污源要依法按证排污。沿黄工业园区全部建成污水集中处理设施并稳定达标排放，严控工业废水未经处理或未有效处理直接排入城镇污水处理系统，严厉打击向河湖、沙漠、湿地等偷排、直排行为。加强工业废弃物风险管控和历史遗留重金属污染区域治理，以危险废物为重点开展固体废物综合整治行动，加强生态环境风险防范，有效应对突发环境事件，健全环境信息强制性披露制度。</w:t>
                  </w:r>
                </w:p>
              </w:tc>
              <w:tc>
                <w:tcPr>
                  <w:tcW w:w="2307" w:type="dxa"/>
                  <w:vAlign w:val="center"/>
                </w:tcPr>
                <w:p w14:paraId="7A36AEF7">
                  <w:pPr>
                    <w:pStyle w:val="154"/>
                    <w:jc w:val="left"/>
                    <w:rPr>
                      <w:sz w:val="21"/>
                      <w:szCs w:val="21"/>
                    </w:rPr>
                  </w:pPr>
                  <w:r>
                    <w:rPr>
                      <w:sz w:val="21"/>
                      <w:szCs w:val="21"/>
                    </w:rPr>
                    <w:t>本项目为制鞋业</w:t>
                  </w:r>
                  <w:r>
                    <w:rPr>
                      <w:rFonts w:hint="eastAsia"/>
                      <w:sz w:val="21"/>
                      <w:szCs w:val="21"/>
                    </w:rPr>
                    <w:t>项目</w:t>
                  </w:r>
                  <w:r>
                    <w:rPr>
                      <w:sz w:val="21"/>
                      <w:szCs w:val="21"/>
                    </w:rPr>
                    <w:t>，根据关于印发《河南省</w:t>
                  </w:r>
                  <w:r>
                    <w:rPr>
                      <w:rFonts w:hint="eastAsia"/>
                      <w:sz w:val="21"/>
                      <w:szCs w:val="21"/>
                    </w:rPr>
                    <w:t>“</w:t>
                  </w:r>
                  <w:r>
                    <w:rPr>
                      <w:sz w:val="21"/>
                      <w:szCs w:val="21"/>
                    </w:rPr>
                    <w:t>两高”项目管理目录》（2023年修订）的通知（豫发改环资</w:t>
                  </w:r>
                  <w:r>
                    <w:rPr>
                      <w:rFonts w:hint="eastAsia"/>
                      <w:sz w:val="21"/>
                      <w:szCs w:val="21"/>
                    </w:rPr>
                    <w:t>〔</w:t>
                  </w:r>
                  <w:r>
                    <w:rPr>
                      <w:sz w:val="21"/>
                      <w:szCs w:val="21"/>
                    </w:rPr>
                    <w:t>2023</w:t>
                  </w:r>
                  <w:r>
                    <w:rPr>
                      <w:rFonts w:hint="eastAsia"/>
                      <w:sz w:val="21"/>
                      <w:szCs w:val="21"/>
                    </w:rPr>
                    <w:t>〕</w:t>
                  </w:r>
                  <w:r>
                    <w:rPr>
                      <w:sz w:val="21"/>
                      <w:szCs w:val="21"/>
                    </w:rPr>
                    <w:t>38号文）</w:t>
                  </w:r>
                  <w:r>
                    <w:rPr>
                      <w:rFonts w:hint="eastAsia"/>
                      <w:sz w:val="21"/>
                      <w:szCs w:val="21"/>
                    </w:rPr>
                    <w:t>，</w:t>
                  </w:r>
                  <w:r>
                    <w:rPr>
                      <w:sz w:val="21"/>
                      <w:szCs w:val="21"/>
                    </w:rPr>
                    <w:t>本项目不属于</w:t>
                  </w:r>
                  <w:r>
                    <w:rPr>
                      <w:rFonts w:hint="eastAsia"/>
                      <w:sz w:val="21"/>
                      <w:szCs w:val="21"/>
                    </w:rPr>
                    <w:t>“</w:t>
                  </w:r>
                  <w:r>
                    <w:rPr>
                      <w:sz w:val="21"/>
                      <w:szCs w:val="21"/>
                    </w:rPr>
                    <w:t>两高一资</w:t>
                  </w:r>
                  <w:r>
                    <w:rPr>
                      <w:rFonts w:hint="eastAsia"/>
                      <w:sz w:val="21"/>
                      <w:szCs w:val="21"/>
                    </w:rPr>
                    <w:t>”</w:t>
                  </w:r>
                  <w:r>
                    <w:rPr>
                      <w:sz w:val="21"/>
                      <w:szCs w:val="21"/>
                    </w:rPr>
                    <w:t>项目；</w:t>
                  </w:r>
                </w:p>
                <w:p w14:paraId="27429D64">
                  <w:pPr>
                    <w:pStyle w:val="154"/>
                    <w:jc w:val="left"/>
                    <w:rPr>
                      <w:sz w:val="21"/>
                      <w:szCs w:val="21"/>
                    </w:rPr>
                  </w:pPr>
                  <w:r>
                    <w:rPr>
                      <w:sz w:val="21"/>
                      <w:szCs w:val="21"/>
                    </w:rPr>
                    <w:t>项目产生的废气经处理，满足污染物特别排放限值要求；</w:t>
                  </w:r>
                </w:p>
                <w:p w14:paraId="6988C20B">
                  <w:pPr>
                    <w:pStyle w:val="154"/>
                    <w:jc w:val="left"/>
                    <w:rPr>
                      <w:sz w:val="21"/>
                      <w:szCs w:val="21"/>
                    </w:rPr>
                  </w:pPr>
                  <w:r>
                    <w:rPr>
                      <w:sz w:val="21"/>
                      <w:szCs w:val="21"/>
                    </w:rPr>
                    <w:t>运营期设备冷却水定期补充，循环使用不排放；生活污水</w:t>
                  </w:r>
                  <w:r>
                    <w:rPr>
                      <w:rFonts w:hint="eastAsia"/>
                      <w:sz w:val="21"/>
                      <w:szCs w:val="21"/>
                    </w:rPr>
                    <w:t>经</w:t>
                  </w:r>
                  <w:r>
                    <w:rPr>
                      <w:sz w:val="21"/>
                      <w:szCs w:val="21"/>
                    </w:rPr>
                    <w:t>厂区化粪池处理后，经市政管网排入洛阳市中州渠人工湿地处理；</w:t>
                  </w:r>
                </w:p>
                <w:p w14:paraId="50A2FE47">
                  <w:pPr>
                    <w:pStyle w:val="154"/>
                    <w:jc w:val="left"/>
                    <w:rPr>
                      <w:sz w:val="21"/>
                      <w:szCs w:val="21"/>
                    </w:rPr>
                  </w:pPr>
                  <w:r>
                    <w:rPr>
                      <w:sz w:val="21"/>
                      <w:szCs w:val="21"/>
                    </w:rPr>
                    <w:t>危险废物在厂区危废暂存间暂存后交由有资质单位处置。</w:t>
                  </w:r>
                </w:p>
              </w:tc>
              <w:tc>
                <w:tcPr>
                  <w:tcW w:w="843" w:type="dxa"/>
                  <w:vAlign w:val="center"/>
                </w:tcPr>
                <w:p w14:paraId="2CC951C7">
                  <w:pPr>
                    <w:pStyle w:val="154"/>
                    <w:rPr>
                      <w:sz w:val="21"/>
                      <w:szCs w:val="21"/>
                    </w:rPr>
                  </w:pPr>
                  <w:r>
                    <w:rPr>
                      <w:sz w:val="21"/>
                      <w:szCs w:val="21"/>
                    </w:rPr>
                    <w:t>相符</w:t>
                  </w:r>
                </w:p>
              </w:tc>
            </w:tr>
          </w:tbl>
          <w:p w14:paraId="22E51CDE">
            <w:pPr>
              <w:pStyle w:val="185"/>
              <w:spacing w:line="520" w:lineRule="exact"/>
              <w:ind w:firstLine="480" w:firstLineChars="200"/>
              <w:rPr>
                <w:b w:val="0"/>
                <w:bCs/>
                <w:szCs w:val="24"/>
              </w:rPr>
            </w:pPr>
            <w:r>
              <w:rPr>
                <w:b w:val="0"/>
                <w:bCs/>
                <w:szCs w:val="24"/>
              </w:rPr>
              <w:t>由上表可知，本项目满足《黄河流域生态保护和高质量发展规划纲要》相关要求。</w:t>
            </w:r>
          </w:p>
          <w:p w14:paraId="15CEBF22">
            <w:pPr>
              <w:pStyle w:val="157"/>
            </w:pPr>
            <w:r>
              <w:t>4、《关于</w:t>
            </w:r>
            <w:r>
              <w:rPr>
                <w:rFonts w:ascii="楷体" w:hAnsi="楷体"/>
                <w:sz w:val="21"/>
              </w:rPr>
              <w:t>“</w:t>
            </w:r>
            <w:r>
              <w:t>十四五</w:t>
            </w:r>
            <w:r>
              <w:rPr>
                <w:rFonts w:hint="eastAsia"/>
              </w:rPr>
              <w:t>”</w:t>
            </w:r>
            <w:r>
              <w:t>推进沿黄重点地区工业项目入园及严控高污染、高耗水、高耗能项目的通知》（豫发改工业</w:t>
            </w:r>
            <w:r>
              <w:rPr>
                <w:rFonts w:hint="eastAsia"/>
              </w:rPr>
              <w:t>〔</w:t>
            </w:r>
            <w:r>
              <w:t>202</w:t>
            </w:r>
            <w:r>
              <w:rPr>
                <w:rFonts w:hint="eastAsia"/>
              </w:rPr>
              <w:t>1〕</w:t>
            </w:r>
            <w:r>
              <w:t>812号）</w:t>
            </w:r>
          </w:p>
          <w:p w14:paraId="39FE67E8">
            <w:pPr>
              <w:pStyle w:val="182"/>
              <w:ind w:firstLine="480"/>
            </w:pPr>
            <w:r>
              <w:t>表1-7根据（豫发改工业</w:t>
            </w:r>
            <w:r>
              <w:rPr>
                <w:rFonts w:hint="eastAsia"/>
              </w:rPr>
              <w:t>〔</w:t>
            </w:r>
            <w:r>
              <w:t>202</w:t>
            </w:r>
            <w:r>
              <w:rPr>
                <w:rFonts w:hint="eastAsia"/>
              </w:rPr>
              <w:t>1〕</w:t>
            </w:r>
            <w:r>
              <w:t>812号），与本项目相关的要求列表对照分析</w:t>
            </w:r>
          </w:p>
          <w:tbl>
            <w:tblPr>
              <w:tblStyle w:val="88"/>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48"/>
              <w:gridCol w:w="4567"/>
              <w:gridCol w:w="2268"/>
              <w:gridCol w:w="1093"/>
            </w:tblGrid>
            <w:tr w14:paraId="13D184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5715" w:type="dxa"/>
                  <w:gridSpan w:val="2"/>
                </w:tcPr>
                <w:p w14:paraId="30EAFAAC">
                  <w:pPr>
                    <w:pStyle w:val="154"/>
                    <w:rPr>
                      <w:sz w:val="21"/>
                      <w:szCs w:val="21"/>
                    </w:rPr>
                  </w:pPr>
                  <w:r>
                    <w:rPr>
                      <w:sz w:val="21"/>
                      <w:szCs w:val="21"/>
                    </w:rPr>
                    <w:t>文件要求</w:t>
                  </w:r>
                </w:p>
              </w:tc>
              <w:tc>
                <w:tcPr>
                  <w:tcW w:w="2268" w:type="dxa"/>
                </w:tcPr>
                <w:p w14:paraId="1AE3507F">
                  <w:pPr>
                    <w:pStyle w:val="154"/>
                    <w:rPr>
                      <w:sz w:val="21"/>
                      <w:szCs w:val="21"/>
                    </w:rPr>
                  </w:pPr>
                  <w:r>
                    <w:rPr>
                      <w:sz w:val="21"/>
                      <w:szCs w:val="21"/>
                    </w:rPr>
                    <w:t>本项目情况</w:t>
                  </w:r>
                </w:p>
              </w:tc>
              <w:tc>
                <w:tcPr>
                  <w:tcW w:w="1093" w:type="dxa"/>
                </w:tcPr>
                <w:p w14:paraId="52C649E7">
                  <w:pPr>
                    <w:pStyle w:val="154"/>
                    <w:rPr>
                      <w:sz w:val="21"/>
                      <w:szCs w:val="21"/>
                    </w:rPr>
                  </w:pPr>
                  <w:r>
                    <w:rPr>
                      <w:sz w:val="21"/>
                      <w:szCs w:val="21"/>
                    </w:rPr>
                    <w:t>相符性</w:t>
                  </w:r>
                </w:p>
              </w:tc>
            </w:tr>
            <w:tr w14:paraId="7A9C97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148" w:type="dxa"/>
                </w:tcPr>
                <w:p w14:paraId="5BBAD8AE">
                  <w:pPr>
                    <w:pStyle w:val="154"/>
                    <w:rPr>
                      <w:sz w:val="21"/>
                      <w:szCs w:val="21"/>
                    </w:rPr>
                  </w:pPr>
                  <w:r>
                    <w:rPr>
                      <w:sz w:val="21"/>
                      <w:szCs w:val="21"/>
                    </w:rPr>
                    <w:t>二、清理拟建工业和高污染、高耗水、高耗能项目</w:t>
                  </w:r>
                </w:p>
              </w:tc>
              <w:tc>
                <w:tcPr>
                  <w:tcW w:w="4567" w:type="dxa"/>
                </w:tcPr>
                <w:p w14:paraId="254BEA3C">
                  <w:pPr>
                    <w:pStyle w:val="154"/>
                    <w:jc w:val="left"/>
                    <w:rPr>
                      <w:sz w:val="21"/>
                      <w:szCs w:val="21"/>
                    </w:rPr>
                  </w:pPr>
                  <w:r>
                    <w:rPr>
                      <w:sz w:val="21"/>
                      <w:szCs w:val="21"/>
                    </w:rPr>
                    <w:t>我省沿黄重点地区要组织对本地区现有已备案但尚未开工的拟建工业项目进行清查，对不符合产业政策、</w:t>
                  </w:r>
                  <w:r>
                    <w:rPr>
                      <w:rFonts w:asciiTheme="minorEastAsia" w:hAnsiTheme="minorEastAsia"/>
                      <w:sz w:val="21"/>
                      <w:szCs w:val="21"/>
                    </w:rPr>
                    <w:t>“</w:t>
                  </w:r>
                  <w:r>
                    <w:rPr>
                      <w:sz w:val="21"/>
                      <w:szCs w:val="21"/>
                    </w:rPr>
                    <w:t>三线一单</w:t>
                  </w:r>
                  <w:r>
                    <w:rPr>
                      <w:rFonts w:hint="eastAsia"/>
                      <w:sz w:val="21"/>
                      <w:szCs w:val="21"/>
                    </w:rPr>
                    <w:t>”</w:t>
                  </w:r>
                  <w:r>
                    <w:rPr>
                      <w:sz w:val="21"/>
                      <w:szCs w:val="21"/>
                    </w:rPr>
                    <w:t>生态环境分区管控方案、规划环评、国土空间用途管制以及能耗、水耗等有关要求的项目一律停止推进。拟建工业项目应调整转入合规工业园区，其中高污染、高耗水、高耗能项目应由省辖市相关部门对是否符合产业政策、产能置换、环境评价、耗煤减量替代、空间规划、用地审批、规划许可等管控要求进行会商评估，经评估确有必要建设且符合相关要求的，一律转入合规工业园区。</w:t>
                  </w:r>
                </w:p>
              </w:tc>
              <w:tc>
                <w:tcPr>
                  <w:tcW w:w="2268" w:type="dxa"/>
                </w:tcPr>
                <w:p w14:paraId="395EE4FA">
                  <w:pPr>
                    <w:pStyle w:val="154"/>
                    <w:jc w:val="left"/>
                    <w:rPr>
                      <w:sz w:val="21"/>
                      <w:szCs w:val="21"/>
                    </w:rPr>
                  </w:pPr>
                  <w:r>
                    <w:rPr>
                      <w:sz w:val="21"/>
                      <w:szCs w:val="21"/>
                    </w:rPr>
                    <w:t>本项目为制鞋业</w:t>
                  </w:r>
                  <w:r>
                    <w:rPr>
                      <w:rFonts w:hint="eastAsia"/>
                      <w:sz w:val="21"/>
                      <w:szCs w:val="21"/>
                    </w:rPr>
                    <w:t>项目，</w:t>
                  </w:r>
                  <w:r>
                    <w:rPr>
                      <w:sz w:val="21"/>
                      <w:szCs w:val="21"/>
                    </w:rPr>
                    <w:t>符合产业政策、</w:t>
                  </w:r>
                  <w:r>
                    <w:rPr>
                      <w:rFonts w:hint="eastAsia"/>
                      <w:sz w:val="21"/>
                      <w:szCs w:val="21"/>
                    </w:rPr>
                    <w:t>“</w:t>
                  </w:r>
                  <w:r>
                    <w:rPr>
                      <w:sz w:val="21"/>
                      <w:szCs w:val="21"/>
                    </w:rPr>
                    <w:t>三线一单</w:t>
                  </w:r>
                  <w:r>
                    <w:rPr>
                      <w:rFonts w:hint="eastAsia"/>
                      <w:sz w:val="21"/>
                      <w:szCs w:val="21"/>
                    </w:rPr>
                    <w:t>”</w:t>
                  </w:r>
                  <w:r>
                    <w:rPr>
                      <w:sz w:val="21"/>
                      <w:szCs w:val="21"/>
                    </w:rPr>
                    <w:t>生态环境分区管控方案、规划环评、国土空间用途管制以及能耗、水耗等有关要求；本项目位于偃师区先进制造业开发区。对照文件附录，本项目不属于高污染、高耗水、高耗能项目。</w:t>
                  </w:r>
                </w:p>
              </w:tc>
              <w:tc>
                <w:tcPr>
                  <w:tcW w:w="1093" w:type="dxa"/>
                  <w:vAlign w:val="center"/>
                </w:tcPr>
                <w:p w14:paraId="7B88C20C">
                  <w:pPr>
                    <w:pStyle w:val="154"/>
                    <w:rPr>
                      <w:sz w:val="21"/>
                      <w:szCs w:val="21"/>
                    </w:rPr>
                  </w:pPr>
                  <w:r>
                    <w:rPr>
                      <w:rFonts w:hint="eastAsia"/>
                      <w:sz w:val="21"/>
                      <w:szCs w:val="21"/>
                    </w:rPr>
                    <w:t>相符</w:t>
                  </w:r>
                </w:p>
              </w:tc>
            </w:tr>
          </w:tbl>
          <w:p w14:paraId="2455526D">
            <w:pPr>
              <w:spacing w:line="520" w:lineRule="exact"/>
              <w:ind w:firstLine="480" w:firstLineChars="200"/>
              <w:rPr>
                <w:rFonts w:ascii="Times New Roman" w:hAnsi="Times New Roman"/>
              </w:rPr>
            </w:pPr>
            <w:r>
              <w:rPr>
                <w:rFonts w:ascii="Times New Roman" w:hAnsi="Times New Roman"/>
              </w:rPr>
              <w:t>由上表可知，本项目符合《关于</w:t>
            </w:r>
            <w:r>
              <w:rPr>
                <w:rFonts w:hint="eastAsia" w:ascii="Times New Roman" w:hAnsi="Times New Roman"/>
              </w:rPr>
              <w:t>“</w:t>
            </w:r>
            <w:r>
              <w:rPr>
                <w:rFonts w:ascii="Times New Roman" w:hAnsi="Times New Roman"/>
              </w:rPr>
              <w:t>十四五</w:t>
            </w:r>
            <w:r>
              <w:rPr>
                <w:rFonts w:hint="eastAsia" w:ascii="Times New Roman" w:hAnsi="Times New Roman"/>
              </w:rPr>
              <w:t>”</w:t>
            </w:r>
            <w:r>
              <w:rPr>
                <w:rFonts w:ascii="Times New Roman" w:hAnsi="Times New Roman"/>
              </w:rPr>
              <w:t>推进沿黄重点地区工业项目入园及严控高污染、高耗水、高耗能项目的通知》（豫发改工业</w:t>
            </w:r>
            <w:r>
              <w:rPr>
                <w:rFonts w:hint="eastAsia" w:ascii="Times New Roman" w:hAnsi="Times New Roman"/>
              </w:rPr>
              <w:t>〔</w:t>
            </w:r>
            <w:r>
              <w:rPr>
                <w:rFonts w:ascii="Times New Roman" w:hAnsi="Times New Roman"/>
              </w:rPr>
              <w:t>202</w:t>
            </w:r>
            <w:r>
              <w:rPr>
                <w:rFonts w:hint="eastAsia" w:ascii="Times New Roman" w:hAnsi="Times New Roman"/>
              </w:rPr>
              <w:t>1〕</w:t>
            </w:r>
            <w:r>
              <w:rPr>
                <w:rFonts w:ascii="Times New Roman" w:hAnsi="Times New Roman"/>
              </w:rPr>
              <w:t>812号）相关要求。</w:t>
            </w:r>
          </w:p>
          <w:p w14:paraId="143A3B36">
            <w:pPr>
              <w:pStyle w:val="157"/>
            </w:pPr>
            <w:r>
              <w:t>5、《黄河生态保护治理攻坚战行动方案》（环综合〔2022〕51号）</w:t>
            </w:r>
          </w:p>
          <w:p w14:paraId="5538A20D">
            <w:pPr>
              <w:pStyle w:val="182"/>
              <w:ind w:firstLine="480"/>
            </w:pPr>
            <w:r>
              <w:t>表1-8     与（环综合〔2022〕51号）相符性分析</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6436"/>
              <w:gridCol w:w="89"/>
              <w:gridCol w:w="1689"/>
              <w:gridCol w:w="295"/>
              <w:gridCol w:w="569"/>
            </w:tblGrid>
            <w:tr w14:paraId="30A7CB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436" w:type="dxa"/>
                  <w:vAlign w:val="center"/>
                </w:tcPr>
                <w:p w14:paraId="194BC24C">
                  <w:pPr>
                    <w:pStyle w:val="154"/>
                    <w:rPr>
                      <w:sz w:val="21"/>
                      <w:szCs w:val="21"/>
                    </w:rPr>
                  </w:pPr>
                  <w:r>
                    <w:rPr>
                      <w:sz w:val="21"/>
                      <w:szCs w:val="21"/>
                    </w:rPr>
                    <w:t>文件要求</w:t>
                  </w:r>
                </w:p>
              </w:tc>
              <w:tc>
                <w:tcPr>
                  <w:tcW w:w="1778" w:type="dxa"/>
                  <w:gridSpan w:val="2"/>
                  <w:vAlign w:val="center"/>
                </w:tcPr>
                <w:p w14:paraId="1F03C8FE">
                  <w:pPr>
                    <w:pStyle w:val="154"/>
                    <w:rPr>
                      <w:sz w:val="21"/>
                      <w:szCs w:val="21"/>
                    </w:rPr>
                  </w:pPr>
                  <w:r>
                    <w:rPr>
                      <w:sz w:val="21"/>
                      <w:szCs w:val="21"/>
                    </w:rPr>
                    <w:t>本项目情况</w:t>
                  </w:r>
                </w:p>
              </w:tc>
              <w:tc>
                <w:tcPr>
                  <w:tcW w:w="864" w:type="dxa"/>
                  <w:gridSpan w:val="2"/>
                  <w:vAlign w:val="center"/>
                </w:tcPr>
                <w:p w14:paraId="1418502D">
                  <w:pPr>
                    <w:pStyle w:val="154"/>
                    <w:rPr>
                      <w:sz w:val="21"/>
                      <w:szCs w:val="21"/>
                    </w:rPr>
                  </w:pPr>
                  <w:r>
                    <w:rPr>
                      <w:sz w:val="21"/>
                      <w:szCs w:val="21"/>
                    </w:rPr>
                    <w:t>相符性</w:t>
                  </w:r>
                </w:p>
              </w:tc>
            </w:tr>
            <w:tr w14:paraId="03F2C1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078" w:type="dxa"/>
                  <w:gridSpan w:val="5"/>
                  <w:vAlign w:val="center"/>
                </w:tcPr>
                <w:p w14:paraId="58486962">
                  <w:pPr>
                    <w:pStyle w:val="154"/>
                    <w:rPr>
                      <w:sz w:val="21"/>
                      <w:szCs w:val="21"/>
                    </w:rPr>
                  </w:pPr>
                  <w:r>
                    <w:rPr>
                      <w:sz w:val="21"/>
                      <w:szCs w:val="21"/>
                    </w:rPr>
                    <w:t>二、主要任务</w:t>
                  </w:r>
                </w:p>
              </w:tc>
            </w:tr>
            <w:tr w14:paraId="460816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525" w:type="dxa"/>
                  <w:gridSpan w:val="2"/>
                  <w:vAlign w:val="center"/>
                </w:tcPr>
                <w:p w14:paraId="6E48F56F">
                  <w:pPr>
                    <w:pStyle w:val="154"/>
                    <w:rPr>
                      <w:sz w:val="21"/>
                      <w:szCs w:val="21"/>
                    </w:rPr>
                  </w:pPr>
                  <w:r>
                    <w:rPr>
                      <w:sz w:val="21"/>
                      <w:szCs w:val="21"/>
                    </w:rPr>
                    <w:t>（二）减污降碳协同增效行动</w:t>
                  </w:r>
                </w:p>
              </w:tc>
              <w:tc>
                <w:tcPr>
                  <w:tcW w:w="1984" w:type="dxa"/>
                  <w:gridSpan w:val="2"/>
                  <w:vAlign w:val="center"/>
                </w:tcPr>
                <w:p w14:paraId="03C98130">
                  <w:pPr>
                    <w:pStyle w:val="154"/>
                    <w:rPr>
                      <w:sz w:val="21"/>
                      <w:szCs w:val="21"/>
                    </w:rPr>
                  </w:pPr>
                </w:p>
              </w:tc>
              <w:tc>
                <w:tcPr>
                  <w:tcW w:w="569" w:type="dxa"/>
                  <w:vAlign w:val="center"/>
                </w:tcPr>
                <w:p w14:paraId="79DCC8A9">
                  <w:pPr>
                    <w:pStyle w:val="154"/>
                    <w:rPr>
                      <w:sz w:val="21"/>
                      <w:szCs w:val="21"/>
                    </w:rPr>
                  </w:pPr>
                </w:p>
              </w:tc>
            </w:tr>
            <w:tr w14:paraId="128628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525" w:type="dxa"/>
                  <w:gridSpan w:val="2"/>
                  <w:vAlign w:val="center"/>
                </w:tcPr>
                <w:p w14:paraId="0720D4F3">
                  <w:pPr>
                    <w:pStyle w:val="154"/>
                    <w:jc w:val="left"/>
                    <w:rPr>
                      <w:sz w:val="21"/>
                      <w:szCs w:val="21"/>
                    </w:rPr>
                  </w:pPr>
                  <w:r>
                    <w:rPr>
                      <w:sz w:val="21"/>
                      <w:szCs w:val="21"/>
                    </w:rPr>
                    <w:t>强化生态环境分区管控。落实生态保护红线、环境质量底线、资源利用上线硬约束，充分衔接国土空间规划和用途管制要求，因地制宜建立差别化生态环境准入清单，加快推进</w:t>
                  </w:r>
                  <w:r>
                    <w:rPr>
                      <w:rFonts w:hint="eastAsia"/>
                      <w:sz w:val="21"/>
                      <w:szCs w:val="21"/>
                    </w:rPr>
                    <w:t>“</w:t>
                  </w:r>
                  <w:r>
                    <w:rPr>
                      <w:sz w:val="21"/>
                      <w:szCs w:val="21"/>
                    </w:rPr>
                    <w:t>三线一单</w:t>
                  </w:r>
                  <w:r>
                    <w:rPr>
                      <w:rFonts w:hint="eastAsia"/>
                      <w:sz w:val="21"/>
                      <w:szCs w:val="21"/>
                    </w:rPr>
                    <w:t>”</w:t>
                  </w:r>
                  <w:r>
                    <w:rPr>
                      <w:sz w:val="21"/>
                      <w:szCs w:val="21"/>
                    </w:rPr>
                    <w:t>（生态保护红线、环境质量底线、资源利用上线和生态环境准入清单）成果应用。严格规划环评审查、节能审查、节水评价和项目环评准入，严控严管新增高污染、高耗能、高排放、高耗水企业。严控钢铁、煤化工、石化、有色金属等行业规模，依法依规淘汰落后产能和化解过剩产能。禁止在黄河干支流岸线一定范围内新建、扩建化工园区和化工项目。严禁</w:t>
                  </w:r>
                  <w:r>
                    <w:rPr>
                      <w:rFonts w:hint="eastAsia"/>
                      <w:sz w:val="21"/>
                      <w:szCs w:val="21"/>
                    </w:rPr>
                    <w:t>“</w:t>
                  </w:r>
                  <w:r>
                    <w:rPr>
                      <w:sz w:val="21"/>
                      <w:szCs w:val="21"/>
                    </w:rPr>
                    <w:t>挖湖造景</w:t>
                  </w:r>
                  <w:r>
                    <w:rPr>
                      <w:rFonts w:hint="eastAsia"/>
                      <w:sz w:val="21"/>
                      <w:szCs w:val="21"/>
                    </w:rPr>
                    <w:t>”</w:t>
                  </w:r>
                  <w:r>
                    <w:rPr>
                      <w:sz w:val="21"/>
                      <w:szCs w:val="21"/>
                    </w:rPr>
                    <w:t>等不合理用水需求。</w:t>
                  </w:r>
                </w:p>
              </w:tc>
              <w:tc>
                <w:tcPr>
                  <w:tcW w:w="1984" w:type="dxa"/>
                  <w:gridSpan w:val="2"/>
                  <w:vAlign w:val="center"/>
                </w:tcPr>
                <w:p w14:paraId="52C7771E">
                  <w:pPr>
                    <w:pStyle w:val="154"/>
                    <w:jc w:val="left"/>
                    <w:rPr>
                      <w:sz w:val="21"/>
                      <w:szCs w:val="21"/>
                    </w:rPr>
                  </w:pPr>
                  <w:r>
                    <w:rPr>
                      <w:sz w:val="21"/>
                      <w:szCs w:val="21"/>
                    </w:rPr>
                    <w:t>本项目为制鞋业项目，不属于</w:t>
                  </w:r>
                  <w:r>
                    <w:rPr>
                      <w:rFonts w:hint="eastAsia"/>
                      <w:sz w:val="21"/>
                      <w:szCs w:val="21"/>
                    </w:rPr>
                    <w:t>“</w:t>
                  </w:r>
                  <w:r>
                    <w:rPr>
                      <w:sz w:val="21"/>
                      <w:szCs w:val="21"/>
                    </w:rPr>
                    <w:t>两高一资</w:t>
                  </w:r>
                  <w:r>
                    <w:rPr>
                      <w:rFonts w:hint="eastAsia"/>
                      <w:sz w:val="21"/>
                      <w:szCs w:val="21"/>
                    </w:rPr>
                    <w:t>”</w:t>
                  </w:r>
                  <w:r>
                    <w:rPr>
                      <w:sz w:val="21"/>
                      <w:szCs w:val="21"/>
                    </w:rPr>
                    <w:t>项目；本项目选址位于偃师区先进制造业开发区，选址符合</w:t>
                  </w:r>
                  <w:r>
                    <w:rPr>
                      <w:rFonts w:hint="eastAsia"/>
                      <w:sz w:val="21"/>
                      <w:szCs w:val="21"/>
                    </w:rPr>
                    <w:t>“</w:t>
                  </w:r>
                  <w:r>
                    <w:rPr>
                      <w:sz w:val="21"/>
                      <w:szCs w:val="21"/>
                    </w:rPr>
                    <w:t>三线一单</w:t>
                  </w:r>
                  <w:r>
                    <w:rPr>
                      <w:rFonts w:hint="eastAsia"/>
                      <w:sz w:val="21"/>
                      <w:szCs w:val="21"/>
                    </w:rPr>
                    <w:t>”</w:t>
                  </w:r>
                  <w:r>
                    <w:rPr>
                      <w:sz w:val="21"/>
                      <w:szCs w:val="21"/>
                    </w:rPr>
                    <w:t>要求。</w:t>
                  </w:r>
                </w:p>
              </w:tc>
              <w:tc>
                <w:tcPr>
                  <w:tcW w:w="569" w:type="dxa"/>
                  <w:vAlign w:val="center"/>
                </w:tcPr>
                <w:p w14:paraId="0DBBF2C8">
                  <w:pPr>
                    <w:pStyle w:val="154"/>
                    <w:rPr>
                      <w:sz w:val="21"/>
                      <w:szCs w:val="21"/>
                    </w:rPr>
                  </w:pPr>
                  <w:r>
                    <w:rPr>
                      <w:sz w:val="21"/>
                      <w:szCs w:val="21"/>
                    </w:rPr>
                    <w:t>相符</w:t>
                  </w:r>
                </w:p>
              </w:tc>
            </w:tr>
            <w:tr w14:paraId="1F72D2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525" w:type="dxa"/>
                  <w:gridSpan w:val="2"/>
                  <w:vAlign w:val="center"/>
                </w:tcPr>
                <w:p w14:paraId="4EC8896A">
                  <w:pPr>
                    <w:pStyle w:val="154"/>
                    <w:jc w:val="left"/>
                    <w:rPr>
                      <w:sz w:val="21"/>
                      <w:szCs w:val="21"/>
                    </w:rPr>
                  </w:pPr>
                  <w:r>
                    <w:rPr>
                      <w:sz w:val="21"/>
                      <w:szCs w:val="21"/>
                    </w:rPr>
                    <w:t>加快工业企业清洁生产和污染治理。推动构建以排污许可制为核心的固定污染源监管制度体系，开展排污许可提质增效工作。推动钢铁、焦化、化工、有色金属、造纸、印染、原料药制造、农副食品加工等重点行业实施清洁生产改造，开展自愿性清洁生产评价和认证，严格实施</w:t>
                  </w:r>
                  <w:r>
                    <w:rPr>
                      <w:rFonts w:hint="eastAsia"/>
                      <w:sz w:val="21"/>
                      <w:szCs w:val="21"/>
                    </w:rPr>
                    <w:t>“</w:t>
                  </w:r>
                  <w:r>
                    <w:rPr>
                      <w:sz w:val="21"/>
                      <w:szCs w:val="21"/>
                    </w:rPr>
                    <w:t>双超双有高耗能</w:t>
                  </w:r>
                  <w:r>
                    <w:rPr>
                      <w:rFonts w:hint="eastAsia"/>
                      <w:sz w:val="21"/>
                      <w:szCs w:val="21"/>
                    </w:rPr>
                    <w:t>”</w:t>
                  </w:r>
                  <w:r>
                    <w:rPr>
                      <w:sz w:val="21"/>
                      <w:szCs w:val="21"/>
                    </w:rPr>
                    <w:t>企业强制性清洁生产审核。鼓励有条件的地区开展行业、园区和产业集群整体审核试点。推动化工企业迁入合规园区，新建化工、有色金属、原料药制造等企业，应布局在符合产业定位和准入要求的合规园区，工业园区应按规定建成污水集中处理设施，依法安装自动在线监控装置并与生态环境主管部门联网。推进沿黄省区工业园区水污染整治。到2025年，沿黄工业园区全部建成污水集中处理设施并稳定达标排放。加快推进工业污废水全收集、全处理，严格煤矿等行业高浓盐水管理，推动实现工业废水稳定达标排放。严控工业废水未经处理或未有效处理直接排入城镇污水处理系统，严厉打击向河湖、沙漠、湿地、地下水等偷排、直排行为。</w:t>
                  </w:r>
                </w:p>
              </w:tc>
              <w:tc>
                <w:tcPr>
                  <w:tcW w:w="1984" w:type="dxa"/>
                  <w:gridSpan w:val="2"/>
                  <w:vAlign w:val="center"/>
                </w:tcPr>
                <w:p w14:paraId="5809505D">
                  <w:pPr>
                    <w:pStyle w:val="154"/>
                    <w:jc w:val="left"/>
                    <w:rPr>
                      <w:sz w:val="21"/>
                      <w:szCs w:val="21"/>
                    </w:rPr>
                  </w:pPr>
                  <w:r>
                    <w:rPr>
                      <w:sz w:val="21"/>
                      <w:szCs w:val="21"/>
                    </w:rPr>
                    <w:t>本项目为制鞋业项目，不属于左列行业；本项目选址位于偃师区先进制造业开发区，运营期设备冷却水定期补充，循环使用不排放；生活污水</w:t>
                  </w:r>
                  <w:r>
                    <w:rPr>
                      <w:rFonts w:hint="eastAsia"/>
                      <w:sz w:val="21"/>
                      <w:szCs w:val="21"/>
                    </w:rPr>
                    <w:t>经</w:t>
                  </w:r>
                  <w:r>
                    <w:rPr>
                      <w:sz w:val="21"/>
                      <w:szCs w:val="21"/>
                    </w:rPr>
                    <w:t>厂区化粪池处理后，经市政管网排入洛阳市中州渠人工湿地处理。</w:t>
                  </w:r>
                </w:p>
              </w:tc>
              <w:tc>
                <w:tcPr>
                  <w:tcW w:w="569" w:type="dxa"/>
                  <w:vAlign w:val="center"/>
                </w:tcPr>
                <w:p w14:paraId="7EC0420B">
                  <w:pPr>
                    <w:pStyle w:val="154"/>
                    <w:rPr>
                      <w:sz w:val="21"/>
                      <w:szCs w:val="21"/>
                    </w:rPr>
                  </w:pPr>
                  <w:r>
                    <w:rPr>
                      <w:sz w:val="21"/>
                      <w:szCs w:val="21"/>
                    </w:rPr>
                    <w:t>相符</w:t>
                  </w:r>
                </w:p>
              </w:tc>
            </w:tr>
            <w:tr w14:paraId="0EE59E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525" w:type="dxa"/>
                  <w:gridSpan w:val="2"/>
                  <w:vAlign w:val="center"/>
                </w:tcPr>
                <w:p w14:paraId="5C287462">
                  <w:pPr>
                    <w:pStyle w:val="154"/>
                    <w:jc w:val="left"/>
                    <w:rPr>
                      <w:sz w:val="21"/>
                      <w:szCs w:val="21"/>
                    </w:rPr>
                  </w:pPr>
                  <w:r>
                    <w:rPr>
                      <w:sz w:val="21"/>
                      <w:szCs w:val="21"/>
                    </w:rPr>
                    <w:t>强化固体废物协同控制与污染防治。选择一批</w:t>
                  </w:r>
                  <w:r>
                    <w:rPr>
                      <w:rFonts w:hint="eastAsia"/>
                      <w:sz w:val="21"/>
                      <w:szCs w:val="21"/>
                    </w:rPr>
                    <w:t>“</w:t>
                  </w:r>
                  <w:r>
                    <w:rPr>
                      <w:sz w:val="21"/>
                      <w:szCs w:val="21"/>
                    </w:rPr>
                    <w:t>无废城市</w:t>
                  </w:r>
                  <w:r>
                    <w:rPr>
                      <w:rFonts w:hint="eastAsia"/>
                      <w:sz w:val="21"/>
                      <w:szCs w:val="21"/>
                    </w:rPr>
                    <w:t>”</w:t>
                  </w:r>
                  <w:r>
                    <w:rPr>
                      <w:sz w:val="21"/>
                      <w:szCs w:val="21"/>
                    </w:rPr>
                    <w:t>开展协同增效试点，在固体废物处置全过程中协同推进碳减排。建设固体废物跨区域回收利用示范基地，推动区域固体废物集中利用处置能力共享。持续推进流域</w:t>
                  </w:r>
                  <w:r>
                    <w:rPr>
                      <w:rFonts w:hint="eastAsia"/>
                      <w:sz w:val="21"/>
                      <w:szCs w:val="21"/>
                    </w:rPr>
                    <w:t>“</w:t>
                  </w:r>
                  <w:r>
                    <w:rPr>
                      <w:sz w:val="21"/>
                      <w:szCs w:val="21"/>
                    </w:rPr>
                    <w:t>清废行动</w:t>
                  </w:r>
                  <w:r>
                    <w:rPr>
                      <w:rFonts w:hint="eastAsia"/>
                      <w:sz w:val="21"/>
                      <w:szCs w:val="21"/>
                    </w:rPr>
                    <w:t>”</w:t>
                  </w:r>
                  <w:r>
                    <w:rPr>
                      <w:sz w:val="21"/>
                      <w:szCs w:val="21"/>
                    </w:rPr>
                    <w:t>，加快推进沿黄省区干支流固体废物倾倒排查整治工作，全面整治固体废物非法堆存。推动省域内危险废物处置能力与产废情况总体匹配，鼓励主要产业基地根据需要配套建设危险废物集中利用处置设施，支持有条件的地区建设区域性特殊危险废物集中处置中心。加快完善医疗废物收集转运处置体系，推动地级及以上城市医疗废物集中处置设施建设，健全县域医疗废物收集转运处置体系，补齐医疗废物收集处理设施短板。</w:t>
                  </w:r>
                </w:p>
              </w:tc>
              <w:tc>
                <w:tcPr>
                  <w:tcW w:w="1984" w:type="dxa"/>
                  <w:gridSpan w:val="2"/>
                  <w:vAlign w:val="center"/>
                </w:tcPr>
                <w:p w14:paraId="7D836902">
                  <w:pPr>
                    <w:pStyle w:val="154"/>
                    <w:jc w:val="left"/>
                    <w:rPr>
                      <w:sz w:val="21"/>
                      <w:szCs w:val="21"/>
                    </w:rPr>
                  </w:pPr>
                  <w:r>
                    <w:rPr>
                      <w:sz w:val="21"/>
                      <w:szCs w:val="21"/>
                    </w:rPr>
                    <w:t>本项目危险废物在厂区危废暂存间内暂存后委托有资质单位处置。</w:t>
                  </w:r>
                </w:p>
              </w:tc>
              <w:tc>
                <w:tcPr>
                  <w:tcW w:w="569" w:type="dxa"/>
                  <w:vAlign w:val="center"/>
                </w:tcPr>
                <w:p w14:paraId="77DBEB9C">
                  <w:pPr>
                    <w:pStyle w:val="154"/>
                    <w:rPr>
                      <w:sz w:val="21"/>
                      <w:szCs w:val="21"/>
                    </w:rPr>
                  </w:pPr>
                  <w:r>
                    <w:rPr>
                      <w:sz w:val="21"/>
                      <w:szCs w:val="21"/>
                    </w:rPr>
                    <w:t>相符</w:t>
                  </w:r>
                </w:p>
              </w:tc>
            </w:tr>
          </w:tbl>
          <w:p w14:paraId="377E9F7F">
            <w:pPr>
              <w:pStyle w:val="185"/>
              <w:spacing w:line="520" w:lineRule="exact"/>
              <w:ind w:firstLine="480" w:firstLineChars="200"/>
              <w:rPr>
                <w:b w:val="0"/>
                <w:bCs/>
                <w:szCs w:val="24"/>
              </w:rPr>
            </w:pPr>
            <w:r>
              <w:rPr>
                <w:b w:val="0"/>
                <w:bCs/>
                <w:szCs w:val="24"/>
              </w:rPr>
              <w:t>由上表可知，本项目满足《黄河生态保护治理攻坚战行动方案》（环综合〔2022〕51号）相关要求。</w:t>
            </w:r>
          </w:p>
          <w:p w14:paraId="0A738317">
            <w:pPr>
              <w:pStyle w:val="157"/>
            </w:pPr>
            <w:r>
              <w:rPr>
                <w:rFonts w:hint="eastAsia"/>
              </w:rPr>
              <w:t>6</w:t>
            </w:r>
            <w:r>
              <w:t>、河南省生态环境厅关于印发</w:t>
            </w:r>
            <w:r>
              <w:rPr>
                <w:rFonts w:hint="eastAsia"/>
              </w:rPr>
              <w:t>《</w:t>
            </w:r>
            <w:r>
              <w:t>河南省低效失效大气污染治理设施排查整治实施方案</w:t>
            </w:r>
            <w:r>
              <w:rPr>
                <w:rFonts w:hint="eastAsia"/>
              </w:rPr>
              <w:t>》</w:t>
            </w:r>
            <w:r>
              <w:t>的通知（豫环文〔2024〕132号）</w:t>
            </w:r>
          </w:p>
          <w:p w14:paraId="586D779B">
            <w:pPr>
              <w:pStyle w:val="182"/>
              <w:ind w:firstLine="480"/>
            </w:pPr>
            <w:r>
              <w:t>表1-</w:t>
            </w:r>
            <w:r>
              <w:rPr>
                <w:rFonts w:hint="eastAsia"/>
              </w:rPr>
              <w:t>9</w:t>
            </w:r>
            <w:r>
              <w:t xml:space="preserve">     </w:t>
            </w:r>
            <w:r>
              <w:rPr>
                <w:rFonts w:hint="eastAsia"/>
              </w:rPr>
              <w:t xml:space="preserve">    </w:t>
            </w:r>
            <w:r>
              <w:t xml:space="preserve">  与豫环文〔2024〕132号相符性分析</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267"/>
              <w:gridCol w:w="2959"/>
              <w:gridCol w:w="852"/>
            </w:tblGrid>
            <w:tr w14:paraId="6D5ECE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56C26D33">
                  <w:pPr>
                    <w:pStyle w:val="154"/>
                    <w:rPr>
                      <w:sz w:val="21"/>
                      <w:szCs w:val="21"/>
                    </w:rPr>
                  </w:pPr>
                  <w:r>
                    <w:rPr>
                      <w:sz w:val="21"/>
                      <w:szCs w:val="21"/>
                    </w:rPr>
                    <w:t>文件要求</w:t>
                  </w:r>
                </w:p>
              </w:tc>
              <w:tc>
                <w:tcPr>
                  <w:tcW w:w="2886" w:type="dxa"/>
                  <w:vAlign w:val="center"/>
                </w:tcPr>
                <w:p w14:paraId="2E16D680">
                  <w:pPr>
                    <w:pStyle w:val="154"/>
                    <w:rPr>
                      <w:sz w:val="21"/>
                      <w:szCs w:val="21"/>
                    </w:rPr>
                  </w:pPr>
                  <w:r>
                    <w:rPr>
                      <w:sz w:val="21"/>
                      <w:szCs w:val="21"/>
                    </w:rPr>
                    <w:t>本项目情况</w:t>
                  </w:r>
                </w:p>
              </w:tc>
              <w:tc>
                <w:tcPr>
                  <w:tcW w:w="831" w:type="dxa"/>
                  <w:vAlign w:val="center"/>
                </w:tcPr>
                <w:p w14:paraId="7CEEAB7B">
                  <w:pPr>
                    <w:pStyle w:val="154"/>
                    <w:rPr>
                      <w:sz w:val="21"/>
                      <w:szCs w:val="21"/>
                    </w:rPr>
                  </w:pPr>
                  <w:r>
                    <w:rPr>
                      <w:sz w:val="21"/>
                      <w:szCs w:val="21"/>
                    </w:rPr>
                    <w:t>相符性</w:t>
                  </w:r>
                </w:p>
              </w:tc>
            </w:tr>
            <w:tr w14:paraId="36C106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8855" w:type="dxa"/>
                  <w:gridSpan w:val="3"/>
                  <w:vAlign w:val="center"/>
                </w:tcPr>
                <w:p w14:paraId="5164E633">
                  <w:pPr>
                    <w:pStyle w:val="154"/>
                    <w:rPr>
                      <w:sz w:val="21"/>
                      <w:szCs w:val="21"/>
                    </w:rPr>
                  </w:pPr>
                  <w:r>
                    <w:rPr>
                      <w:sz w:val="21"/>
                      <w:szCs w:val="21"/>
                    </w:rPr>
                    <w:t>四、低效失效VOCs治理设施排查整治技术要点</w:t>
                  </w:r>
                </w:p>
              </w:tc>
            </w:tr>
            <w:tr w14:paraId="2E20A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350EEC25">
                  <w:pPr>
                    <w:pStyle w:val="154"/>
                    <w:jc w:val="left"/>
                    <w:rPr>
                      <w:sz w:val="21"/>
                      <w:szCs w:val="21"/>
                    </w:rPr>
                  </w:pPr>
                  <w:r>
                    <w:rPr>
                      <w:sz w:val="21"/>
                      <w:szCs w:val="21"/>
                    </w:rPr>
                    <w:t>更新升级低效VOCs治理工艺。依法依规淘汰不达标设备推动单一低温等离子、光氧化、光催化、非水溶性VOCs废气采用单一水喷淋吸收及上述技术的组合工艺(除异味治理外)加快淘汰更新。</w:t>
                  </w:r>
                </w:p>
              </w:tc>
              <w:tc>
                <w:tcPr>
                  <w:tcW w:w="2886" w:type="dxa"/>
                  <w:vAlign w:val="center"/>
                </w:tcPr>
                <w:p w14:paraId="4165B8AD">
                  <w:pPr>
                    <w:pStyle w:val="154"/>
                    <w:jc w:val="left"/>
                    <w:rPr>
                      <w:sz w:val="21"/>
                      <w:szCs w:val="21"/>
                    </w:rPr>
                  </w:pPr>
                  <w:r>
                    <w:rPr>
                      <w:sz w:val="21"/>
                      <w:szCs w:val="21"/>
                    </w:rPr>
                    <w:t>本项目为</w:t>
                  </w:r>
                  <w:r>
                    <w:rPr>
                      <w:rFonts w:hint="eastAsia"/>
                      <w:sz w:val="21"/>
                      <w:szCs w:val="21"/>
                    </w:rPr>
                    <w:t>制鞋业新建</w:t>
                  </w:r>
                  <w:r>
                    <w:rPr>
                      <w:sz w:val="21"/>
                      <w:szCs w:val="21"/>
                    </w:rPr>
                    <w:t>项目，产生的VOCs废气</w:t>
                  </w:r>
                  <w:r>
                    <w:rPr>
                      <w:rFonts w:hint="eastAsia"/>
                      <w:sz w:val="21"/>
                      <w:szCs w:val="21"/>
                    </w:rPr>
                    <w:t>采用</w:t>
                  </w:r>
                  <w:r>
                    <w:rPr>
                      <w:sz w:val="21"/>
                      <w:szCs w:val="21"/>
                    </w:rPr>
                    <w:t>两级活性炭吸附工艺</w:t>
                  </w:r>
                  <w:r>
                    <w:rPr>
                      <w:rFonts w:hint="eastAsia"/>
                      <w:sz w:val="21"/>
                      <w:szCs w:val="21"/>
                    </w:rPr>
                    <w:t>进行</w:t>
                  </w:r>
                  <w:r>
                    <w:rPr>
                      <w:sz w:val="21"/>
                      <w:szCs w:val="21"/>
                    </w:rPr>
                    <w:t>处理。</w:t>
                  </w:r>
                </w:p>
              </w:tc>
              <w:tc>
                <w:tcPr>
                  <w:tcW w:w="831" w:type="dxa"/>
                  <w:vAlign w:val="center"/>
                </w:tcPr>
                <w:p w14:paraId="3919C6AC">
                  <w:pPr>
                    <w:pStyle w:val="154"/>
                    <w:rPr>
                      <w:sz w:val="21"/>
                      <w:szCs w:val="21"/>
                    </w:rPr>
                  </w:pPr>
                  <w:r>
                    <w:rPr>
                      <w:sz w:val="21"/>
                      <w:szCs w:val="21"/>
                    </w:rPr>
                    <w:t>相符</w:t>
                  </w:r>
                </w:p>
              </w:tc>
            </w:tr>
            <w:tr w14:paraId="081B2C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1FF358D4">
                  <w:pPr>
                    <w:pStyle w:val="154"/>
                    <w:jc w:val="left"/>
                    <w:rPr>
                      <w:b/>
                      <w:sz w:val="21"/>
                      <w:szCs w:val="21"/>
                      <w:u w:val="single"/>
                    </w:rPr>
                  </w:pPr>
                  <w:r>
                    <w:rPr>
                      <w:b/>
                      <w:sz w:val="21"/>
                      <w:szCs w:val="21"/>
                      <w:u w:val="single"/>
                    </w:rPr>
                    <w:t>对于采用一次性活性炭吸附工艺的，应按设计要求定期更换活性炭，颗粒状、柱状活性炭碘值不应低于800毫克/克，蜂窝状活性炭碘值不应低于650毫克/克；采用非连续吸附-脱附治理工艺的，应按设计要求及时解吸吸附的VOCs，解吸气体应采用高效处理工艺处理后达标排放，现场检查时应监测脱附期间VOCs排放浓度和去除效率达标情况。采用冷凝工艺的，不凝尾气的温度应低于尾气中主要污染物的液化温度，对于油气回收采用单一冷凝回收工艺的，冷凝温度一般应控制在-75</w:t>
                  </w:r>
                  <w:r>
                    <w:rPr>
                      <w:rFonts w:hint="eastAsia" w:cs="宋体"/>
                      <w:b/>
                      <w:sz w:val="21"/>
                      <w:szCs w:val="21"/>
                      <w:u w:val="single"/>
                    </w:rPr>
                    <w:t>℃</w:t>
                  </w:r>
                  <w:r>
                    <w:rPr>
                      <w:b/>
                      <w:sz w:val="21"/>
                      <w:szCs w:val="21"/>
                      <w:u w:val="single"/>
                    </w:rPr>
                    <w:t>以下。对于VOCs治理产生的废吸附剂、废催化剂、废吸收剂等耗材</w:t>
                  </w:r>
                  <w:r>
                    <w:rPr>
                      <w:rFonts w:hint="eastAsia"/>
                      <w:b/>
                      <w:sz w:val="21"/>
                      <w:szCs w:val="21"/>
                      <w:u w:val="single"/>
                    </w:rPr>
                    <w:t>；</w:t>
                  </w:r>
                  <w:r>
                    <w:rPr>
                      <w:b/>
                      <w:sz w:val="21"/>
                      <w:szCs w:val="21"/>
                      <w:u w:val="single"/>
                    </w:rPr>
                    <w:t>以及含VOCs废料、渣、液等，应密闭储存，并及时清运处置;鼓励储存库设置VOCs废气收集和治理设施。</w:t>
                  </w:r>
                </w:p>
              </w:tc>
              <w:tc>
                <w:tcPr>
                  <w:tcW w:w="2886" w:type="dxa"/>
                  <w:vAlign w:val="center"/>
                </w:tcPr>
                <w:p w14:paraId="37EA3FCF">
                  <w:pPr>
                    <w:pStyle w:val="154"/>
                    <w:jc w:val="left"/>
                    <w:rPr>
                      <w:b/>
                      <w:sz w:val="21"/>
                      <w:szCs w:val="21"/>
                      <w:u w:val="single"/>
                    </w:rPr>
                  </w:pPr>
                  <w:r>
                    <w:rPr>
                      <w:b/>
                      <w:sz w:val="21"/>
                      <w:szCs w:val="21"/>
                      <w:u w:val="single"/>
                    </w:rPr>
                    <w:t>本项目为</w:t>
                  </w:r>
                  <w:r>
                    <w:rPr>
                      <w:rFonts w:hint="eastAsia"/>
                      <w:b/>
                      <w:sz w:val="21"/>
                      <w:szCs w:val="21"/>
                      <w:u w:val="single"/>
                    </w:rPr>
                    <w:t>制鞋业新建</w:t>
                  </w:r>
                  <w:r>
                    <w:rPr>
                      <w:b/>
                      <w:sz w:val="21"/>
                      <w:szCs w:val="21"/>
                      <w:u w:val="single"/>
                    </w:rPr>
                    <w:t>项目，产生的VOCs废气经两级活性炭吸附处理工艺处理，使用</w:t>
                  </w:r>
                  <w:r>
                    <w:rPr>
                      <w:rFonts w:hint="eastAsia"/>
                      <w:b/>
                      <w:sz w:val="21"/>
                      <w:szCs w:val="21"/>
                      <w:u w:val="single"/>
                    </w:rPr>
                    <w:t>颗粒状</w:t>
                  </w:r>
                  <w:r>
                    <w:rPr>
                      <w:b/>
                      <w:sz w:val="21"/>
                      <w:szCs w:val="21"/>
                      <w:u w:val="single"/>
                    </w:rPr>
                    <w:t>活性炭</w:t>
                  </w:r>
                  <w:r>
                    <w:rPr>
                      <w:rFonts w:hint="eastAsia"/>
                      <w:b/>
                      <w:sz w:val="21"/>
                      <w:szCs w:val="21"/>
                      <w:u w:val="single"/>
                    </w:rPr>
                    <w:t>，</w:t>
                  </w:r>
                  <w:r>
                    <w:rPr>
                      <w:b/>
                      <w:sz w:val="21"/>
                      <w:szCs w:val="21"/>
                      <w:u w:val="single"/>
                    </w:rPr>
                    <w:t>碘值在800mg/g及以上。</w:t>
                  </w:r>
                  <w:r>
                    <w:rPr>
                      <w:rFonts w:hint="eastAsia"/>
                      <w:b/>
                      <w:sz w:val="21"/>
                      <w:szCs w:val="21"/>
                      <w:u w:val="single"/>
                    </w:rPr>
                    <w:t>对于VOCs治理产生的废活性炭保</w:t>
                  </w:r>
                  <w:r>
                    <w:rPr>
                      <w:b/>
                      <w:sz w:val="21"/>
                      <w:szCs w:val="21"/>
                      <w:u w:val="single"/>
                    </w:rPr>
                    <w:t>暂存于危废暂存间内，并定期由具有危险废物处理资质的单位处理</w:t>
                  </w:r>
                  <w:r>
                    <w:rPr>
                      <w:rFonts w:hint="eastAsia"/>
                      <w:b/>
                      <w:sz w:val="21"/>
                      <w:szCs w:val="21"/>
                      <w:u w:val="single"/>
                    </w:rPr>
                    <w:t>。</w:t>
                  </w:r>
                </w:p>
              </w:tc>
              <w:tc>
                <w:tcPr>
                  <w:tcW w:w="831" w:type="dxa"/>
                  <w:vAlign w:val="center"/>
                </w:tcPr>
                <w:p w14:paraId="4BC1CCEE">
                  <w:pPr>
                    <w:pStyle w:val="154"/>
                    <w:rPr>
                      <w:sz w:val="21"/>
                      <w:szCs w:val="21"/>
                    </w:rPr>
                  </w:pPr>
                  <w:r>
                    <w:rPr>
                      <w:sz w:val="21"/>
                      <w:szCs w:val="21"/>
                    </w:rPr>
                    <w:t>相符</w:t>
                  </w:r>
                </w:p>
              </w:tc>
            </w:tr>
            <w:tr w14:paraId="59D89B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4A1E929F">
                  <w:pPr>
                    <w:pStyle w:val="154"/>
                    <w:jc w:val="left"/>
                    <w:rPr>
                      <w:sz w:val="21"/>
                      <w:szCs w:val="21"/>
                    </w:rPr>
                  </w:pPr>
                  <w:r>
                    <w:rPr>
                      <w:rFonts w:hint="eastAsia"/>
                      <w:sz w:val="21"/>
                      <w:szCs w:val="21"/>
                    </w:rPr>
                    <w:t>规范建设VOCs治理设施。采用燃烧工艺的，有机废气在燃烧装置的停留时间不少于0.75s；采用催化燃烧的应使用合格的催化剂并足量添加，催化剂床层设计空速宜低于40000h-。采用吸附工艺的，应对有机废气进行必要的降温、除湿和除尘等预处理；根据废气处理量、污染物浓度以及吸附剂更换周期、动态吸附容量确定装填量。采用吸收工艺的，吸收剂宜选择低挥发性或者不挥发、对废气中有机组分具有高吸收能力的介质。治理设施的处理能力应根据满负荷运行、检维修、设备启停等多种情况下的最大废气产生量确定。鼓励采取减风增浓等措施，减少废气产生量，提高废气污染物浓度。</w:t>
                  </w:r>
                </w:p>
              </w:tc>
              <w:tc>
                <w:tcPr>
                  <w:tcW w:w="2886" w:type="dxa"/>
                  <w:vAlign w:val="center"/>
                </w:tcPr>
                <w:p w14:paraId="51D54511">
                  <w:pPr>
                    <w:pStyle w:val="154"/>
                    <w:jc w:val="left"/>
                    <w:rPr>
                      <w:sz w:val="21"/>
                      <w:szCs w:val="21"/>
                    </w:rPr>
                  </w:pPr>
                  <w:r>
                    <w:rPr>
                      <w:b/>
                      <w:sz w:val="21"/>
                      <w:szCs w:val="21"/>
                      <w:u w:val="single"/>
                    </w:rPr>
                    <w:t>本项目为制鞋业项目</w:t>
                  </w:r>
                  <w:r>
                    <w:rPr>
                      <w:rFonts w:hint="eastAsia"/>
                      <w:b/>
                      <w:sz w:val="21"/>
                      <w:szCs w:val="21"/>
                      <w:u w:val="single"/>
                    </w:rPr>
                    <w:t>新</w:t>
                  </w:r>
                  <w:r>
                    <w:rPr>
                      <w:b/>
                      <w:sz w:val="21"/>
                      <w:szCs w:val="21"/>
                      <w:u w:val="single"/>
                    </w:rPr>
                    <w:t>建工程，产生的VOCs废气经两级活性炭吸附处理工艺处理</w:t>
                  </w:r>
                  <w:r>
                    <w:rPr>
                      <w:rFonts w:hint="eastAsia"/>
                      <w:b/>
                      <w:sz w:val="21"/>
                      <w:szCs w:val="21"/>
                      <w:u w:val="single"/>
                    </w:rPr>
                    <w:t>，活性炭装填量为0.8t，更换周期为3个月。</w:t>
                  </w:r>
                </w:p>
              </w:tc>
              <w:tc>
                <w:tcPr>
                  <w:tcW w:w="831" w:type="dxa"/>
                  <w:vAlign w:val="center"/>
                </w:tcPr>
                <w:p w14:paraId="5D83A32E">
                  <w:pPr>
                    <w:pStyle w:val="154"/>
                    <w:rPr>
                      <w:sz w:val="21"/>
                      <w:szCs w:val="21"/>
                    </w:rPr>
                  </w:pPr>
                  <w:r>
                    <w:rPr>
                      <w:rFonts w:hint="eastAsia"/>
                      <w:sz w:val="21"/>
                      <w:szCs w:val="21"/>
                    </w:rPr>
                    <w:t>相符</w:t>
                  </w:r>
                </w:p>
              </w:tc>
            </w:tr>
          </w:tbl>
          <w:p w14:paraId="02E759E9">
            <w:pPr>
              <w:pStyle w:val="156"/>
              <w:ind w:firstLine="480"/>
              <w:rPr>
                <w:rFonts w:eastAsia="宋体"/>
              </w:rPr>
            </w:pPr>
            <w:r>
              <w:rPr>
                <w:rFonts w:eastAsia="宋体"/>
              </w:rPr>
              <w:t>由上表可知，本项目满足河南省生态环境厅关于印发河南省低效失效大气污染治理设施排查整治实施方案的通知（豫环文〔2024〕132号）相关要求。</w:t>
            </w:r>
          </w:p>
          <w:p w14:paraId="6E00160B">
            <w:pPr>
              <w:pStyle w:val="157"/>
            </w:pPr>
            <w:r>
              <w:rPr>
                <w:rFonts w:hint="eastAsia"/>
              </w:rPr>
              <w:t>7</w:t>
            </w:r>
            <w:r>
              <w:t>、《洛阳市</w:t>
            </w:r>
            <w:r>
              <w:rPr>
                <w:rFonts w:hint="eastAsia"/>
              </w:rPr>
              <w:t>“</w:t>
            </w:r>
            <w:r>
              <w:t>十四五</w:t>
            </w:r>
            <w:r>
              <w:rPr>
                <w:rFonts w:hint="eastAsia"/>
              </w:rPr>
              <w:t>”</w:t>
            </w:r>
            <w:r>
              <w:t>生态环境保护和生态经济发展规划的通知》（洛政〔2022〕32号）</w:t>
            </w:r>
          </w:p>
          <w:p w14:paraId="7E9DDB0F">
            <w:pPr>
              <w:pStyle w:val="182"/>
              <w:ind w:firstLine="480"/>
            </w:pPr>
            <w:r>
              <w:t>表1-</w:t>
            </w:r>
            <w:r>
              <w:rPr>
                <w:rFonts w:hint="eastAsia"/>
              </w:rPr>
              <w:t>10</w:t>
            </w:r>
            <w:r>
              <w:t xml:space="preserve">        与（洛政〔2022〕32号）相符性分析</w:t>
            </w:r>
          </w:p>
          <w:tbl>
            <w:tblPr>
              <w:tblStyle w:val="88"/>
              <w:tblW w:w="90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525"/>
              <w:gridCol w:w="1701"/>
              <w:gridCol w:w="852"/>
            </w:tblGrid>
            <w:tr w14:paraId="18B80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594" w:type="pct"/>
                  <w:tcMar>
                    <w:top w:w="0" w:type="dxa"/>
                    <w:left w:w="108" w:type="dxa"/>
                    <w:bottom w:w="0" w:type="dxa"/>
                    <w:right w:w="108" w:type="dxa"/>
                  </w:tcMar>
                </w:tcPr>
                <w:p w14:paraId="65D4C8BE">
                  <w:pPr>
                    <w:pStyle w:val="154"/>
                    <w:rPr>
                      <w:rFonts w:asciiTheme="minorEastAsia" w:hAnsiTheme="minorEastAsia"/>
                      <w:sz w:val="21"/>
                      <w:szCs w:val="21"/>
                    </w:rPr>
                  </w:pPr>
                  <w:r>
                    <w:rPr>
                      <w:rFonts w:asciiTheme="minorEastAsia" w:hAnsiTheme="minorEastAsia"/>
                      <w:sz w:val="21"/>
                      <w:szCs w:val="21"/>
                    </w:rPr>
                    <w:t>文件要求</w:t>
                  </w:r>
                </w:p>
              </w:tc>
              <w:tc>
                <w:tcPr>
                  <w:tcW w:w="937" w:type="pct"/>
                  <w:tcMar>
                    <w:top w:w="0" w:type="dxa"/>
                    <w:left w:w="108" w:type="dxa"/>
                    <w:bottom w:w="0" w:type="dxa"/>
                    <w:right w:w="108" w:type="dxa"/>
                  </w:tcMar>
                </w:tcPr>
                <w:p w14:paraId="503CD5CB">
                  <w:pPr>
                    <w:pStyle w:val="154"/>
                    <w:rPr>
                      <w:rFonts w:asciiTheme="minorEastAsia" w:hAnsiTheme="minorEastAsia"/>
                      <w:sz w:val="21"/>
                      <w:szCs w:val="21"/>
                    </w:rPr>
                  </w:pPr>
                  <w:r>
                    <w:rPr>
                      <w:rFonts w:asciiTheme="minorEastAsia" w:hAnsiTheme="minorEastAsia"/>
                      <w:sz w:val="21"/>
                      <w:szCs w:val="21"/>
                    </w:rPr>
                    <w:t>本项目情况</w:t>
                  </w:r>
                </w:p>
              </w:tc>
              <w:tc>
                <w:tcPr>
                  <w:tcW w:w="469" w:type="pct"/>
                  <w:tcMar>
                    <w:top w:w="0" w:type="dxa"/>
                    <w:left w:w="108" w:type="dxa"/>
                    <w:bottom w:w="0" w:type="dxa"/>
                    <w:right w:w="108" w:type="dxa"/>
                  </w:tcMar>
                </w:tcPr>
                <w:p w14:paraId="13951454">
                  <w:pPr>
                    <w:pStyle w:val="154"/>
                    <w:rPr>
                      <w:rFonts w:asciiTheme="minorEastAsia" w:hAnsiTheme="minorEastAsia"/>
                      <w:sz w:val="21"/>
                      <w:szCs w:val="21"/>
                    </w:rPr>
                  </w:pPr>
                  <w:r>
                    <w:rPr>
                      <w:rFonts w:asciiTheme="minorEastAsia" w:hAnsiTheme="minorEastAsia"/>
                      <w:sz w:val="21"/>
                      <w:szCs w:val="21"/>
                    </w:rPr>
                    <w:t>相符性</w:t>
                  </w:r>
                </w:p>
              </w:tc>
            </w:tr>
            <w:tr w14:paraId="1C121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594" w:type="pct"/>
                  <w:tcMar>
                    <w:top w:w="0" w:type="dxa"/>
                    <w:left w:w="108" w:type="dxa"/>
                    <w:bottom w:w="0" w:type="dxa"/>
                    <w:right w:w="108" w:type="dxa"/>
                  </w:tcMar>
                </w:tcPr>
                <w:p w14:paraId="40F7F477">
                  <w:pPr>
                    <w:pStyle w:val="154"/>
                    <w:jc w:val="left"/>
                    <w:rPr>
                      <w:rFonts w:cs="Times New Roman"/>
                      <w:sz w:val="21"/>
                      <w:szCs w:val="21"/>
                    </w:rPr>
                  </w:pPr>
                  <w:r>
                    <w:rPr>
                      <w:rFonts w:cs="Times New Roman" w:hAnsiTheme="minorEastAsia"/>
                      <w:sz w:val="21"/>
                      <w:szCs w:val="21"/>
                    </w:rPr>
                    <w:t>第五章、推进生态环境提升行动，深化污染防治</w:t>
                  </w:r>
                </w:p>
                <w:p w14:paraId="22588080">
                  <w:pPr>
                    <w:pStyle w:val="154"/>
                    <w:jc w:val="left"/>
                    <w:rPr>
                      <w:rFonts w:cs="Times New Roman"/>
                      <w:sz w:val="21"/>
                      <w:szCs w:val="21"/>
                    </w:rPr>
                  </w:pPr>
                  <w:r>
                    <w:rPr>
                      <w:rFonts w:cs="Times New Roman" w:hAnsiTheme="minorEastAsia"/>
                      <w:sz w:val="21"/>
                      <w:szCs w:val="21"/>
                    </w:rPr>
                    <w:t>加强</w:t>
                  </w:r>
                  <w:r>
                    <w:rPr>
                      <w:rFonts w:cs="Times New Roman"/>
                      <w:sz w:val="21"/>
                      <w:szCs w:val="21"/>
                    </w:rPr>
                    <w:t>VOCs</w:t>
                  </w:r>
                  <w:r>
                    <w:rPr>
                      <w:rFonts w:cs="Times New Roman" w:hAnsiTheme="minorEastAsia"/>
                      <w:sz w:val="21"/>
                      <w:szCs w:val="21"/>
                    </w:rPr>
                    <w:t>全过程治理。严格</w:t>
                  </w:r>
                  <w:r>
                    <w:rPr>
                      <w:rFonts w:cs="Times New Roman"/>
                      <w:sz w:val="21"/>
                      <w:szCs w:val="21"/>
                    </w:rPr>
                    <w:t>VOCs</w:t>
                  </w:r>
                  <w:r>
                    <w:rPr>
                      <w:rFonts w:cs="Times New Roman" w:hAnsiTheme="minorEastAsia"/>
                      <w:sz w:val="21"/>
                      <w:szCs w:val="21"/>
                    </w:rPr>
                    <w:t>产品准入和监控，推进重点行业</w:t>
                  </w:r>
                  <w:r>
                    <w:rPr>
                      <w:rFonts w:cs="Times New Roman"/>
                      <w:sz w:val="21"/>
                      <w:szCs w:val="21"/>
                    </w:rPr>
                    <w:t>VOCs</w:t>
                  </w:r>
                  <w:r>
                    <w:rPr>
                      <w:rFonts w:cs="Times New Roman" w:hAnsiTheme="minorEastAsia"/>
                      <w:sz w:val="21"/>
                      <w:szCs w:val="21"/>
                    </w:rPr>
                    <w:t>污染物全过程综合整治。按照</w:t>
                  </w:r>
                  <w:r>
                    <w:rPr>
                      <w:rFonts w:cs="Times New Roman" w:asciiTheme="minorEastAsia" w:hAnsiTheme="minorEastAsia"/>
                      <w:sz w:val="21"/>
                      <w:szCs w:val="21"/>
                    </w:rPr>
                    <w:t>“可替尽替、应代尽代”</w:t>
                  </w:r>
                  <w:r>
                    <w:rPr>
                      <w:rFonts w:cs="Times New Roman" w:hAnsiTheme="minorEastAsia"/>
                      <w:sz w:val="21"/>
                      <w:szCs w:val="21"/>
                    </w:rPr>
                    <w:t>的原则，全面推进使用低</w:t>
                  </w:r>
                  <w:r>
                    <w:rPr>
                      <w:rFonts w:cs="Times New Roman"/>
                      <w:sz w:val="21"/>
                      <w:szCs w:val="21"/>
                    </w:rPr>
                    <w:t>VOCs</w:t>
                  </w:r>
                  <w:r>
                    <w:rPr>
                      <w:rFonts w:cs="Times New Roman" w:hAnsiTheme="minorEastAsia"/>
                      <w:sz w:val="21"/>
                      <w:szCs w:val="21"/>
                    </w:rPr>
                    <w:t>含量涂料、油墨、胶粘剂、清洗剂等。建立低</w:t>
                  </w:r>
                  <w:r>
                    <w:rPr>
                      <w:rFonts w:cs="Times New Roman"/>
                      <w:sz w:val="21"/>
                      <w:szCs w:val="21"/>
                    </w:rPr>
                    <w:t>VOCs</w:t>
                  </w:r>
                  <w:r>
                    <w:rPr>
                      <w:rFonts w:cs="Times New Roman" w:hAnsiTheme="minorEastAsia"/>
                      <w:sz w:val="21"/>
                      <w:szCs w:val="21"/>
                    </w:rPr>
                    <w:t>含量产品标志制度和源头替代力度，加大抽检力度。加大工业涂装、包装印刷、家具制造等行业源头替代力度，在化工行业推广使用低（无）</w:t>
                  </w:r>
                  <w:r>
                    <w:rPr>
                      <w:rFonts w:cs="Times New Roman"/>
                      <w:sz w:val="21"/>
                      <w:szCs w:val="21"/>
                    </w:rPr>
                    <w:t>VOCs</w:t>
                  </w:r>
                  <w:r>
                    <w:rPr>
                      <w:rFonts w:cs="Times New Roman" w:hAnsiTheme="minorEastAsia"/>
                      <w:sz w:val="21"/>
                      <w:szCs w:val="21"/>
                    </w:rPr>
                    <w:t>含量、低反应活性的原辅材料，加快芳香烃、含卤素有机化合物的绿色替代。</w:t>
                  </w:r>
                </w:p>
                <w:p w14:paraId="3C763979">
                  <w:pPr>
                    <w:pStyle w:val="154"/>
                    <w:jc w:val="left"/>
                    <w:rPr>
                      <w:rFonts w:cs="Times New Roman"/>
                      <w:sz w:val="21"/>
                      <w:szCs w:val="21"/>
                    </w:rPr>
                  </w:pPr>
                  <w:r>
                    <w:rPr>
                      <w:rFonts w:cs="Times New Roman" w:hAnsiTheme="minorEastAsia"/>
                      <w:sz w:val="21"/>
                      <w:szCs w:val="21"/>
                    </w:rPr>
                    <w:t>强化重点行业</w:t>
                  </w:r>
                  <w:r>
                    <w:rPr>
                      <w:rFonts w:cs="Times New Roman"/>
                      <w:sz w:val="21"/>
                      <w:szCs w:val="21"/>
                    </w:rPr>
                    <w:t>VOCs</w:t>
                  </w:r>
                  <w:r>
                    <w:rPr>
                      <w:rFonts w:cs="Times New Roman" w:hAnsiTheme="minorEastAsia"/>
                      <w:sz w:val="21"/>
                      <w:szCs w:val="21"/>
                    </w:rPr>
                    <w:t>治理减排，实施</w:t>
                  </w:r>
                  <w:r>
                    <w:rPr>
                      <w:rFonts w:cs="Times New Roman"/>
                      <w:sz w:val="21"/>
                      <w:szCs w:val="21"/>
                    </w:rPr>
                    <w:t>VOCs</w:t>
                  </w:r>
                  <w:r>
                    <w:rPr>
                      <w:rFonts w:cs="Times New Roman" w:hAnsiTheme="minorEastAsia"/>
                      <w:sz w:val="21"/>
                      <w:szCs w:val="21"/>
                    </w:rPr>
                    <w:t>排放总量控制。逐步取消炼油、石化、煤化工、制药、农药、化工、工业涂装、包装印刷等企业非必要的</w:t>
                  </w:r>
                  <w:r>
                    <w:rPr>
                      <w:rFonts w:cs="Times New Roman"/>
                      <w:sz w:val="21"/>
                      <w:szCs w:val="21"/>
                    </w:rPr>
                    <w:t xml:space="preserve">VOCs </w:t>
                  </w:r>
                  <w:r>
                    <w:rPr>
                      <w:rFonts w:cs="Times New Roman" w:hAnsiTheme="minorEastAsia"/>
                      <w:sz w:val="21"/>
                      <w:szCs w:val="21"/>
                    </w:rPr>
                    <w:t>废气排放系统旁路（因安全生产等原因除外）。引导重点行业合理安排停检修计划，减少非正常工况</w:t>
                  </w:r>
                  <w:r>
                    <w:rPr>
                      <w:rFonts w:cs="Times New Roman"/>
                      <w:sz w:val="21"/>
                      <w:szCs w:val="21"/>
                    </w:rPr>
                    <w:t>VOCs</w:t>
                  </w:r>
                  <w:r>
                    <w:rPr>
                      <w:rFonts w:cs="Times New Roman" w:hAnsiTheme="minorEastAsia"/>
                      <w:sz w:val="21"/>
                      <w:szCs w:val="21"/>
                    </w:rPr>
                    <w:t>排放。深化工业园区和企业集群综合治理，加快推进涉</w:t>
                  </w:r>
                  <w:r>
                    <w:rPr>
                      <w:rFonts w:cs="Times New Roman"/>
                      <w:sz w:val="21"/>
                      <w:szCs w:val="21"/>
                    </w:rPr>
                    <w:t>VOCs</w:t>
                  </w:r>
                  <w:r>
                    <w:rPr>
                      <w:rFonts w:cs="Times New Roman" w:hAnsiTheme="minorEastAsia"/>
                      <w:sz w:val="21"/>
                      <w:szCs w:val="21"/>
                    </w:rPr>
                    <w:t>工业园区</w:t>
                  </w:r>
                  <w:r>
                    <w:rPr>
                      <w:rFonts w:cs="Times New Roman"/>
                      <w:sz w:val="21"/>
                      <w:szCs w:val="21"/>
                    </w:rPr>
                    <w:t>“</w:t>
                  </w:r>
                  <w:r>
                    <w:rPr>
                      <w:rFonts w:cs="Times New Roman" w:hAnsiTheme="minorEastAsia"/>
                      <w:sz w:val="21"/>
                      <w:szCs w:val="21"/>
                    </w:rPr>
                    <w:t>绿岛</w:t>
                  </w:r>
                  <w:r>
                    <w:rPr>
                      <w:rFonts w:cs="Times New Roman"/>
                      <w:sz w:val="21"/>
                      <w:szCs w:val="21"/>
                    </w:rPr>
                    <w:t>”</w:t>
                  </w:r>
                  <w:r>
                    <w:rPr>
                      <w:rFonts w:cs="Times New Roman" w:hAnsiTheme="minorEastAsia"/>
                      <w:sz w:val="21"/>
                      <w:szCs w:val="21"/>
                    </w:rPr>
                    <w:t>项目，鼓励其他具备条件、有需求的开发区规划建设喷涂中心、活性炭回收再生处理中心、溶剂处理中心等</w:t>
                  </w:r>
                  <w:r>
                    <w:rPr>
                      <w:rFonts w:cs="Times New Roman" w:asciiTheme="minorEastAsia" w:hAnsiTheme="minorEastAsia"/>
                      <w:sz w:val="21"/>
                      <w:szCs w:val="21"/>
                    </w:rPr>
                    <w:t>“共享工厂”</w:t>
                  </w:r>
                  <w:r>
                    <w:rPr>
                      <w:rFonts w:cs="Times New Roman" w:hAnsiTheme="minorEastAsia"/>
                      <w:sz w:val="21"/>
                      <w:szCs w:val="21"/>
                    </w:rPr>
                    <w:t>。加强</w:t>
                  </w:r>
                  <w:r>
                    <w:rPr>
                      <w:rFonts w:cs="Times New Roman"/>
                      <w:sz w:val="21"/>
                      <w:szCs w:val="21"/>
                    </w:rPr>
                    <w:t>VOCs</w:t>
                  </w:r>
                  <w:r>
                    <w:rPr>
                      <w:rFonts w:cs="Times New Roman" w:hAnsiTheme="minorEastAsia"/>
                      <w:sz w:val="21"/>
                      <w:szCs w:val="21"/>
                    </w:rPr>
                    <w:t>无组织排放控制，实施含</w:t>
                  </w:r>
                  <w:r>
                    <w:rPr>
                      <w:rFonts w:cs="Times New Roman"/>
                      <w:sz w:val="21"/>
                      <w:szCs w:val="21"/>
                    </w:rPr>
                    <w:t>VOCs</w:t>
                  </w:r>
                  <w:r>
                    <w:rPr>
                      <w:rFonts w:cs="Times New Roman" w:hAnsiTheme="minorEastAsia"/>
                      <w:sz w:val="21"/>
                      <w:szCs w:val="21"/>
                    </w:rPr>
                    <w:t>物料全方位、全链条、全环节管理，强化储存、转移和输送、设备与管线组件泄漏、敞开液面逸散以及工艺过程等无组织排放环节的污染收集处理。建筑涂装行业全面使用符合环保要求的涂料产品，加强汽修行业</w:t>
                  </w:r>
                  <w:r>
                    <w:rPr>
                      <w:rFonts w:cs="Times New Roman"/>
                      <w:sz w:val="21"/>
                      <w:szCs w:val="21"/>
                    </w:rPr>
                    <w:t>VOCs</w:t>
                  </w:r>
                  <w:r>
                    <w:rPr>
                      <w:rFonts w:cs="Times New Roman" w:hAnsiTheme="minorEastAsia"/>
                      <w:sz w:val="21"/>
                      <w:szCs w:val="21"/>
                    </w:rPr>
                    <w:t>综合治理。</w:t>
                  </w:r>
                </w:p>
              </w:tc>
              <w:tc>
                <w:tcPr>
                  <w:tcW w:w="937" w:type="pct"/>
                  <w:tcMar>
                    <w:top w:w="0" w:type="dxa"/>
                    <w:left w:w="108" w:type="dxa"/>
                    <w:bottom w:w="0" w:type="dxa"/>
                    <w:right w:w="108" w:type="dxa"/>
                  </w:tcMar>
                  <w:vAlign w:val="center"/>
                </w:tcPr>
                <w:p w14:paraId="213D62FE">
                  <w:pPr>
                    <w:pStyle w:val="154"/>
                    <w:jc w:val="both"/>
                    <w:rPr>
                      <w:rFonts w:cs="Times New Roman"/>
                      <w:sz w:val="21"/>
                      <w:szCs w:val="21"/>
                    </w:rPr>
                  </w:pPr>
                  <w:r>
                    <w:rPr>
                      <w:rFonts w:cs="Times New Roman" w:hAnsiTheme="minorEastAsia"/>
                      <w:sz w:val="21"/>
                      <w:szCs w:val="21"/>
                    </w:rPr>
                    <w:t>本项目采用低</w:t>
                  </w:r>
                  <w:r>
                    <w:rPr>
                      <w:rFonts w:cs="Times New Roman"/>
                      <w:sz w:val="21"/>
                      <w:szCs w:val="21"/>
                    </w:rPr>
                    <w:t xml:space="preserve"> VOCs</w:t>
                  </w:r>
                  <w:r>
                    <w:rPr>
                      <w:rFonts w:cs="Times New Roman" w:hAnsiTheme="minorEastAsia"/>
                      <w:sz w:val="21"/>
                      <w:szCs w:val="21"/>
                    </w:rPr>
                    <w:t>原料</w:t>
                  </w:r>
                  <w:r>
                    <w:rPr>
                      <w:rFonts w:cs="Times New Roman"/>
                      <w:sz w:val="21"/>
                      <w:szCs w:val="21"/>
                    </w:rPr>
                    <w:t>；</w:t>
                  </w:r>
                  <w:r>
                    <w:rPr>
                      <w:rFonts w:cs="Times New Roman" w:hAnsiTheme="minorEastAsia"/>
                      <w:sz w:val="21"/>
                      <w:szCs w:val="21"/>
                    </w:rPr>
                    <w:t>所用清洗剂为低</w:t>
                  </w:r>
                  <w:r>
                    <w:rPr>
                      <w:rFonts w:cs="Times New Roman"/>
                      <w:sz w:val="21"/>
                      <w:szCs w:val="21"/>
                    </w:rPr>
                    <w:t>VOCs</w:t>
                  </w:r>
                  <w:r>
                    <w:rPr>
                      <w:rFonts w:cs="Times New Roman" w:hAnsiTheme="minorEastAsia"/>
                      <w:sz w:val="21"/>
                      <w:szCs w:val="21"/>
                    </w:rPr>
                    <w:t>含量原料。清洗剂满足《清洗剂挥发性有机化合物含量限值》</w:t>
                  </w:r>
                  <w:r>
                    <w:rPr>
                      <w:rFonts w:cs="Times New Roman"/>
                      <w:sz w:val="21"/>
                      <w:szCs w:val="21"/>
                    </w:rPr>
                    <w:t>(GB38508 -2020)</w:t>
                  </w:r>
                  <w:r>
                    <w:rPr>
                      <w:rFonts w:cs="Times New Roman" w:hAnsiTheme="minorEastAsia"/>
                      <w:sz w:val="21"/>
                      <w:szCs w:val="21"/>
                    </w:rPr>
                    <w:t>要求。</w:t>
                  </w:r>
                </w:p>
                <w:p w14:paraId="44C2A0B8">
                  <w:pPr>
                    <w:pStyle w:val="154"/>
                    <w:jc w:val="both"/>
                    <w:rPr>
                      <w:rFonts w:cs="Times New Roman"/>
                      <w:sz w:val="21"/>
                      <w:szCs w:val="21"/>
                    </w:rPr>
                  </w:pPr>
                  <w:r>
                    <w:rPr>
                      <w:rFonts w:cs="Times New Roman" w:hAnsiTheme="minorEastAsia"/>
                      <w:sz w:val="21"/>
                      <w:szCs w:val="21"/>
                    </w:rPr>
                    <w:t>本项目不使用溶剂型涂料、油墨和胶粘剂等。</w:t>
                  </w:r>
                </w:p>
              </w:tc>
              <w:tc>
                <w:tcPr>
                  <w:tcW w:w="469" w:type="pct"/>
                  <w:tcMar>
                    <w:top w:w="0" w:type="dxa"/>
                    <w:left w:w="108" w:type="dxa"/>
                    <w:bottom w:w="0" w:type="dxa"/>
                    <w:right w:w="108" w:type="dxa"/>
                  </w:tcMar>
                  <w:vAlign w:val="center"/>
                </w:tcPr>
                <w:p w14:paraId="4CFE1A91">
                  <w:pPr>
                    <w:pStyle w:val="154"/>
                    <w:rPr>
                      <w:rFonts w:asciiTheme="minorEastAsia" w:hAnsiTheme="minorEastAsia"/>
                      <w:sz w:val="21"/>
                      <w:szCs w:val="21"/>
                    </w:rPr>
                  </w:pPr>
                  <w:r>
                    <w:rPr>
                      <w:rFonts w:asciiTheme="minorEastAsia" w:hAnsiTheme="minorEastAsia"/>
                      <w:sz w:val="21"/>
                      <w:szCs w:val="21"/>
                    </w:rPr>
                    <w:t>相符</w:t>
                  </w:r>
                </w:p>
              </w:tc>
            </w:tr>
          </w:tbl>
          <w:p w14:paraId="5F5B2281">
            <w:pPr>
              <w:pStyle w:val="156"/>
              <w:ind w:firstLine="480"/>
            </w:pPr>
            <w:r>
              <w:t>由上表可知，本项目满足《洛阳市</w:t>
            </w:r>
            <w:r>
              <w:rPr>
                <w:rFonts w:hint="eastAsia"/>
              </w:rPr>
              <w:t>“</w:t>
            </w:r>
            <w:r>
              <w:t>十四五</w:t>
            </w:r>
            <w:r>
              <w:rPr>
                <w:rFonts w:hint="eastAsia"/>
              </w:rPr>
              <w:t>”</w:t>
            </w:r>
            <w:r>
              <w:t>生态环境保护和生态经济发展规划的通知》（洛政〔2022〕32号）相关要求。</w:t>
            </w:r>
          </w:p>
          <w:p w14:paraId="2E32A2F9">
            <w:pPr>
              <w:pStyle w:val="157"/>
            </w:pPr>
            <w:r>
              <w:rPr>
                <w:rFonts w:hint="eastAsia"/>
              </w:rPr>
              <w:t>8</w:t>
            </w:r>
            <w:r>
              <w:t>、关于印发《洛阳市推动生态环境质量稳定向好三年行动实施方案（2023—2025年）的通知》洛政办〔2023〕42号</w:t>
            </w:r>
          </w:p>
          <w:p w14:paraId="281B5484">
            <w:pPr>
              <w:pStyle w:val="182"/>
              <w:ind w:firstLine="480"/>
            </w:pPr>
          </w:p>
          <w:p w14:paraId="17CD6B27">
            <w:pPr>
              <w:pStyle w:val="182"/>
              <w:ind w:firstLine="480"/>
            </w:pPr>
          </w:p>
          <w:p w14:paraId="2F1D1B86">
            <w:pPr>
              <w:pStyle w:val="182"/>
              <w:ind w:firstLine="480"/>
            </w:pPr>
          </w:p>
          <w:p w14:paraId="7B89574D">
            <w:pPr>
              <w:pStyle w:val="182"/>
              <w:ind w:firstLine="480"/>
            </w:pPr>
          </w:p>
          <w:p w14:paraId="04DBEC86">
            <w:pPr>
              <w:pStyle w:val="182"/>
              <w:ind w:firstLine="480"/>
            </w:pPr>
          </w:p>
          <w:p w14:paraId="1ED79166">
            <w:pPr>
              <w:pStyle w:val="182"/>
              <w:ind w:firstLine="480"/>
            </w:pPr>
          </w:p>
          <w:p w14:paraId="51FD4772">
            <w:pPr>
              <w:pStyle w:val="182"/>
              <w:ind w:firstLine="480"/>
            </w:pPr>
            <w:r>
              <w:t>表1-1</w:t>
            </w:r>
            <w:r>
              <w:rPr>
                <w:rFonts w:hint="eastAsia"/>
              </w:rPr>
              <w:t>1</w:t>
            </w:r>
            <w:r>
              <w:t xml:space="preserve">        与（洛政办〔2023〕42号）相符性分析</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267"/>
              <w:gridCol w:w="2959"/>
              <w:gridCol w:w="852"/>
            </w:tblGrid>
            <w:tr w14:paraId="0B8A12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40840A91">
                  <w:pPr>
                    <w:pStyle w:val="154"/>
                    <w:rPr>
                      <w:sz w:val="21"/>
                      <w:szCs w:val="21"/>
                    </w:rPr>
                  </w:pPr>
                  <w:r>
                    <w:rPr>
                      <w:sz w:val="21"/>
                      <w:szCs w:val="21"/>
                    </w:rPr>
                    <w:t>文件要求</w:t>
                  </w:r>
                </w:p>
              </w:tc>
              <w:tc>
                <w:tcPr>
                  <w:tcW w:w="2886" w:type="dxa"/>
                  <w:vAlign w:val="center"/>
                </w:tcPr>
                <w:p w14:paraId="499339C5">
                  <w:pPr>
                    <w:pStyle w:val="154"/>
                    <w:rPr>
                      <w:sz w:val="21"/>
                      <w:szCs w:val="21"/>
                    </w:rPr>
                  </w:pPr>
                  <w:r>
                    <w:rPr>
                      <w:sz w:val="21"/>
                      <w:szCs w:val="21"/>
                    </w:rPr>
                    <w:t>本项目情况</w:t>
                  </w:r>
                </w:p>
              </w:tc>
              <w:tc>
                <w:tcPr>
                  <w:tcW w:w="831" w:type="dxa"/>
                  <w:vAlign w:val="center"/>
                </w:tcPr>
                <w:p w14:paraId="15A4016F">
                  <w:pPr>
                    <w:pStyle w:val="154"/>
                    <w:rPr>
                      <w:sz w:val="21"/>
                      <w:szCs w:val="21"/>
                    </w:rPr>
                  </w:pPr>
                  <w:r>
                    <w:rPr>
                      <w:sz w:val="21"/>
                      <w:szCs w:val="21"/>
                    </w:rPr>
                    <w:t>相符性</w:t>
                  </w:r>
                </w:p>
              </w:tc>
            </w:tr>
            <w:tr w14:paraId="7DAB08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27" w:hRule="atLeast"/>
                <w:jc w:val="center"/>
              </w:trPr>
              <w:tc>
                <w:tcPr>
                  <w:tcW w:w="5138" w:type="dxa"/>
                  <w:vAlign w:val="center"/>
                </w:tcPr>
                <w:p w14:paraId="6C0D5007">
                  <w:pPr>
                    <w:pStyle w:val="154"/>
                    <w:rPr>
                      <w:sz w:val="21"/>
                      <w:szCs w:val="21"/>
                    </w:rPr>
                  </w:pPr>
                  <w:r>
                    <w:rPr>
                      <w:sz w:val="21"/>
                      <w:szCs w:val="21"/>
                    </w:rPr>
                    <w:t>（四）工业行业升级改造行动</w:t>
                  </w:r>
                </w:p>
              </w:tc>
              <w:tc>
                <w:tcPr>
                  <w:tcW w:w="2886" w:type="dxa"/>
                  <w:vAlign w:val="center"/>
                </w:tcPr>
                <w:p w14:paraId="6F999A84">
                  <w:pPr>
                    <w:pStyle w:val="154"/>
                    <w:rPr>
                      <w:sz w:val="21"/>
                      <w:szCs w:val="21"/>
                    </w:rPr>
                  </w:pPr>
                </w:p>
              </w:tc>
              <w:tc>
                <w:tcPr>
                  <w:tcW w:w="831" w:type="dxa"/>
                  <w:vAlign w:val="center"/>
                </w:tcPr>
                <w:p w14:paraId="03091654">
                  <w:pPr>
                    <w:pStyle w:val="154"/>
                    <w:rPr>
                      <w:sz w:val="21"/>
                      <w:szCs w:val="21"/>
                    </w:rPr>
                  </w:pPr>
                </w:p>
              </w:tc>
            </w:tr>
            <w:tr w14:paraId="3250A9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2B5CC48F">
                  <w:pPr>
                    <w:pStyle w:val="154"/>
                    <w:jc w:val="left"/>
                    <w:rPr>
                      <w:sz w:val="21"/>
                      <w:szCs w:val="21"/>
                    </w:rPr>
                  </w:pPr>
                  <w:r>
                    <w:rPr>
                      <w:sz w:val="21"/>
                      <w:szCs w:val="21"/>
                    </w:rPr>
                    <w:t>8、推进重点行业超低排放改造。新建、改扩建（含搬迁）钢铁、水泥、焦化项目要达到超低排放水平。强化臭氧和细颗粒物协同控制，推进砖瓦、石灰、玻璃、陶瓷、耐材、碳素、有色金属冶炼等行业深度治理，对无法稳定达标排放的企业，通过更换适宜高效治理工艺、提升现有治污设施处理能力、清洁能源替代等方式实施分类整治，加强涉VOCs企业管理。</w:t>
                  </w:r>
                </w:p>
              </w:tc>
              <w:tc>
                <w:tcPr>
                  <w:tcW w:w="2886" w:type="dxa"/>
                  <w:vAlign w:val="center"/>
                </w:tcPr>
                <w:p w14:paraId="21AB4812">
                  <w:pPr>
                    <w:pStyle w:val="154"/>
                    <w:jc w:val="left"/>
                    <w:rPr>
                      <w:sz w:val="21"/>
                      <w:szCs w:val="21"/>
                    </w:rPr>
                  </w:pPr>
                  <w:r>
                    <w:rPr>
                      <w:sz w:val="21"/>
                      <w:szCs w:val="21"/>
                    </w:rPr>
                    <w:t>本项目为制鞋业项目</w:t>
                  </w:r>
                  <w:r>
                    <w:rPr>
                      <w:rFonts w:hint="eastAsia"/>
                      <w:sz w:val="21"/>
                      <w:szCs w:val="21"/>
                    </w:rPr>
                    <w:t>新</w:t>
                  </w:r>
                  <w:r>
                    <w:rPr>
                      <w:sz w:val="21"/>
                      <w:szCs w:val="21"/>
                    </w:rPr>
                    <w:t>建工程，VOCs排放执行大气污染物特别排放限值；且VOCs污染物总量指标进行区域替代。</w:t>
                  </w:r>
                </w:p>
              </w:tc>
              <w:tc>
                <w:tcPr>
                  <w:tcW w:w="831" w:type="dxa"/>
                  <w:vAlign w:val="center"/>
                </w:tcPr>
                <w:p w14:paraId="62B3557A">
                  <w:pPr>
                    <w:pStyle w:val="154"/>
                    <w:rPr>
                      <w:sz w:val="21"/>
                      <w:szCs w:val="21"/>
                    </w:rPr>
                  </w:pPr>
                  <w:r>
                    <w:rPr>
                      <w:sz w:val="21"/>
                      <w:szCs w:val="21"/>
                    </w:rPr>
                    <w:t>相符</w:t>
                  </w:r>
                </w:p>
              </w:tc>
            </w:tr>
            <w:tr w14:paraId="7E5CA8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41FF2311">
                  <w:pPr>
                    <w:pStyle w:val="154"/>
                    <w:jc w:val="left"/>
                    <w:rPr>
                      <w:sz w:val="21"/>
                      <w:szCs w:val="21"/>
                    </w:rPr>
                  </w:pPr>
                  <w:r>
                    <w:rPr>
                      <w:sz w:val="21"/>
                      <w:szCs w:val="21"/>
                    </w:rPr>
                    <w:t>9.开展传统产业集群升级改造。耐火材料、石灰、有色、铸造、矿石采选、包装印刷、家具制造、人造板、碳素、制鞋等行业企业集中地方要制定产业集群发展规划，分类实施淘汰关停、搬迁入园、就地改造。</w:t>
                  </w:r>
                </w:p>
              </w:tc>
              <w:tc>
                <w:tcPr>
                  <w:tcW w:w="2886" w:type="dxa"/>
                  <w:vAlign w:val="center"/>
                </w:tcPr>
                <w:p w14:paraId="5EDAF133">
                  <w:pPr>
                    <w:pStyle w:val="154"/>
                    <w:jc w:val="both"/>
                    <w:rPr>
                      <w:b/>
                      <w:sz w:val="21"/>
                      <w:szCs w:val="21"/>
                      <w:u w:val="single"/>
                    </w:rPr>
                  </w:pPr>
                  <w:r>
                    <w:rPr>
                      <w:b/>
                      <w:sz w:val="21"/>
                      <w:szCs w:val="21"/>
                      <w:u w:val="single"/>
                    </w:rPr>
                    <w:t>本项目为制鞋业项目</w:t>
                  </w:r>
                  <w:r>
                    <w:rPr>
                      <w:rFonts w:hint="eastAsia"/>
                      <w:b/>
                      <w:sz w:val="21"/>
                      <w:szCs w:val="21"/>
                      <w:u w:val="single"/>
                    </w:rPr>
                    <w:t>新</w:t>
                  </w:r>
                  <w:r>
                    <w:rPr>
                      <w:b/>
                      <w:sz w:val="21"/>
                      <w:szCs w:val="21"/>
                      <w:u w:val="single"/>
                    </w:rPr>
                    <w:t>建工程，</w:t>
                  </w:r>
                  <w:r>
                    <w:rPr>
                      <w:rFonts w:eastAsia="宋体" w:cs="Times New Roman"/>
                      <w:b/>
                      <w:sz w:val="21"/>
                      <w:szCs w:val="21"/>
                      <w:u w:val="single"/>
                    </w:rPr>
                    <w:t>运营过程中</w:t>
                  </w:r>
                  <w:r>
                    <w:rPr>
                      <w:rFonts w:eastAsia="宋体" w:cs="Times New Roman"/>
                      <w:b/>
                      <w:kern w:val="2"/>
                      <w:sz w:val="21"/>
                      <w:szCs w:val="21"/>
                      <w:u w:val="single"/>
                    </w:rPr>
                    <w:t>注</w:t>
                  </w:r>
                  <w:r>
                    <w:rPr>
                      <w:rFonts w:hint="eastAsia" w:eastAsia="宋体" w:cs="Times New Roman"/>
                      <w:b/>
                      <w:kern w:val="2"/>
                      <w:sz w:val="21"/>
                      <w:szCs w:val="21"/>
                      <w:u w:val="single"/>
                    </w:rPr>
                    <w:t>塑工艺生产线混合搅拌、破碎工序产生的含尘、VOCs废气</w:t>
                  </w:r>
                  <w:r>
                    <w:rPr>
                      <w:rFonts w:eastAsia="宋体" w:cs="Times New Roman"/>
                      <w:b/>
                      <w:kern w:val="2"/>
                      <w:sz w:val="21"/>
                      <w:szCs w:val="21"/>
                      <w:u w:val="single"/>
                    </w:rPr>
                    <w:t>通过1套</w:t>
                  </w:r>
                  <w:r>
                    <w:rPr>
                      <w:rFonts w:hint="eastAsia" w:eastAsia="宋体" w:cs="Times New Roman"/>
                      <w:b/>
                      <w:kern w:val="2"/>
                      <w:sz w:val="21"/>
                      <w:szCs w:val="21"/>
                      <w:u w:val="single"/>
                    </w:rPr>
                    <w:t>覆膜</w:t>
                  </w:r>
                  <w:r>
                    <w:rPr>
                      <w:rFonts w:eastAsia="宋体" w:cs="Times New Roman"/>
                      <w:b/>
                      <w:kern w:val="2"/>
                      <w:sz w:val="21"/>
                      <w:szCs w:val="21"/>
                      <w:u w:val="single"/>
                    </w:rPr>
                    <w:t>袋式除尘器</w:t>
                  </w:r>
                  <w:r>
                    <w:rPr>
                      <w:rFonts w:hint="eastAsia" w:eastAsia="宋体" w:cs="Times New Roman"/>
                      <w:b/>
                      <w:kern w:val="2"/>
                      <w:sz w:val="21"/>
                      <w:szCs w:val="21"/>
                      <w:u w:val="single"/>
                    </w:rPr>
                    <w:t>处理后，与注塑工序过程中产生的废气共同进入主管道；聚氨酯工艺生产线过程中产生的废气</w:t>
                  </w:r>
                  <w:r>
                    <w:rPr>
                      <w:rFonts w:eastAsia="宋体" w:cs="Times New Roman"/>
                      <w:b/>
                      <w:kern w:val="2"/>
                      <w:sz w:val="21"/>
                      <w:szCs w:val="21"/>
                      <w:u w:val="single"/>
                    </w:rPr>
                    <w:t>进入主管道</w:t>
                  </w:r>
                  <w:r>
                    <w:rPr>
                      <w:rFonts w:hint="eastAsia" w:eastAsia="宋体" w:cs="Times New Roman"/>
                      <w:b/>
                      <w:kern w:val="2"/>
                      <w:sz w:val="21"/>
                      <w:szCs w:val="21"/>
                      <w:u w:val="single"/>
                    </w:rPr>
                    <w:t>；鞋面布激光切割产生废气进入主管道，三者合并后经过一套两级活性炭吸附工艺处理后通过排气筒DA001排放。</w:t>
                  </w:r>
                  <w:r>
                    <w:rPr>
                      <w:rFonts w:hint="eastAsia"/>
                      <w:sz w:val="21"/>
                      <w:szCs w:val="21"/>
                    </w:rPr>
                    <w:t>均可稳定达标排放，同时满足“</w:t>
                  </w:r>
                  <w:r>
                    <w:rPr>
                      <w:sz w:val="21"/>
                      <w:szCs w:val="21"/>
                    </w:rPr>
                    <w:t>环办大气函</w:t>
                  </w:r>
                  <w:r>
                    <w:rPr>
                      <w:rFonts w:hint="eastAsia"/>
                      <w:sz w:val="21"/>
                      <w:szCs w:val="21"/>
                    </w:rPr>
                    <w:t>〔</w:t>
                  </w:r>
                  <w:r>
                    <w:rPr>
                      <w:sz w:val="21"/>
                      <w:szCs w:val="21"/>
                    </w:rPr>
                    <w:t>202</w:t>
                  </w:r>
                  <w:r>
                    <w:rPr>
                      <w:rFonts w:hint="eastAsia"/>
                      <w:sz w:val="21"/>
                      <w:szCs w:val="21"/>
                    </w:rPr>
                    <w:t>0〕</w:t>
                  </w:r>
                  <w:r>
                    <w:rPr>
                      <w:sz w:val="21"/>
                      <w:szCs w:val="21"/>
                    </w:rPr>
                    <w:t>340号</w:t>
                  </w:r>
                  <w:r>
                    <w:rPr>
                      <w:rFonts w:hint="eastAsia"/>
                      <w:sz w:val="21"/>
                      <w:szCs w:val="21"/>
                    </w:rPr>
                    <w:t>及环办便函〔</w:t>
                  </w:r>
                  <w:r>
                    <w:rPr>
                      <w:sz w:val="21"/>
                      <w:szCs w:val="21"/>
                    </w:rPr>
                    <w:t>202</w:t>
                  </w:r>
                  <w:r>
                    <w:rPr>
                      <w:rFonts w:hint="eastAsia"/>
                      <w:sz w:val="21"/>
                      <w:szCs w:val="21"/>
                    </w:rPr>
                    <w:t>1〕</w:t>
                  </w:r>
                  <w:r>
                    <w:rPr>
                      <w:sz w:val="21"/>
                      <w:szCs w:val="21"/>
                    </w:rPr>
                    <w:t>34</w:t>
                  </w:r>
                  <w:r>
                    <w:rPr>
                      <w:rFonts w:hint="eastAsia"/>
                      <w:sz w:val="21"/>
                      <w:szCs w:val="21"/>
                    </w:rPr>
                    <w:t>1</w:t>
                  </w:r>
                  <w:r>
                    <w:rPr>
                      <w:sz w:val="21"/>
                      <w:szCs w:val="21"/>
                    </w:rPr>
                    <w:t>号</w:t>
                  </w:r>
                  <w:r>
                    <w:rPr>
                      <w:rFonts w:hint="eastAsia"/>
                      <w:sz w:val="21"/>
                      <w:szCs w:val="21"/>
                    </w:rPr>
                    <w:t>”</w:t>
                  </w:r>
                  <w:r>
                    <w:rPr>
                      <w:sz w:val="21"/>
                      <w:szCs w:val="21"/>
                    </w:rPr>
                    <w:t>中制鞋工业</w:t>
                  </w:r>
                  <w:r>
                    <w:rPr>
                      <w:rFonts w:hint="eastAsia"/>
                      <w:sz w:val="21"/>
                      <w:szCs w:val="21"/>
                    </w:rPr>
                    <w:t>绩效</w:t>
                  </w:r>
                  <w:r>
                    <w:rPr>
                      <w:sz w:val="21"/>
                      <w:szCs w:val="21"/>
                    </w:rPr>
                    <w:t>引领性指标</w:t>
                  </w:r>
                  <w:r>
                    <w:rPr>
                      <w:rFonts w:hint="eastAsia"/>
                      <w:sz w:val="21"/>
                      <w:szCs w:val="21"/>
                    </w:rPr>
                    <w:t>相关要求</w:t>
                  </w:r>
                  <w:r>
                    <w:rPr>
                      <w:sz w:val="21"/>
                      <w:szCs w:val="21"/>
                    </w:rPr>
                    <w:t>。</w:t>
                  </w:r>
                </w:p>
              </w:tc>
              <w:tc>
                <w:tcPr>
                  <w:tcW w:w="831" w:type="dxa"/>
                  <w:vAlign w:val="center"/>
                </w:tcPr>
                <w:p w14:paraId="501C6878">
                  <w:pPr>
                    <w:pStyle w:val="154"/>
                    <w:rPr>
                      <w:sz w:val="21"/>
                      <w:szCs w:val="21"/>
                    </w:rPr>
                  </w:pPr>
                  <w:r>
                    <w:rPr>
                      <w:sz w:val="21"/>
                      <w:szCs w:val="21"/>
                    </w:rPr>
                    <w:t>相符</w:t>
                  </w:r>
                </w:p>
              </w:tc>
            </w:tr>
            <w:tr w14:paraId="10AB19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575957C3">
                  <w:pPr>
                    <w:pStyle w:val="154"/>
                    <w:jc w:val="left"/>
                    <w:rPr>
                      <w:sz w:val="21"/>
                      <w:szCs w:val="21"/>
                    </w:rPr>
                  </w:pPr>
                  <w:r>
                    <w:rPr>
                      <w:sz w:val="21"/>
                      <w:szCs w:val="21"/>
                    </w:rPr>
                    <w:t>10.坚决遏制</w:t>
                  </w:r>
                  <w:r>
                    <w:rPr>
                      <w:rFonts w:hint="eastAsia"/>
                      <w:sz w:val="21"/>
                      <w:szCs w:val="21"/>
                    </w:rPr>
                    <w:t>“</w:t>
                  </w:r>
                  <w:r>
                    <w:rPr>
                      <w:sz w:val="21"/>
                      <w:szCs w:val="21"/>
                    </w:rPr>
                    <w:t>两高</w:t>
                  </w:r>
                  <w:r>
                    <w:rPr>
                      <w:rFonts w:hint="eastAsia"/>
                      <w:sz w:val="21"/>
                      <w:szCs w:val="21"/>
                    </w:rPr>
                    <w:t>”</w:t>
                  </w:r>
                  <w:r>
                    <w:rPr>
                      <w:sz w:val="21"/>
                      <w:szCs w:val="21"/>
                    </w:rPr>
                    <w:t>项目盲目发展。严格落实国家产业规划、产业政策、</w:t>
                  </w:r>
                  <w:r>
                    <w:rPr>
                      <w:rFonts w:hint="eastAsia"/>
                      <w:sz w:val="21"/>
                      <w:szCs w:val="21"/>
                    </w:rPr>
                    <w:t>“</w:t>
                  </w:r>
                  <w:r>
                    <w:rPr>
                      <w:sz w:val="21"/>
                      <w:szCs w:val="21"/>
                    </w:rPr>
                    <w:t>三线一单</w:t>
                  </w:r>
                  <w:r>
                    <w:rPr>
                      <w:rFonts w:hint="eastAsia"/>
                      <w:sz w:val="21"/>
                      <w:szCs w:val="21"/>
                    </w:rPr>
                    <w:t>”</w:t>
                  </w:r>
                  <w:r>
                    <w:rPr>
                      <w:sz w:val="21"/>
                      <w:szCs w:val="21"/>
                    </w:rPr>
                    <w:t>、规划环评，以及产能置换、煤炭消费减量替代、区域污染物削减等要求，严把高耗能、高排放、低水平项目准入关口。全市严格执行国家、省关于新增钢铁、电解铝、氧化铝、水泥熟料、平板玻璃（光伏压延玻璃除外）、煤化工、焦化、铝用炭素、含烧结工序的耐火材料和砖瓦制品等行业产能的政策。强化项目环评及</w:t>
                  </w:r>
                  <w:r>
                    <w:rPr>
                      <w:rFonts w:hint="eastAsia"/>
                      <w:sz w:val="21"/>
                      <w:szCs w:val="21"/>
                    </w:rPr>
                    <w:t>“</w:t>
                  </w:r>
                  <w:r>
                    <w:rPr>
                      <w:sz w:val="21"/>
                      <w:szCs w:val="21"/>
                    </w:rPr>
                    <w:t>三同时</w:t>
                  </w:r>
                  <w:r>
                    <w:rPr>
                      <w:rFonts w:hint="eastAsia"/>
                      <w:sz w:val="21"/>
                      <w:szCs w:val="21"/>
                    </w:rPr>
                    <w:t>”</w:t>
                  </w:r>
                  <w:r>
                    <w:rPr>
                      <w:sz w:val="21"/>
                      <w:szCs w:val="21"/>
                    </w:rPr>
                    <w:t>管理，国家、省绩效分级重点行业以及涉及锅炉炉窑的其他行业，新建、扩建项目污染物排放限值、污染治理措施、无组织排放控制水平、运输方式等达到A级绩效水平，改建项目污染物排放限值、污染治理措施、无组织排放控制水平、运输方式等达到B级以上绩效水平。</w:t>
                  </w:r>
                </w:p>
              </w:tc>
              <w:tc>
                <w:tcPr>
                  <w:tcW w:w="2886" w:type="dxa"/>
                  <w:vAlign w:val="center"/>
                </w:tcPr>
                <w:p w14:paraId="0E960495">
                  <w:pPr>
                    <w:pStyle w:val="154"/>
                    <w:jc w:val="left"/>
                    <w:rPr>
                      <w:sz w:val="21"/>
                      <w:szCs w:val="21"/>
                    </w:rPr>
                  </w:pPr>
                  <w:r>
                    <w:rPr>
                      <w:sz w:val="21"/>
                      <w:szCs w:val="21"/>
                    </w:rPr>
                    <w:t>本项目制鞋业项目，不属于两高项目，项目建成后可</w:t>
                  </w:r>
                  <w:r>
                    <w:rPr>
                      <w:rFonts w:hint="eastAsia"/>
                      <w:sz w:val="21"/>
                      <w:szCs w:val="21"/>
                    </w:rPr>
                    <w:t>满足“</w:t>
                  </w:r>
                  <w:r>
                    <w:rPr>
                      <w:sz w:val="21"/>
                      <w:szCs w:val="21"/>
                    </w:rPr>
                    <w:t>环办大气函</w:t>
                  </w:r>
                  <w:r>
                    <w:rPr>
                      <w:rFonts w:hint="eastAsia"/>
                      <w:sz w:val="21"/>
                      <w:szCs w:val="21"/>
                    </w:rPr>
                    <w:t>〔</w:t>
                  </w:r>
                  <w:r>
                    <w:rPr>
                      <w:sz w:val="21"/>
                      <w:szCs w:val="21"/>
                    </w:rPr>
                    <w:t>202</w:t>
                  </w:r>
                  <w:r>
                    <w:rPr>
                      <w:rFonts w:hint="eastAsia"/>
                      <w:sz w:val="21"/>
                      <w:szCs w:val="21"/>
                    </w:rPr>
                    <w:t>0〕</w:t>
                  </w:r>
                  <w:r>
                    <w:rPr>
                      <w:sz w:val="21"/>
                      <w:szCs w:val="21"/>
                    </w:rPr>
                    <w:t>340号</w:t>
                  </w:r>
                  <w:r>
                    <w:rPr>
                      <w:rFonts w:hint="eastAsia"/>
                      <w:sz w:val="21"/>
                      <w:szCs w:val="21"/>
                    </w:rPr>
                    <w:t>及环办便函〔</w:t>
                  </w:r>
                  <w:r>
                    <w:rPr>
                      <w:sz w:val="21"/>
                      <w:szCs w:val="21"/>
                    </w:rPr>
                    <w:t>202</w:t>
                  </w:r>
                  <w:r>
                    <w:rPr>
                      <w:rFonts w:hint="eastAsia"/>
                      <w:sz w:val="21"/>
                      <w:szCs w:val="21"/>
                    </w:rPr>
                    <w:t>1〕</w:t>
                  </w:r>
                  <w:r>
                    <w:rPr>
                      <w:sz w:val="21"/>
                      <w:szCs w:val="21"/>
                    </w:rPr>
                    <w:t>34</w:t>
                  </w:r>
                  <w:r>
                    <w:rPr>
                      <w:rFonts w:hint="eastAsia"/>
                      <w:sz w:val="21"/>
                      <w:szCs w:val="21"/>
                    </w:rPr>
                    <w:t>1</w:t>
                  </w:r>
                  <w:r>
                    <w:rPr>
                      <w:sz w:val="21"/>
                      <w:szCs w:val="21"/>
                    </w:rPr>
                    <w:t>号</w:t>
                  </w:r>
                  <w:r>
                    <w:rPr>
                      <w:rFonts w:hint="eastAsia"/>
                      <w:sz w:val="21"/>
                      <w:szCs w:val="21"/>
                    </w:rPr>
                    <w:t>”</w:t>
                  </w:r>
                  <w:r>
                    <w:rPr>
                      <w:sz w:val="21"/>
                      <w:szCs w:val="21"/>
                    </w:rPr>
                    <w:t>中制鞋工业</w:t>
                  </w:r>
                  <w:r>
                    <w:rPr>
                      <w:rFonts w:hint="eastAsia"/>
                      <w:sz w:val="21"/>
                      <w:szCs w:val="21"/>
                    </w:rPr>
                    <w:t>绩效</w:t>
                  </w:r>
                  <w:r>
                    <w:rPr>
                      <w:sz w:val="21"/>
                      <w:szCs w:val="21"/>
                    </w:rPr>
                    <w:t>引领性指标</w:t>
                  </w:r>
                  <w:r>
                    <w:rPr>
                      <w:rFonts w:hint="eastAsia"/>
                      <w:sz w:val="21"/>
                      <w:szCs w:val="21"/>
                    </w:rPr>
                    <w:t>相关要求</w:t>
                  </w:r>
                  <w:r>
                    <w:rPr>
                      <w:sz w:val="21"/>
                      <w:szCs w:val="21"/>
                    </w:rPr>
                    <w:t>。</w:t>
                  </w:r>
                </w:p>
              </w:tc>
              <w:tc>
                <w:tcPr>
                  <w:tcW w:w="831" w:type="dxa"/>
                  <w:vAlign w:val="center"/>
                </w:tcPr>
                <w:p w14:paraId="7FC68250">
                  <w:pPr>
                    <w:pStyle w:val="154"/>
                    <w:rPr>
                      <w:sz w:val="21"/>
                      <w:szCs w:val="21"/>
                    </w:rPr>
                  </w:pPr>
                  <w:r>
                    <w:rPr>
                      <w:sz w:val="21"/>
                      <w:szCs w:val="21"/>
                    </w:rPr>
                    <w:t>相符</w:t>
                  </w:r>
                </w:p>
              </w:tc>
            </w:tr>
            <w:tr w14:paraId="0806EF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64983250">
                  <w:pPr>
                    <w:pStyle w:val="154"/>
                    <w:rPr>
                      <w:sz w:val="21"/>
                      <w:szCs w:val="21"/>
                    </w:rPr>
                  </w:pPr>
                  <w:r>
                    <w:rPr>
                      <w:sz w:val="21"/>
                      <w:szCs w:val="21"/>
                    </w:rPr>
                    <w:t>（十）环境监管能力提升行动</w:t>
                  </w:r>
                </w:p>
              </w:tc>
              <w:tc>
                <w:tcPr>
                  <w:tcW w:w="2886" w:type="dxa"/>
                  <w:vAlign w:val="center"/>
                </w:tcPr>
                <w:p w14:paraId="61967CDF">
                  <w:pPr>
                    <w:pStyle w:val="154"/>
                    <w:rPr>
                      <w:sz w:val="21"/>
                      <w:szCs w:val="21"/>
                    </w:rPr>
                  </w:pPr>
                </w:p>
              </w:tc>
              <w:tc>
                <w:tcPr>
                  <w:tcW w:w="831" w:type="dxa"/>
                  <w:vAlign w:val="center"/>
                </w:tcPr>
                <w:p w14:paraId="7739CE4C">
                  <w:pPr>
                    <w:pStyle w:val="154"/>
                    <w:rPr>
                      <w:sz w:val="21"/>
                      <w:szCs w:val="21"/>
                    </w:rPr>
                  </w:pPr>
                </w:p>
              </w:tc>
            </w:tr>
            <w:tr w14:paraId="47DF16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52C992D3">
                  <w:pPr>
                    <w:pStyle w:val="154"/>
                    <w:jc w:val="left"/>
                    <w:rPr>
                      <w:sz w:val="21"/>
                      <w:szCs w:val="21"/>
                    </w:rPr>
                  </w:pPr>
                  <w:r>
                    <w:rPr>
                      <w:sz w:val="21"/>
                      <w:szCs w:val="21"/>
                    </w:rPr>
                    <w:t>24.巩固提升应急处置能力。完善突发环境事件应急预案，加强应急物资储备，健全环境应急专家队伍，编制</w:t>
                  </w:r>
                  <w:r>
                    <w:rPr>
                      <w:rFonts w:hint="eastAsia"/>
                      <w:sz w:val="21"/>
                      <w:szCs w:val="21"/>
                    </w:rPr>
                    <w:t>“</w:t>
                  </w:r>
                  <w:r>
                    <w:rPr>
                      <w:sz w:val="21"/>
                      <w:szCs w:val="21"/>
                    </w:rPr>
                    <w:t>一河一策一图</w:t>
                  </w:r>
                  <w:r>
                    <w:rPr>
                      <w:rFonts w:hint="eastAsia"/>
                      <w:sz w:val="21"/>
                      <w:szCs w:val="21"/>
                    </w:rPr>
                    <w:t>”</w:t>
                  </w:r>
                  <w:r>
                    <w:rPr>
                      <w:sz w:val="21"/>
                      <w:szCs w:val="21"/>
                    </w:rPr>
                    <w:t>环境应急响应方案。加强跨省、市、县流域环境应急联合会商和信息通报，动态更新联防联控信息，开展流域上下游联合应急演练。健全部门联动机制，妥善应对突发环境事件。</w:t>
                  </w:r>
                </w:p>
              </w:tc>
              <w:tc>
                <w:tcPr>
                  <w:tcW w:w="2886" w:type="dxa"/>
                  <w:vAlign w:val="center"/>
                </w:tcPr>
                <w:p w14:paraId="0E4F66C5">
                  <w:pPr>
                    <w:pStyle w:val="154"/>
                    <w:jc w:val="left"/>
                    <w:rPr>
                      <w:sz w:val="21"/>
                      <w:szCs w:val="21"/>
                    </w:rPr>
                  </w:pPr>
                  <w:r>
                    <w:rPr>
                      <w:rFonts w:hint="eastAsia"/>
                      <w:sz w:val="21"/>
                      <w:szCs w:val="21"/>
                    </w:rPr>
                    <w:t>本项目暂未开始建设，建设单位承诺项目建成后按照要求组织突发环境事件应急预案编制、备案工作，定期开展隐患排查，降低风险。</w:t>
                  </w:r>
                </w:p>
              </w:tc>
              <w:tc>
                <w:tcPr>
                  <w:tcW w:w="831" w:type="dxa"/>
                  <w:vAlign w:val="center"/>
                </w:tcPr>
                <w:p w14:paraId="47619A19">
                  <w:pPr>
                    <w:pStyle w:val="154"/>
                    <w:rPr>
                      <w:sz w:val="21"/>
                      <w:szCs w:val="21"/>
                    </w:rPr>
                  </w:pPr>
                  <w:r>
                    <w:rPr>
                      <w:sz w:val="21"/>
                      <w:szCs w:val="21"/>
                    </w:rPr>
                    <w:t>相符</w:t>
                  </w:r>
                </w:p>
              </w:tc>
            </w:tr>
          </w:tbl>
          <w:p w14:paraId="6C1EA926">
            <w:pPr>
              <w:pStyle w:val="156"/>
              <w:ind w:firstLine="480"/>
              <w:rPr>
                <w:rFonts w:eastAsia="宋体"/>
              </w:rPr>
            </w:pPr>
            <w:r>
              <w:rPr>
                <w:rFonts w:eastAsia="宋体"/>
                <w:bCs/>
              </w:rPr>
              <w:t>由上表可知，本项目满足《关于印发洛阳市推动生态环境质量稳定向好三年行动实施方案（2023—2025年）的通知》洛政办〔2023〕42号相关要求。</w:t>
            </w:r>
          </w:p>
          <w:p w14:paraId="279F417E">
            <w:pPr>
              <w:pStyle w:val="157"/>
            </w:pPr>
            <w:r>
              <w:rPr>
                <w:rFonts w:hint="eastAsia"/>
              </w:rPr>
              <w:t>9</w:t>
            </w:r>
            <w:r>
              <w:t>、关于印发《洛阳市空气质量持续改善实施方案的通知》洛政办〔2024〕30号</w:t>
            </w:r>
          </w:p>
          <w:p w14:paraId="74350E49">
            <w:pPr>
              <w:pStyle w:val="182"/>
              <w:ind w:firstLine="480"/>
            </w:pPr>
            <w:r>
              <w:t>表1-1</w:t>
            </w:r>
            <w:r>
              <w:rPr>
                <w:rFonts w:hint="eastAsia"/>
              </w:rPr>
              <w:t>2</w:t>
            </w:r>
            <w:r>
              <w:t xml:space="preserve">        与（洛政办〔2024〕30号）相符性分析</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267"/>
              <w:gridCol w:w="2959"/>
              <w:gridCol w:w="852"/>
            </w:tblGrid>
            <w:tr w14:paraId="0F6784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6D56CEE3">
                  <w:pPr>
                    <w:pStyle w:val="154"/>
                    <w:rPr>
                      <w:sz w:val="21"/>
                      <w:szCs w:val="21"/>
                    </w:rPr>
                  </w:pPr>
                  <w:r>
                    <w:rPr>
                      <w:sz w:val="21"/>
                      <w:szCs w:val="21"/>
                    </w:rPr>
                    <w:t>文件要求</w:t>
                  </w:r>
                </w:p>
              </w:tc>
              <w:tc>
                <w:tcPr>
                  <w:tcW w:w="2886" w:type="dxa"/>
                  <w:vAlign w:val="center"/>
                </w:tcPr>
                <w:p w14:paraId="3E1E5C41">
                  <w:pPr>
                    <w:pStyle w:val="154"/>
                    <w:rPr>
                      <w:sz w:val="21"/>
                      <w:szCs w:val="21"/>
                    </w:rPr>
                  </w:pPr>
                  <w:r>
                    <w:rPr>
                      <w:sz w:val="21"/>
                      <w:szCs w:val="21"/>
                    </w:rPr>
                    <w:t>本项目情况</w:t>
                  </w:r>
                </w:p>
              </w:tc>
              <w:tc>
                <w:tcPr>
                  <w:tcW w:w="831" w:type="dxa"/>
                  <w:vAlign w:val="center"/>
                </w:tcPr>
                <w:p w14:paraId="433B609F">
                  <w:pPr>
                    <w:pStyle w:val="154"/>
                    <w:rPr>
                      <w:sz w:val="21"/>
                      <w:szCs w:val="21"/>
                    </w:rPr>
                  </w:pPr>
                  <w:r>
                    <w:rPr>
                      <w:sz w:val="21"/>
                      <w:szCs w:val="21"/>
                    </w:rPr>
                    <w:t>相符性</w:t>
                  </w:r>
                </w:p>
              </w:tc>
            </w:tr>
            <w:tr w14:paraId="01D368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8855" w:type="dxa"/>
                  <w:gridSpan w:val="3"/>
                  <w:vAlign w:val="center"/>
                </w:tcPr>
                <w:p w14:paraId="7F86BEB7">
                  <w:pPr>
                    <w:pStyle w:val="154"/>
                    <w:rPr>
                      <w:sz w:val="21"/>
                      <w:szCs w:val="21"/>
                    </w:rPr>
                  </w:pPr>
                  <w:r>
                    <w:rPr>
                      <w:sz w:val="21"/>
                      <w:szCs w:val="21"/>
                    </w:rPr>
                    <w:t>二、优化产业结构，促进产业绿色转型发展</w:t>
                  </w:r>
                </w:p>
              </w:tc>
            </w:tr>
            <w:tr w14:paraId="731891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7D083024">
                  <w:pPr>
                    <w:pStyle w:val="154"/>
                    <w:jc w:val="left"/>
                    <w:rPr>
                      <w:sz w:val="21"/>
                      <w:szCs w:val="21"/>
                    </w:rPr>
                  </w:pPr>
                  <w:r>
                    <w:rPr>
                      <w:sz w:val="21"/>
                      <w:szCs w:val="21"/>
                    </w:rPr>
                    <w:t>(一)坚决遏制</w:t>
                  </w:r>
                  <w:r>
                    <w:rPr>
                      <w:rFonts w:hint="eastAsia"/>
                      <w:sz w:val="21"/>
                      <w:szCs w:val="21"/>
                    </w:rPr>
                    <w:t>“</w:t>
                  </w:r>
                  <w:r>
                    <w:rPr>
                      <w:sz w:val="21"/>
                      <w:szCs w:val="21"/>
                    </w:rPr>
                    <w:t>两高</w:t>
                  </w:r>
                  <w:r>
                    <w:rPr>
                      <w:rFonts w:hint="eastAsia"/>
                      <w:sz w:val="21"/>
                      <w:szCs w:val="21"/>
                    </w:rPr>
                    <w:t>”</w:t>
                  </w:r>
                  <w:r>
                    <w:rPr>
                      <w:sz w:val="21"/>
                      <w:szCs w:val="21"/>
                    </w:rPr>
                    <w:t>项目盲目发展。严格落实国家和省坚决遏制高耗能高排放低水平项目盲目发展的政策要求，建立完善</w:t>
                  </w:r>
                  <w:r>
                    <w:rPr>
                      <w:rFonts w:hint="eastAsia"/>
                      <w:sz w:val="21"/>
                      <w:szCs w:val="21"/>
                    </w:rPr>
                    <w:t>“</w:t>
                  </w:r>
                  <w:r>
                    <w:rPr>
                      <w:sz w:val="21"/>
                      <w:szCs w:val="21"/>
                    </w:rPr>
                    <w:t>两高</w:t>
                  </w:r>
                  <w:r>
                    <w:rPr>
                      <w:rFonts w:hint="eastAsia"/>
                      <w:sz w:val="21"/>
                      <w:szCs w:val="21"/>
                    </w:rPr>
                    <w:t>”</w:t>
                  </w:r>
                  <w:r>
                    <w:rPr>
                      <w:sz w:val="21"/>
                      <w:szCs w:val="21"/>
                    </w:rPr>
                    <w:t>项目管理清单，实施动态监管，坚决把好项目准入关。严禁新增钢铁产能，严格执行有关行业产能置换政策，被置换产能及其配套设施关停后，新建项目方可投产。国家、省绩效分级重点行业以及涉及锅炉炉窑的其他行业，新(改、扩)建项目原则上达到环境绩效A级和国内清洁生产先进水平。</w:t>
                  </w:r>
                </w:p>
              </w:tc>
              <w:tc>
                <w:tcPr>
                  <w:tcW w:w="2886" w:type="dxa"/>
                  <w:vAlign w:val="center"/>
                </w:tcPr>
                <w:p w14:paraId="750547DD">
                  <w:pPr>
                    <w:pStyle w:val="154"/>
                    <w:jc w:val="left"/>
                    <w:rPr>
                      <w:sz w:val="21"/>
                      <w:szCs w:val="21"/>
                    </w:rPr>
                  </w:pPr>
                  <w:r>
                    <w:rPr>
                      <w:sz w:val="21"/>
                      <w:szCs w:val="21"/>
                    </w:rPr>
                    <w:t>本项目为制鞋业</w:t>
                  </w:r>
                  <w:r>
                    <w:rPr>
                      <w:rFonts w:hint="eastAsia"/>
                      <w:sz w:val="21"/>
                      <w:szCs w:val="21"/>
                    </w:rPr>
                    <w:t>新</w:t>
                  </w:r>
                  <w:r>
                    <w:rPr>
                      <w:sz w:val="21"/>
                      <w:szCs w:val="21"/>
                    </w:rPr>
                    <w:t>建项目，根据关于印发《河南省</w:t>
                  </w:r>
                  <w:r>
                    <w:rPr>
                      <w:rFonts w:hint="eastAsia"/>
                      <w:sz w:val="21"/>
                      <w:szCs w:val="21"/>
                    </w:rPr>
                    <w:t>“</w:t>
                  </w:r>
                  <w:r>
                    <w:rPr>
                      <w:sz w:val="21"/>
                      <w:szCs w:val="21"/>
                    </w:rPr>
                    <w:t>两高</w:t>
                  </w:r>
                  <w:r>
                    <w:rPr>
                      <w:rFonts w:hint="eastAsia"/>
                      <w:sz w:val="21"/>
                      <w:szCs w:val="21"/>
                    </w:rPr>
                    <w:t>”</w:t>
                  </w:r>
                  <w:r>
                    <w:rPr>
                      <w:sz w:val="21"/>
                      <w:szCs w:val="21"/>
                    </w:rPr>
                    <w:t>项目管理目录》（2023年修订）的通知（豫发改环资</w:t>
                  </w:r>
                  <w:r>
                    <w:rPr>
                      <w:rFonts w:hint="eastAsia"/>
                      <w:sz w:val="21"/>
                      <w:szCs w:val="21"/>
                    </w:rPr>
                    <w:t>﹝</w:t>
                  </w:r>
                  <w:r>
                    <w:rPr>
                      <w:sz w:val="21"/>
                      <w:szCs w:val="21"/>
                    </w:rPr>
                    <w:t>2023</w:t>
                  </w:r>
                  <w:r>
                    <w:rPr>
                      <w:rFonts w:hint="eastAsia"/>
                      <w:sz w:val="21"/>
                      <w:szCs w:val="21"/>
                    </w:rPr>
                    <w:t>﹞</w:t>
                  </w:r>
                  <w:r>
                    <w:rPr>
                      <w:sz w:val="21"/>
                      <w:szCs w:val="21"/>
                    </w:rPr>
                    <w:t>38号文）本项目不属于</w:t>
                  </w:r>
                  <w:r>
                    <w:rPr>
                      <w:rFonts w:hint="eastAsia"/>
                      <w:sz w:val="21"/>
                      <w:szCs w:val="21"/>
                    </w:rPr>
                    <w:t>“</w:t>
                  </w:r>
                  <w:r>
                    <w:rPr>
                      <w:sz w:val="21"/>
                      <w:szCs w:val="21"/>
                    </w:rPr>
                    <w:t>两高</w:t>
                  </w:r>
                  <w:r>
                    <w:rPr>
                      <w:rFonts w:hint="eastAsia"/>
                      <w:sz w:val="21"/>
                      <w:szCs w:val="21"/>
                    </w:rPr>
                    <w:t>”</w:t>
                  </w:r>
                  <w:r>
                    <w:rPr>
                      <w:sz w:val="21"/>
                      <w:szCs w:val="21"/>
                    </w:rPr>
                    <w:t>项目</w:t>
                  </w:r>
                  <w:r>
                    <w:rPr>
                      <w:rFonts w:hint="eastAsia"/>
                      <w:sz w:val="21"/>
                      <w:szCs w:val="21"/>
                    </w:rPr>
                    <w:t>。</w:t>
                  </w:r>
                  <w:r>
                    <w:rPr>
                      <w:sz w:val="21"/>
                      <w:szCs w:val="21"/>
                    </w:rPr>
                    <w:t>本项目属于国家绩效分级重点行业（制鞋业），应当满足绩效引领性指标要求。</w:t>
                  </w:r>
                </w:p>
              </w:tc>
              <w:tc>
                <w:tcPr>
                  <w:tcW w:w="831" w:type="dxa"/>
                  <w:vAlign w:val="center"/>
                </w:tcPr>
                <w:p w14:paraId="45323841">
                  <w:pPr>
                    <w:pStyle w:val="154"/>
                    <w:rPr>
                      <w:sz w:val="21"/>
                      <w:szCs w:val="21"/>
                    </w:rPr>
                  </w:pPr>
                  <w:r>
                    <w:rPr>
                      <w:sz w:val="21"/>
                      <w:szCs w:val="21"/>
                    </w:rPr>
                    <w:t>相符</w:t>
                  </w:r>
                </w:p>
              </w:tc>
            </w:tr>
            <w:tr w14:paraId="650B4E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855" w:type="dxa"/>
                  <w:gridSpan w:val="3"/>
                  <w:vAlign w:val="center"/>
                </w:tcPr>
                <w:p w14:paraId="512B9FE0">
                  <w:pPr>
                    <w:pStyle w:val="154"/>
                    <w:rPr>
                      <w:sz w:val="21"/>
                      <w:szCs w:val="21"/>
                    </w:rPr>
                  </w:pPr>
                  <w:r>
                    <w:rPr>
                      <w:sz w:val="21"/>
                      <w:szCs w:val="21"/>
                    </w:rPr>
                    <w:t>六、加强多污染物减排，切实降低排放强度</w:t>
                  </w:r>
                </w:p>
              </w:tc>
            </w:tr>
            <w:tr w14:paraId="38524B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5409A222">
                  <w:pPr>
                    <w:pStyle w:val="154"/>
                    <w:jc w:val="left"/>
                    <w:rPr>
                      <w:sz w:val="21"/>
                      <w:szCs w:val="21"/>
                    </w:rPr>
                  </w:pPr>
                  <w:r>
                    <w:rPr>
                      <w:sz w:val="21"/>
                      <w:szCs w:val="21"/>
                    </w:rPr>
                    <w:t>(十九)持续实施低(无)VOCs含量原辅材料替代。</w:t>
                  </w:r>
                </w:p>
                <w:p w14:paraId="4795ECA1">
                  <w:pPr>
                    <w:pStyle w:val="154"/>
                    <w:jc w:val="left"/>
                    <w:rPr>
                      <w:sz w:val="21"/>
                      <w:szCs w:val="21"/>
                    </w:rPr>
                  </w:pPr>
                  <w:r>
                    <w:rPr>
                      <w:sz w:val="21"/>
                      <w:szCs w:val="21"/>
                    </w:rPr>
                    <w:t>1.鼓励引导企业生产和使用低VOCs含量涂料、油墨、胶粘剂、清洗剂，推动现有高VOCs含量产品生产企业加快升级转型，提高低(无)VOCs含量产品比重。深入排查涉VOCs企业，摸清原辅材料类型、生产使用量、源头替代VOCs情况、污染设施建设情况，建立清单台账，全面推动工业涂装、包装印刷、电子制造等行业企业实施(无)VO</w:t>
                  </w:r>
                  <w:r>
                    <w:rPr>
                      <w:rFonts w:hint="eastAsia"/>
                      <w:sz w:val="21"/>
                      <w:szCs w:val="21"/>
                    </w:rPr>
                    <w:t>C</w:t>
                  </w:r>
                  <w:r>
                    <w:rPr>
                      <w:sz w:val="21"/>
                      <w:szCs w:val="21"/>
                    </w:rPr>
                    <w:t>s含量原辅材料替代，对完成原辅材料替代的企业纳入</w:t>
                  </w:r>
                  <w:r>
                    <w:rPr>
                      <w:rFonts w:hint="eastAsia"/>
                      <w:sz w:val="21"/>
                      <w:szCs w:val="21"/>
                    </w:rPr>
                    <w:t>“</w:t>
                  </w:r>
                  <w:r>
                    <w:rPr>
                      <w:sz w:val="21"/>
                      <w:szCs w:val="21"/>
                    </w:rPr>
                    <w:t>白名单</w:t>
                  </w:r>
                  <w:r>
                    <w:rPr>
                      <w:rFonts w:hint="eastAsia"/>
                      <w:sz w:val="21"/>
                      <w:szCs w:val="21"/>
                    </w:rPr>
                    <w:t>”</w:t>
                  </w:r>
                  <w:r>
                    <w:rPr>
                      <w:sz w:val="21"/>
                      <w:szCs w:val="21"/>
                    </w:rPr>
                    <w:t>管理，在重污染天气预警期间实施自主减排。</w:t>
                  </w:r>
                </w:p>
                <w:p w14:paraId="23A990ED">
                  <w:pPr>
                    <w:pStyle w:val="154"/>
                    <w:jc w:val="left"/>
                    <w:rPr>
                      <w:sz w:val="21"/>
                      <w:szCs w:val="21"/>
                    </w:rPr>
                  </w:pPr>
                  <w:r>
                    <w:rPr>
                      <w:sz w:val="21"/>
                      <w:szCs w:val="21"/>
                    </w:rPr>
                    <w:t>2.严格执行涂料、油墨、胶粘剂、清洗剂产品质量标准和 VOCs含量限值标准，开展多部门联合执法，重点加强对生产、销售企业和使用环节的监督检查依法依规处置生产、销售不合格产品的违法行为。</w:t>
                  </w:r>
                </w:p>
              </w:tc>
              <w:tc>
                <w:tcPr>
                  <w:tcW w:w="2886" w:type="dxa"/>
                  <w:vAlign w:val="center"/>
                </w:tcPr>
                <w:p w14:paraId="2520373C">
                  <w:pPr>
                    <w:pStyle w:val="154"/>
                    <w:jc w:val="left"/>
                    <w:rPr>
                      <w:sz w:val="21"/>
                      <w:szCs w:val="21"/>
                    </w:rPr>
                  </w:pPr>
                  <w:r>
                    <w:rPr>
                      <w:sz w:val="21"/>
                      <w:szCs w:val="21"/>
                    </w:rPr>
                    <w:t>本项目采用低VOCs原料；</w:t>
                  </w:r>
                  <w:r>
                    <w:rPr>
                      <w:rFonts w:hint="eastAsia"/>
                      <w:sz w:val="21"/>
                      <w:szCs w:val="21"/>
                    </w:rPr>
                    <w:t>所用清洗剂为低</w:t>
                  </w:r>
                  <w:r>
                    <w:rPr>
                      <w:sz w:val="21"/>
                      <w:szCs w:val="21"/>
                    </w:rPr>
                    <w:t>VOCs</w:t>
                  </w:r>
                  <w:r>
                    <w:rPr>
                      <w:rFonts w:hint="eastAsia"/>
                      <w:sz w:val="21"/>
                      <w:szCs w:val="21"/>
                    </w:rPr>
                    <w:t>含量原料。清洗剂满足《清洗剂挥发性有机化合物含量限值》</w:t>
                  </w:r>
                  <w:r>
                    <w:rPr>
                      <w:sz w:val="21"/>
                      <w:szCs w:val="21"/>
                    </w:rPr>
                    <w:t>(GB38508-2020)</w:t>
                  </w:r>
                  <w:r>
                    <w:rPr>
                      <w:rFonts w:hint="eastAsia"/>
                      <w:sz w:val="21"/>
                      <w:szCs w:val="21"/>
                    </w:rPr>
                    <w:t>要求。</w:t>
                  </w:r>
                </w:p>
                <w:p w14:paraId="315EC8A7">
                  <w:pPr>
                    <w:pStyle w:val="154"/>
                    <w:jc w:val="left"/>
                    <w:rPr>
                      <w:sz w:val="21"/>
                      <w:szCs w:val="21"/>
                    </w:rPr>
                  </w:pPr>
                  <w:r>
                    <w:rPr>
                      <w:sz w:val="21"/>
                      <w:szCs w:val="21"/>
                    </w:rPr>
                    <w:t>本项目不使用溶剂型涂料、油墨</w:t>
                  </w:r>
                  <w:r>
                    <w:rPr>
                      <w:rFonts w:hint="eastAsia"/>
                      <w:sz w:val="21"/>
                      <w:szCs w:val="21"/>
                    </w:rPr>
                    <w:t>和</w:t>
                  </w:r>
                  <w:r>
                    <w:rPr>
                      <w:sz w:val="21"/>
                      <w:szCs w:val="21"/>
                    </w:rPr>
                    <w:t>胶粘剂等</w:t>
                  </w:r>
                  <w:r>
                    <w:rPr>
                      <w:rFonts w:hint="eastAsia"/>
                      <w:sz w:val="21"/>
                      <w:szCs w:val="21"/>
                    </w:rPr>
                    <w:t>。</w:t>
                  </w:r>
                </w:p>
              </w:tc>
              <w:tc>
                <w:tcPr>
                  <w:tcW w:w="831" w:type="dxa"/>
                  <w:vAlign w:val="center"/>
                </w:tcPr>
                <w:p w14:paraId="23EEC38E">
                  <w:pPr>
                    <w:pStyle w:val="154"/>
                    <w:rPr>
                      <w:sz w:val="21"/>
                      <w:szCs w:val="21"/>
                    </w:rPr>
                  </w:pPr>
                  <w:r>
                    <w:rPr>
                      <w:sz w:val="21"/>
                      <w:szCs w:val="21"/>
                    </w:rPr>
                    <w:t>相符</w:t>
                  </w:r>
                </w:p>
              </w:tc>
            </w:tr>
            <w:tr w14:paraId="5EF2C8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138" w:type="dxa"/>
                  <w:vAlign w:val="center"/>
                </w:tcPr>
                <w:p w14:paraId="3764B138">
                  <w:pPr>
                    <w:pStyle w:val="154"/>
                    <w:jc w:val="left"/>
                    <w:rPr>
                      <w:sz w:val="21"/>
                      <w:szCs w:val="21"/>
                    </w:rPr>
                  </w:pPr>
                  <w:r>
                    <w:rPr>
                      <w:sz w:val="21"/>
                      <w:szCs w:val="21"/>
                    </w:rPr>
                    <w:t>(二十)加强VOCs全流程综合治理。</w:t>
                  </w:r>
                </w:p>
                <w:p w14:paraId="232DEEAA">
                  <w:pPr>
                    <w:pStyle w:val="154"/>
                    <w:jc w:val="left"/>
                    <w:rPr>
                      <w:sz w:val="21"/>
                      <w:szCs w:val="21"/>
                    </w:rPr>
                  </w:pPr>
                  <w:r>
                    <w:rPr>
                      <w:sz w:val="21"/>
                      <w:szCs w:val="21"/>
                    </w:rPr>
                    <w:t>按照</w:t>
                  </w:r>
                  <w:r>
                    <w:rPr>
                      <w:rFonts w:hint="eastAsia"/>
                      <w:sz w:val="21"/>
                      <w:szCs w:val="21"/>
                    </w:rPr>
                    <w:t>“</w:t>
                  </w:r>
                  <w:r>
                    <w:rPr>
                      <w:sz w:val="21"/>
                      <w:szCs w:val="21"/>
                    </w:rPr>
                    <w:t>应收尽收、分质收集</w:t>
                  </w:r>
                  <w:r>
                    <w:rPr>
                      <w:rFonts w:hint="eastAsia"/>
                      <w:sz w:val="21"/>
                      <w:szCs w:val="21"/>
                    </w:rPr>
                    <w:t>”</w:t>
                  </w:r>
                  <w:r>
                    <w:rPr>
                      <w:sz w:val="21"/>
                      <w:szCs w:val="21"/>
                    </w:rPr>
                    <w:t>原则，将无组织排放转变为有组织排放进行集中治理，持续深化VOCs无组织废气治理。推动企业污水处理场排放的高浓度有机废气单独收集处理，含VOCs有机废水储罐、装置区集水井(池)有机废气密闭收集处理。依据废气排放特征配套建设适宜高效治理设施，加强治理设施运行维护。加强非正常工况管理，企业开停车、检维修期间，需按要求及时收集处理退料、清洗、吹扫等作业产生的VOCs废气。</w:t>
                  </w:r>
                </w:p>
              </w:tc>
              <w:tc>
                <w:tcPr>
                  <w:tcW w:w="2886" w:type="dxa"/>
                  <w:vAlign w:val="center"/>
                </w:tcPr>
                <w:p w14:paraId="001BA9CD">
                  <w:pPr>
                    <w:pStyle w:val="154"/>
                    <w:jc w:val="left"/>
                    <w:rPr>
                      <w:b/>
                      <w:sz w:val="21"/>
                      <w:szCs w:val="21"/>
                      <w:u w:val="single"/>
                    </w:rPr>
                  </w:pPr>
                  <w:r>
                    <w:rPr>
                      <w:sz w:val="21"/>
                      <w:szCs w:val="21"/>
                    </w:rPr>
                    <w:t>本项目为制鞋业项目</w:t>
                  </w:r>
                  <w:r>
                    <w:rPr>
                      <w:rFonts w:hint="eastAsia"/>
                      <w:sz w:val="21"/>
                      <w:szCs w:val="21"/>
                    </w:rPr>
                    <w:t>新</w:t>
                  </w:r>
                  <w:r>
                    <w:rPr>
                      <w:sz w:val="21"/>
                      <w:szCs w:val="21"/>
                    </w:rPr>
                    <w:t>建工程，</w:t>
                  </w:r>
                  <w:r>
                    <w:rPr>
                      <w:rFonts w:eastAsia="宋体" w:cs="Times New Roman"/>
                      <w:b/>
                      <w:sz w:val="21"/>
                      <w:szCs w:val="21"/>
                      <w:u w:val="single"/>
                    </w:rPr>
                    <w:t>运营过程中</w:t>
                  </w:r>
                  <w:r>
                    <w:rPr>
                      <w:rFonts w:eastAsia="宋体" w:cs="Times New Roman"/>
                      <w:b/>
                      <w:kern w:val="2"/>
                      <w:sz w:val="21"/>
                      <w:szCs w:val="21"/>
                      <w:u w:val="single"/>
                    </w:rPr>
                    <w:t>注</w:t>
                  </w:r>
                  <w:r>
                    <w:rPr>
                      <w:rFonts w:hint="eastAsia" w:eastAsia="宋体" w:cs="Times New Roman"/>
                      <w:b/>
                      <w:kern w:val="2"/>
                      <w:sz w:val="21"/>
                      <w:szCs w:val="21"/>
                      <w:u w:val="single"/>
                    </w:rPr>
                    <w:t>塑工艺生产线混合搅拌、破碎工序产生的含尘、VOCs废气</w:t>
                  </w:r>
                  <w:r>
                    <w:rPr>
                      <w:rFonts w:eastAsia="宋体" w:cs="Times New Roman"/>
                      <w:b/>
                      <w:kern w:val="2"/>
                      <w:sz w:val="21"/>
                      <w:szCs w:val="21"/>
                      <w:u w:val="single"/>
                    </w:rPr>
                    <w:t>通过1套</w:t>
                  </w:r>
                  <w:r>
                    <w:rPr>
                      <w:rFonts w:hint="eastAsia" w:eastAsia="宋体" w:cs="Times New Roman"/>
                      <w:b/>
                      <w:kern w:val="2"/>
                      <w:sz w:val="21"/>
                      <w:szCs w:val="21"/>
                      <w:u w:val="single"/>
                    </w:rPr>
                    <w:t>覆膜</w:t>
                  </w:r>
                  <w:r>
                    <w:rPr>
                      <w:rFonts w:eastAsia="宋体" w:cs="Times New Roman"/>
                      <w:b/>
                      <w:kern w:val="2"/>
                      <w:sz w:val="21"/>
                      <w:szCs w:val="21"/>
                      <w:u w:val="single"/>
                    </w:rPr>
                    <w:t>袋式除尘器</w:t>
                  </w:r>
                  <w:r>
                    <w:rPr>
                      <w:rFonts w:hint="eastAsia" w:eastAsia="宋体" w:cs="Times New Roman"/>
                      <w:b/>
                      <w:kern w:val="2"/>
                      <w:sz w:val="21"/>
                      <w:szCs w:val="21"/>
                      <w:u w:val="single"/>
                    </w:rPr>
                    <w:t>处理后，与注塑工序过程中产生的废气共同进入主管道；聚氨酯工艺生产线过程中产生的废气</w:t>
                  </w:r>
                  <w:r>
                    <w:rPr>
                      <w:rFonts w:eastAsia="宋体" w:cs="Times New Roman"/>
                      <w:b/>
                      <w:kern w:val="2"/>
                      <w:sz w:val="21"/>
                      <w:szCs w:val="21"/>
                      <w:u w:val="single"/>
                    </w:rPr>
                    <w:t>进入主管道</w:t>
                  </w:r>
                  <w:r>
                    <w:rPr>
                      <w:rFonts w:hint="eastAsia" w:eastAsia="宋体" w:cs="Times New Roman"/>
                      <w:b/>
                      <w:kern w:val="2"/>
                      <w:sz w:val="21"/>
                      <w:szCs w:val="21"/>
                      <w:u w:val="single"/>
                    </w:rPr>
                    <w:t>；鞋面布激光切割产生废气进入主管道，三者合并后经过一套两级活性炭吸附工艺处理后通过排气筒DA001排放。</w:t>
                  </w:r>
                  <w:r>
                    <w:rPr>
                      <w:rFonts w:hint="eastAsia"/>
                      <w:sz w:val="21"/>
                      <w:szCs w:val="21"/>
                    </w:rPr>
                    <w:t>均可稳定达标排放，同时满足“</w:t>
                  </w:r>
                  <w:r>
                    <w:rPr>
                      <w:sz w:val="21"/>
                      <w:szCs w:val="21"/>
                    </w:rPr>
                    <w:t>环办大气函</w:t>
                  </w:r>
                  <w:r>
                    <w:rPr>
                      <w:rFonts w:hint="eastAsia"/>
                      <w:sz w:val="21"/>
                      <w:szCs w:val="21"/>
                    </w:rPr>
                    <w:t>〔</w:t>
                  </w:r>
                  <w:r>
                    <w:rPr>
                      <w:sz w:val="21"/>
                      <w:szCs w:val="21"/>
                    </w:rPr>
                    <w:t>202</w:t>
                  </w:r>
                  <w:r>
                    <w:rPr>
                      <w:rFonts w:hint="eastAsia"/>
                      <w:sz w:val="21"/>
                      <w:szCs w:val="21"/>
                    </w:rPr>
                    <w:t>0〕</w:t>
                  </w:r>
                  <w:r>
                    <w:rPr>
                      <w:sz w:val="21"/>
                      <w:szCs w:val="21"/>
                    </w:rPr>
                    <w:t>340号</w:t>
                  </w:r>
                  <w:r>
                    <w:rPr>
                      <w:rFonts w:hint="eastAsia"/>
                      <w:sz w:val="21"/>
                      <w:szCs w:val="21"/>
                    </w:rPr>
                    <w:t>”</w:t>
                  </w:r>
                  <w:r>
                    <w:rPr>
                      <w:sz w:val="21"/>
                      <w:szCs w:val="21"/>
                    </w:rPr>
                    <w:t>中制鞋工业</w:t>
                  </w:r>
                  <w:r>
                    <w:rPr>
                      <w:rFonts w:hint="eastAsia"/>
                      <w:sz w:val="21"/>
                      <w:szCs w:val="21"/>
                    </w:rPr>
                    <w:t>绩效</w:t>
                  </w:r>
                  <w:r>
                    <w:rPr>
                      <w:sz w:val="21"/>
                      <w:szCs w:val="21"/>
                    </w:rPr>
                    <w:t>引领性指标</w:t>
                  </w:r>
                  <w:r>
                    <w:rPr>
                      <w:rFonts w:hint="eastAsia"/>
                      <w:sz w:val="21"/>
                      <w:szCs w:val="21"/>
                    </w:rPr>
                    <w:t>相关要求</w:t>
                  </w:r>
                  <w:r>
                    <w:rPr>
                      <w:sz w:val="21"/>
                      <w:szCs w:val="21"/>
                    </w:rPr>
                    <w:t>。</w:t>
                  </w:r>
                </w:p>
              </w:tc>
              <w:tc>
                <w:tcPr>
                  <w:tcW w:w="831" w:type="dxa"/>
                  <w:vAlign w:val="center"/>
                </w:tcPr>
                <w:p w14:paraId="0ABF072C">
                  <w:pPr>
                    <w:pStyle w:val="154"/>
                    <w:rPr>
                      <w:sz w:val="21"/>
                      <w:szCs w:val="21"/>
                    </w:rPr>
                  </w:pPr>
                  <w:r>
                    <w:rPr>
                      <w:sz w:val="21"/>
                      <w:szCs w:val="21"/>
                    </w:rPr>
                    <w:t>相符</w:t>
                  </w:r>
                </w:p>
              </w:tc>
            </w:tr>
          </w:tbl>
          <w:p w14:paraId="47C7F8DC">
            <w:pPr>
              <w:pStyle w:val="156"/>
              <w:ind w:firstLine="480"/>
            </w:pPr>
            <w:r>
              <w:t>由上表可知，本项目满足《洛阳市空气质量持续改善实施方案的通知》洛政办〔2024〕30号相关要求</w:t>
            </w:r>
            <w:r>
              <w:rPr>
                <w:rFonts w:hint="eastAsia"/>
              </w:rPr>
              <w:t>。</w:t>
            </w:r>
          </w:p>
          <w:p w14:paraId="7D16A678">
            <w:pPr>
              <w:pStyle w:val="157"/>
            </w:pPr>
            <w:r>
              <w:rPr>
                <w:rFonts w:hint="eastAsia"/>
              </w:rPr>
              <w:t>10</w:t>
            </w:r>
            <w:r>
              <w:t>、</w:t>
            </w:r>
            <w:r>
              <w:rPr>
                <w:rFonts w:hint="eastAsia"/>
              </w:rPr>
              <w:t>洛阳市</w:t>
            </w:r>
            <w:r>
              <w:t>生态环境保护委员会办公室</w:t>
            </w:r>
            <w:r>
              <w:rPr>
                <w:rFonts w:hint="eastAsia"/>
              </w:rPr>
              <w:t>关于印发《洛阳市</w:t>
            </w:r>
            <w:r>
              <w:t>2025年蓝天保卫战实施方案》</w:t>
            </w:r>
            <w:r>
              <w:rPr>
                <w:rFonts w:hint="eastAsia"/>
              </w:rPr>
              <w:t>《洛阳市</w:t>
            </w:r>
            <w:r>
              <w:t>2025年碧水保卫战实施方案》</w:t>
            </w:r>
            <w:r>
              <w:rPr>
                <w:rFonts w:hint="eastAsia"/>
              </w:rPr>
              <w:t>《洛阳市</w:t>
            </w:r>
            <w:r>
              <w:t>2025年净土保卫战实施方案》</w:t>
            </w:r>
            <w:r>
              <w:rPr>
                <w:rFonts w:hint="eastAsia"/>
              </w:rPr>
              <w:t>《洛阳市</w:t>
            </w:r>
            <w:r>
              <w:t>2025年柴油货车污染治理</w:t>
            </w:r>
            <w:r>
              <w:rPr>
                <w:rFonts w:hint="eastAsia"/>
              </w:rPr>
              <w:t>攻坚战实施方案》</w:t>
            </w:r>
            <w:r>
              <w:t>的通知（</w:t>
            </w:r>
            <w:r>
              <w:rPr>
                <w:rFonts w:hint="eastAsia"/>
              </w:rPr>
              <w:t>洛</w:t>
            </w:r>
            <w:r>
              <w:t>环委办</w:t>
            </w:r>
            <w:r>
              <w:rPr>
                <w:rFonts w:hint="eastAsia"/>
              </w:rPr>
              <w:t>〔</w:t>
            </w:r>
            <w:r>
              <w:t>202</w:t>
            </w:r>
            <w:r>
              <w:rPr>
                <w:rFonts w:hint="eastAsia"/>
              </w:rPr>
              <w:t>5〕21</w:t>
            </w:r>
            <w:r>
              <w:t>号）</w:t>
            </w:r>
          </w:p>
          <w:p w14:paraId="3E7C3068">
            <w:pPr>
              <w:pStyle w:val="182"/>
              <w:ind w:firstLine="480"/>
            </w:pPr>
            <w:r>
              <w:t>表1-1</w:t>
            </w:r>
            <w:r>
              <w:rPr>
                <w:rFonts w:hint="eastAsia"/>
              </w:rPr>
              <w:t>3</w:t>
            </w:r>
            <w:r>
              <w:t xml:space="preserve">        与（</w:t>
            </w:r>
            <w:r>
              <w:rPr>
                <w:rFonts w:hint="eastAsia"/>
              </w:rPr>
              <w:t>洛</w:t>
            </w:r>
            <w:r>
              <w:t>环委办〔202</w:t>
            </w:r>
            <w:r>
              <w:rPr>
                <w:rFonts w:hint="eastAsia"/>
              </w:rPr>
              <w:t>5</w:t>
            </w:r>
            <w:r>
              <w:t>〕</w:t>
            </w:r>
            <w:r>
              <w:rPr>
                <w:rFonts w:hint="eastAsia"/>
              </w:rPr>
              <w:t>21</w:t>
            </w:r>
            <w:r>
              <w:t>号）相符性分析</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5603"/>
              <w:gridCol w:w="2611"/>
              <w:gridCol w:w="864"/>
            </w:tblGrid>
            <w:tr w14:paraId="73E021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603" w:type="dxa"/>
                  <w:vAlign w:val="center"/>
                </w:tcPr>
                <w:p w14:paraId="6351EC22">
                  <w:pPr>
                    <w:pStyle w:val="154"/>
                    <w:rPr>
                      <w:sz w:val="21"/>
                      <w:szCs w:val="21"/>
                    </w:rPr>
                  </w:pPr>
                  <w:r>
                    <w:rPr>
                      <w:sz w:val="21"/>
                      <w:szCs w:val="21"/>
                    </w:rPr>
                    <w:t>文件要求</w:t>
                  </w:r>
                </w:p>
              </w:tc>
              <w:tc>
                <w:tcPr>
                  <w:tcW w:w="2611" w:type="dxa"/>
                  <w:vAlign w:val="center"/>
                </w:tcPr>
                <w:p w14:paraId="0D13F27C">
                  <w:pPr>
                    <w:pStyle w:val="154"/>
                    <w:rPr>
                      <w:sz w:val="21"/>
                      <w:szCs w:val="21"/>
                    </w:rPr>
                  </w:pPr>
                  <w:r>
                    <w:rPr>
                      <w:sz w:val="21"/>
                      <w:szCs w:val="21"/>
                    </w:rPr>
                    <w:t>本项目情况</w:t>
                  </w:r>
                </w:p>
              </w:tc>
              <w:tc>
                <w:tcPr>
                  <w:tcW w:w="864" w:type="dxa"/>
                  <w:vAlign w:val="center"/>
                </w:tcPr>
                <w:p w14:paraId="7668B537">
                  <w:pPr>
                    <w:pStyle w:val="154"/>
                    <w:rPr>
                      <w:sz w:val="21"/>
                      <w:szCs w:val="21"/>
                    </w:rPr>
                  </w:pPr>
                  <w:r>
                    <w:rPr>
                      <w:sz w:val="21"/>
                      <w:szCs w:val="21"/>
                    </w:rPr>
                    <w:t>相符性</w:t>
                  </w:r>
                </w:p>
              </w:tc>
            </w:tr>
            <w:tr w14:paraId="72A75D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078" w:type="dxa"/>
                  <w:gridSpan w:val="3"/>
                  <w:vAlign w:val="center"/>
                </w:tcPr>
                <w:p w14:paraId="0CC27247">
                  <w:pPr>
                    <w:pStyle w:val="154"/>
                    <w:rPr>
                      <w:sz w:val="21"/>
                      <w:szCs w:val="21"/>
                    </w:rPr>
                  </w:pPr>
                  <w:r>
                    <w:rPr>
                      <w:rFonts w:hint="eastAsia"/>
                      <w:sz w:val="21"/>
                      <w:szCs w:val="21"/>
                    </w:rPr>
                    <w:t>洛阳市2025年蓝天保卫战实施方案</w:t>
                  </w:r>
                </w:p>
              </w:tc>
            </w:tr>
            <w:tr w14:paraId="1790FC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603" w:type="dxa"/>
                  <w:vAlign w:val="center"/>
                </w:tcPr>
                <w:p w14:paraId="3A625B71">
                  <w:pPr>
                    <w:rPr>
                      <w:bCs/>
                      <w:sz w:val="21"/>
                      <w:szCs w:val="21"/>
                    </w:rPr>
                  </w:pPr>
                  <w:r>
                    <w:rPr>
                      <w:bCs/>
                      <w:sz w:val="21"/>
                      <w:szCs w:val="21"/>
                    </w:rPr>
                    <w:t>12.深入开展低效失效治理设施排查整治。持续开展低效失效</w:t>
                  </w:r>
                  <w:r>
                    <w:rPr>
                      <w:rFonts w:hint="eastAsia"/>
                      <w:bCs/>
                      <w:sz w:val="21"/>
                      <w:szCs w:val="21"/>
                    </w:rPr>
                    <w:t>大气污染治理设施排查，淘汰不成熟、不适用、无法稳定达标排放的治理工艺，整治关键组件缺失、质量低劣、自动化水平低的治理设施，纳入年度重点治理任务限期完成。</w:t>
                  </w:r>
                  <w:r>
                    <w:rPr>
                      <w:bCs/>
                      <w:sz w:val="21"/>
                      <w:szCs w:val="21"/>
                    </w:rPr>
                    <w:t>2025年10月底前，</w:t>
                  </w:r>
                  <w:r>
                    <w:rPr>
                      <w:rFonts w:hint="eastAsia"/>
                      <w:bCs/>
                      <w:sz w:val="21"/>
                      <w:szCs w:val="21"/>
                    </w:rPr>
                    <w:t>完成低效失效治理设施提升改造企业</w:t>
                  </w:r>
                  <w:r>
                    <w:rPr>
                      <w:bCs/>
                      <w:sz w:val="21"/>
                      <w:szCs w:val="21"/>
                    </w:rPr>
                    <w:t>200家以上，未按时完成提</w:t>
                  </w:r>
                  <w:r>
                    <w:rPr>
                      <w:rFonts w:hint="eastAsia"/>
                      <w:bCs/>
                      <w:sz w:val="21"/>
                      <w:szCs w:val="21"/>
                    </w:rPr>
                    <w:t>升改造的纳入秋冬季生产调控范围。</w:t>
                  </w:r>
                  <w:r>
                    <w:rPr>
                      <w:bCs/>
                      <w:sz w:val="21"/>
                      <w:szCs w:val="21"/>
                    </w:rPr>
                    <w:t>(市生态环境局牵头)</w:t>
                  </w:r>
                </w:p>
              </w:tc>
              <w:tc>
                <w:tcPr>
                  <w:tcW w:w="2611" w:type="dxa"/>
                  <w:vAlign w:val="center"/>
                </w:tcPr>
                <w:p w14:paraId="61CCDD40">
                  <w:pPr>
                    <w:rPr>
                      <w:bCs/>
                      <w:sz w:val="21"/>
                      <w:szCs w:val="21"/>
                    </w:rPr>
                  </w:pPr>
                  <w:r>
                    <w:rPr>
                      <w:bCs/>
                      <w:sz w:val="21"/>
                      <w:szCs w:val="21"/>
                    </w:rPr>
                    <w:t>项目生产过程产生的有机废气经</w:t>
                  </w:r>
                  <w:r>
                    <w:rPr>
                      <w:rFonts w:hint="eastAsia"/>
                      <w:bCs/>
                      <w:sz w:val="21"/>
                      <w:szCs w:val="21"/>
                    </w:rPr>
                    <w:t>“两级活性炭</w:t>
                  </w:r>
                  <w:r>
                    <w:rPr>
                      <w:bCs/>
                      <w:sz w:val="21"/>
                      <w:szCs w:val="21"/>
                    </w:rPr>
                    <w:t>吸附装置</w:t>
                  </w:r>
                  <w:r>
                    <w:rPr>
                      <w:rFonts w:hint="eastAsia"/>
                      <w:bCs/>
                      <w:sz w:val="21"/>
                      <w:szCs w:val="21"/>
                    </w:rPr>
                    <w:t>”</w:t>
                  </w:r>
                  <w:r>
                    <w:rPr>
                      <w:bCs/>
                      <w:sz w:val="21"/>
                      <w:szCs w:val="21"/>
                    </w:rPr>
                    <w:t>工艺处理，含尘废气采用</w:t>
                  </w:r>
                  <w:r>
                    <w:rPr>
                      <w:rFonts w:hint="eastAsia"/>
                      <w:bCs/>
                      <w:sz w:val="21"/>
                      <w:szCs w:val="21"/>
                    </w:rPr>
                    <w:t>“</w:t>
                  </w:r>
                  <w:r>
                    <w:rPr>
                      <w:bCs/>
                      <w:sz w:val="21"/>
                      <w:szCs w:val="21"/>
                    </w:rPr>
                    <w:t>袋式除尘器</w:t>
                  </w:r>
                  <w:r>
                    <w:rPr>
                      <w:rFonts w:hint="eastAsia"/>
                      <w:bCs/>
                      <w:sz w:val="21"/>
                      <w:szCs w:val="21"/>
                    </w:rPr>
                    <w:t>”</w:t>
                  </w:r>
                  <w:r>
                    <w:rPr>
                      <w:bCs/>
                      <w:sz w:val="21"/>
                      <w:szCs w:val="21"/>
                    </w:rPr>
                    <w:t>处理</w:t>
                  </w:r>
                  <w:r>
                    <w:rPr>
                      <w:rFonts w:hint="eastAsia"/>
                      <w:bCs/>
                      <w:sz w:val="21"/>
                      <w:szCs w:val="21"/>
                    </w:rPr>
                    <w:t>，可有效削减</w:t>
                  </w:r>
                  <w:r>
                    <w:rPr>
                      <w:bCs/>
                      <w:sz w:val="21"/>
                      <w:szCs w:val="21"/>
                    </w:rPr>
                    <w:t>有机废气的排放量，废气排放浓度满足相应排放标准要求</w:t>
                  </w:r>
                  <w:r>
                    <w:rPr>
                      <w:rFonts w:hint="eastAsia"/>
                      <w:bCs/>
                      <w:sz w:val="21"/>
                      <w:szCs w:val="21"/>
                    </w:rPr>
                    <w:t>，</w:t>
                  </w:r>
                  <w:r>
                    <w:rPr>
                      <w:bCs/>
                      <w:sz w:val="21"/>
                      <w:szCs w:val="21"/>
                    </w:rPr>
                    <w:t>不属于低效失效治理设施。</w:t>
                  </w:r>
                </w:p>
              </w:tc>
              <w:tc>
                <w:tcPr>
                  <w:tcW w:w="864" w:type="dxa"/>
                  <w:vAlign w:val="center"/>
                </w:tcPr>
                <w:p w14:paraId="464A832D">
                  <w:pPr>
                    <w:jc w:val="center"/>
                    <w:rPr>
                      <w:bCs/>
                      <w:sz w:val="21"/>
                      <w:szCs w:val="21"/>
                    </w:rPr>
                  </w:pPr>
                  <w:r>
                    <w:rPr>
                      <w:rFonts w:hint="eastAsia"/>
                      <w:bCs/>
                      <w:sz w:val="21"/>
                      <w:szCs w:val="21"/>
                    </w:rPr>
                    <w:t>相符</w:t>
                  </w:r>
                </w:p>
              </w:tc>
            </w:tr>
            <w:tr w14:paraId="094A0C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603" w:type="dxa"/>
                  <w:vAlign w:val="center"/>
                </w:tcPr>
                <w:p w14:paraId="6BF2AFE8">
                  <w:pPr>
                    <w:pStyle w:val="154"/>
                    <w:jc w:val="left"/>
                    <w:rPr>
                      <w:sz w:val="21"/>
                      <w:szCs w:val="21"/>
                    </w:rPr>
                  </w:pPr>
                  <w:r>
                    <w:rPr>
                      <w:rFonts w:hint="eastAsia"/>
                      <w:sz w:val="21"/>
                      <w:szCs w:val="21"/>
                    </w:rPr>
                    <w:t>13</w:t>
                  </w:r>
                  <w:r>
                    <w:rPr>
                      <w:sz w:val="21"/>
                      <w:szCs w:val="21"/>
                    </w:rPr>
                    <w:t>.实施挥发性有机物综合治理。组织涉VOCs企业针对挥</w:t>
                  </w:r>
                  <w:r>
                    <w:rPr>
                      <w:rFonts w:hint="eastAsia"/>
                      <w:sz w:val="21"/>
                      <w:szCs w:val="21"/>
                    </w:rPr>
                    <w:t>发性有机液体储罐、装卸、敞开液面、泄漏检测与修复</w:t>
                  </w:r>
                  <w:r>
                    <w:rPr>
                      <w:sz w:val="21"/>
                      <w:szCs w:val="21"/>
                    </w:rPr>
                    <w:t>(LDAR)、</w:t>
                  </w:r>
                  <w:r>
                    <w:rPr>
                      <w:rFonts w:hint="eastAsia"/>
                      <w:sz w:val="21"/>
                      <w:szCs w:val="21"/>
                    </w:rPr>
                    <w:t>废气收集、废气旁路、治理设施、加油站、非正常工况、产品</w:t>
                  </w:r>
                  <w:r>
                    <w:rPr>
                      <w:sz w:val="21"/>
                      <w:szCs w:val="21"/>
                    </w:rPr>
                    <w:t>VOCs</w:t>
                  </w:r>
                  <w:r>
                    <w:rPr>
                      <w:rFonts w:hint="eastAsia"/>
                      <w:sz w:val="21"/>
                      <w:szCs w:val="21"/>
                    </w:rPr>
                    <w:t>含量等</w:t>
                  </w:r>
                  <w:r>
                    <w:rPr>
                      <w:sz w:val="21"/>
                      <w:szCs w:val="21"/>
                    </w:rPr>
                    <w:t>10个关键环节开展VOCs治理突出问题排查整治，持续提</w:t>
                  </w:r>
                  <w:r>
                    <w:rPr>
                      <w:rFonts w:hint="eastAsia"/>
                      <w:sz w:val="21"/>
                      <w:szCs w:val="21"/>
                    </w:rPr>
                    <w:t>升废气收集率、治理设施运行率、治理设施去除率。</w:t>
                  </w:r>
                  <w:r>
                    <w:rPr>
                      <w:sz w:val="21"/>
                      <w:szCs w:val="21"/>
                    </w:rPr>
                    <w:t>2025年4月</w:t>
                  </w:r>
                  <w:r>
                    <w:rPr>
                      <w:rFonts w:hint="eastAsia"/>
                      <w:sz w:val="21"/>
                      <w:szCs w:val="21"/>
                    </w:rPr>
                    <w:t>底前，开展一轮次活性炭更换，</w:t>
                  </w:r>
                  <w:r>
                    <w:rPr>
                      <w:sz w:val="21"/>
                      <w:szCs w:val="21"/>
                    </w:rPr>
                    <w:t>14家企业完成一轮次泄漏检测与</w:t>
                  </w:r>
                  <w:r>
                    <w:rPr>
                      <w:rFonts w:hint="eastAsia"/>
                      <w:sz w:val="21"/>
                      <w:szCs w:val="21"/>
                    </w:rPr>
                    <w:t>修复，完成</w:t>
                  </w:r>
                  <w:r>
                    <w:rPr>
                      <w:sz w:val="21"/>
                      <w:szCs w:val="21"/>
                    </w:rPr>
                    <w:t>8个VOCs综合治理任务。(市生态环境局牵头)</w:t>
                  </w:r>
                </w:p>
              </w:tc>
              <w:tc>
                <w:tcPr>
                  <w:tcW w:w="2611" w:type="dxa"/>
                  <w:vAlign w:val="center"/>
                </w:tcPr>
                <w:p w14:paraId="044A0D5E">
                  <w:pPr>
                    <w:pStyle w:val="154"/>
                    <w:jc w:val="left"/>
                    <w:rPr>
                      <w:sz w:val="21"/>
                      <w:szCs w:val="21"/>
                    </w:rPr>
                  </w:pPr>
                  <w:r>
                    <w:rPr>
                      <w:rFonts w:ascii="宋体" w:hAnsi="宋体"/>
                      <w:bCs/>
                      <w:sz w:val="21"/>
                      <w:szCs w:val="21"/>
                    </w:rPr>
                    <w:t>本项目使用低</w:t>
                  </w:r>
                  <w:r>
                    <w:rPr>
                      <w:bCs/>
                      <w:sz w:val="21"/>
                      <w:szCs w:val="21"/>
                    </w:rPr>
                    <w:t>VOCs</w:t>
                  </w:r>
                  <w:r>
                    <w:rPr>
                      <w:rFonts w:ascii="宋体" w:hAnsi="宋体"/>
                      <w:bCs/>
                      <w:sz w:val="21"/>
                      <w:szCs w:val="21"/>
                    </w:rPr>
                    <w:t>含量的水</w:t>
                  </w:r>
                  <w:r>
                    <w:rPr>
                      <w:rFonts w:hint="eastAsia" w:ascii="宋体" w:hAnsi="宋体"/>
                      <w:bCs/>
                      <w:sz w:val="21"/>
                      <w:szCs w:val="21"/>
                    </w:rPr>
                    <w:t>基</w:t>
                  </w:r>
                  <w:r>
                    <w:rPr>
                      <w:rFonts w:ascii="宋体" w:hAnsi="宋体"/>
                      <w:bCs/>
                      <w:sz w:val="21"/>
                      <w:szCs w:val="21"/>
                    </w:rPr>
                    <w:t>清洗剂，密闭储存于生产车间内的原料区。企业按要求对活性炭装填量、更换周期实施编码登记，实现从购买、更换到处置的全过程可回溯管理。</w:t>
                  </w:r>
                </w:p>
              </w:tc>
              <w:tc>
                <w:tcPr>
                  <w:tcW w:w="864" w:type="dxa"/>
                  <w:vAlign w:val="center"/>
                </w:tcPr>
                <w:p w14:paraId="4FDB6DDA">
                  <w:pPr>
                    <w:pStyle w:val="154"/>
                    <w:rPr>
                      <w:sz w:val="21"/>
                      <w:szCs w:val="21"/>
                    </w:rPr>
                  </w:pPr>
                  <w:r>
                    <w:rPr>
                      <w:sz w:val="21"/>
                      <w:szCs w:val="21"/>
                    </w:rPr>
                    <w:t>相符</w:t>
                  </w:r>
                </w:p>
              </w:tc>
            </w:tr>
            <w:tr w14:paraId="7E7C65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603" w:type="dxa"/>
                  <w:vAlign w:val="center"/>
                </w:tcPr>
                <w:p w14:paraId="7ECF409F">
                  <w:pPr>
                    <w:pStyle w:val="154"/>
                    <w:jc w:val="left"/>
                    <w:rPr>
                      <w:sz w:val="21"/>
                      <w:szCs w:val="21"/>
                    </w:rPr>
                  </w:pPr>
                  <w:r>
                    <w:rPr>
                      <w:sz w:val="21"/>
                      <w:szCs w:val="21"/>
                    </w:rPr>
                    <w:t>2</w:t>
                  </w:r>
                  <w:r>
                    <w:rPr>
                      <w:rFonts w:hint="eastAsia"/>
                      <w:sz w:val="21"/>
                      <w:szCs w:val="21"/>
                    </w:rPr>
                    <w:t>9</w:t>
                  </w:r>
                  <w:r>
                    <w:rPr>
                      <w:sz w:val="21"/>
                      <w:szCs w:val="21"/>
                    </w:rPr>
                    <w:t>.开展环境绩效等级提升行动。加强企业绩效监管，对已评定A级、B级和绩效引领性企业开展“回头看”，对实际绩效水平达不到评定等级要求，或存在严重环境违法违规行为的企业，严格实施降级处理。开展重点行业环保绩效创A行动，充分发挥绩效A级企业引领作用，以“先进”带动“后进”，鼓励指导企业通过设备更新、技术改造、治理升级等措施，不断提升环境绩效等级。2025年全市新增A级、B级企业及绩效引领性企业60家以上。(市生态环境局牵头)</w:t>
                  </w:r>
                </w:p>
              </w:tc>
              <w:tc>
                <w:tcPr>
                  <w:tcW w:w="2611" w:type="dxa"/>
                  <w:vAlign w:val="center"/>
                </w:tcPr>
                <w:p w14:paraId="24CF9A3A">
                  <w:pPr>
                    <w:pStyle w:val="154"/>
                    <w:jc w:val="left"/>
                    <w:rPr>
                      <w:sz w:val="21"/>
                      <w:szCs w:val="21"/>
                    </w:rPr>
                  </w:pPr>
                  <w:r>
                    <w:rPr>
                      <w:rFonts w:ascii="宋体" w:hAnsi="宋体"/>
                      <w:bCs/>
                      <w:sz w:val="21"/>
                      <w:szCs w:val="21"/>
                    </w:rPr>
                    <w:t>本项目为制鞋业，项目建设满足《重污染天气重点行业应急减排措施制定技术指南（</w:t>
                  </w:r>
                  <w:r>
                    <w:rPr>
                      <w:bCs/>
                      <w:sz w:val="21"/>
                      <w:szCs w:val="21"/>
                    </w:rPr>
                    <w:t>2020</w:t>
                  </w:r>
                  <w:r>
                    <w:rPr>
                      <w:rFonts w:ascii="宋体" w:hAnsi="宋体"/>
                      <w:bCs/>
                      <w:sz w:val="21"/>
                      <w:szCs w:val="21"/>
                    </w:rPr>
                    <w:t>年修订版）》（环办大气函〔</w:t>
                  </w:r>
                  <w:r>
                    <w:rPr>
                      <w:bCs/>
                      <w:sz w:val="21"/>
                      <w:szCs w:val="21"/>
                    </w:rPr>
                    <w:t>2020</w:t>
                  </w:r>
                  <w:r>
                    <w:rPr>
                      <w:rFonts w:ascii="宋体" w:hAnsi="宋体"/>
                      <w:bCs/>
                      <w:sz w:val="21"/>
                      <w:szCs w:val="21"/>
                    </w:rPr>
                    <w:t>〕</w:t>
                  </w:r>
                  <w:r>
                    <w:rPr>
                      <w:bCs/>
                      <w:sz w:val="21"/>
                      <w:szCs w:val="21"/>
                    </w:rPr>
                    <w:t>340</w:t>
                  </w:r>
                  <w:r>
                    <w:rPr>
                      <w:rFonts w:ascii="宋体" w:hAnsi="宋体"/>
                      <w:bCs/>
                      <w:sz w:val="21"/>
                      <w:szCs w:val="21"/>
                    </w:rPr>
                    <w:t>号）</w:t>
                  </w:r>
                  <w:r>
                    <w:rPr>
                      <w:sz w:val="21"/>
                      <w:szCs w:val="21"/>
                    </w:rPr>
                    <w:t>及环办便函</w:t>
                  </w:r>
                  <w:r>
                    <w:rPr>
                      <w:rFonts w:hint="eastAsia"/>
                      <w:sz w:val="21"/>
                      <w:szCs w:val="21"/>
                    </w:rPr>
                    <w:t>〔</w:t>
                  </w:r>
                  <w:r>
                    <w:rPr>
                      <w:sz w:val="21"/>
                      <w:szCs w:val="21"/>
                    </w:rPr>
                    <w:t>2021</w:t>
                  </w:r>
                  <w:r>
                    <w:rPr>
                      <w:rFonts w:hint="eastAsia"/>
                      <w:sz w:val="21"/>
                      <w:szCs w:val="21"/>
                    </w:rPr>
                    <w:t>〕</w:t>
                  </w:r>
                  <w:r>
                    <w:rPr>
                      <w:sz w:val="21"/>
                      <w:szCs w:val="21"/>
                    </w:rPr>
                    <w:t>341号文件</w:t>
                  </w:r>
                  <w:r>
                    <w:rPr>
                      <w:rFonts w:ascii="宋体" w:hAnsi="宋体"/>
                      <w:bCs/>
                      <w:sz w:val="21"/>
                      <w:szCs w:val="21"/>
                    </w:rPr>
                    <w:t>中制鞋业引领性指标相关要求。</w:t>
                  </w:r>
                </w:p>
              </w:tc>
              <w:tc>
                <w:tcPr>
                  <w:tcW w:w="864" w:type="dxa"/>
                  <w:vAlign w:val="center"/>
                </w:tcPr>
                <w:p w14:paraId="5189A75B">
                  <w:pPr>
                    <w:pStyle w:val="154"/>
                    <w:rPr>
                      <w:sz w:val="21"/>
                      <w:szCs w:val="21"/>
                    </w:rPr>
                  </w:pPr>
                  <w:r>
                    <w:rPr>
                      <w:sz w:val="21"/>
                      <w:szCs w:val="21"/>
                    </w:rPr>
                    <w:t>相符</w:t>
                  </w:r>
                </w:p>
              </w:tc>
            </w:tr>
            <w:tr w14:paraId="5CC18B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078" w:type="dxa"/>
                  <w:gridSpan w:val="3"/>
                  <w:vAlign w:val="center"/>
                </w:tcPr>
                <w:p w14:paraId="50F7F159">
                  <w:pPr>
                    <w:pStyle w:val="154"/>
                    <w:rPr>
                      <w:sz w:val="21"/>
                      <w:szCs w:val="21"/>
                    </w:rPr>
                  </w:pPr>
                  <w:r>
                    <w:rPr>
                      <w:rFonts w:hint="eastAsia" w:ascii="宋体" w:hAnsi="宋体"/>
                      <w:bCs/>
                      <w:sz w:val="21"/>
                      <w:szCs w:val="21"/>
                    </w:rPr>
                    <w:t>洛阳市</w:t>
                  </w:r>
                  <w:r>
                    <w:rPr>
                      <w:rFonts w:hint="eastAsia"/>
                      <w:bCs/>
                      <w:sz w:val="21"/>
                      <w:szCs w:val="21"/>
                    </w:rPr>
                    <w:t>2025</w:t>
                  </w:r>
                  <w:r>
                    <w:rPr>
                      <w:rFonts w:ascii="宋体" w:hAnsi="宋体"/>
                      <w:bCs/>
                      <w:sz w:val="21"/>
                      <w:szCs w:val="21"/>
                    </w:rPr>
                    <w:t>年碧水保卫战实施方案</w:t>
                  </w:r>
                </w:p>
              </w:tc>
            </w:tr>
            <w:tr w14:paraId="6D057A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603" w:type="dxa"/>
                  <w:vAlign w:val="center"/>
                </w:tcPr>
                <w:p w14:paraId="241099A8">
                  <w:pPr>
                    <w:rPr>
                      <w:bCs/>
                      <w:sz w:val="21"/>
                      <w:szCs w:val="21"/>
                    </w:rPr>
                  </w:pPr>
                  <w:r>
                    <w:rPr>
                      <w:bCs/>
                      <w:sz w:val="21"/>
                      <w:szCs w:val="21"/>
                    </w:rPr>
                    <w:t>11.深化工业园区水污染整治。开展工业园区污水收集处理能</w:t>
                  </w:r>
                  <w:r>
                    <w:rPr>
                      <w:rFonts w:hint="eastAsia"/>
                      <w:bCs/>
                      <w:sz w:val="21"/>
                      <w:szCs w:val="21"/>
                    </w:rPr>
                    <w:t>力、污水资源化利用能力、监测监管能力提升行动和化工园区“污水零直排区”建设行动，补齐园区污水收集处理设施短板</w:t>
                  </w:r>
                  <w:r>
                    <w:rPr>
                      <w:bCs/>
                      <w:sz w:val="21"/>
                      <w:szCs w:val="21"/>
                    </w:rPr>
                    <w:t>；推动</w:t>
                  </w:r>
                  <w:r>
                    <w:rPr>
                      <w:rFonts w:hint="eastAsia"/>
                      <w:bCs/>
                      <w:sz w:val="21"/>
                      <w:szCs w:val="21"/>
                    </w:rPr>
                    <w:t>孟津先进制造业开发区化工园区“一企一管”建设，规范化工园区污水收集处理</w:t>
                  </w:r>
                  <w:r>
                    <w:rPr>
                      <w:bCs/>
                      <w:sz w:val="21"/>
                      <w:szCs w:val="21"/>
                    </w:rPr>
                    <w:t>；规范管理运维，确保已建成的化工园区配套的</w:t>
                  </w:r>
                  <w:r>
                    <w:rPr>
                      <w:rFonts w:hint="eastAsia"/>
                      <w:bCs/>
                      <w:sz w:val="21"/>
                      <w:szCs w:val="21"/>
                    </w:rPr>
                    <w:t>污水集中处理设施稳定运行，其它工业园区污水收集处理效能明显提升。</w:t>
                  </w:r>
                  <w:r>
                    <w:rPr>
                      <w:bCs/>
                      <w:sz w:val="21"/>
                      <w:szCs w:val="21"/>
                    </w:rPr>
                    <w:t>(市生态环境局、发展改革委、工业和信息化局、城市管</w:t>
                  </w:r>
                  <w:r>
                    <w:rPr>
                      <w:rFonts w:hint="eastAsia"/>
                      <w:bCs/>
                      <w:sz w:val="21"/>
                      <w:szCs w:val="21"/>
                    </w:rPr>
                    <w:t>理局、水利局按照职责分工负责)</w:t>
                  </w:r>
                </w:p>
              </w:tc>
              <w:tc>
                <w:tcPr>
                  <w:tcW w:w="2611" w:type="dxa"/>
                  <w:vAlign w:val="center"/>
                </w:tcPr>
                <w:p w14:paraId="76A9B0EF">
                  <w:pPr>
                    <w:rPr>
                      <w:bCs/>
                      <w:sz w:val="21"/>
                      <w:szCs w:val="21"/>
                    </w:rPr>
                  </w:pPr>
                  <w:r>
                    <w:rPr>
                      <w:bCs/>
                      <w:sz w:val="21"/>
                      <w:szCs w:val="21"/>
                    </w:rPr>
                    <w:t>本项目仅产生生活污水，</w:t>
                  </w:r>
                  <w:r>
                    <w:rPr>
                      <w:rFonts w:hint="eastAsia"/>
                      <w:bCs/>
                      <w:sz w:val="21"/>
                      <w:szCs w:val="21"/>
                    </w:rPr>
                    <w:t>经厂区化粪池（容积5m</w:t>
                  </w:r>
                  <w:r>
                    <w:rPr>
                      <w:rFonts w:hint="eastAsia"/>
                      <w:bCs/>
                      <w:sz w:val="21"/>
                      <w:szCs w:val="21"/>
                      <w:vertAlign w:val="superscript"/>
                    </w:rPr>
                    <w:t>3</w:t>
                  </w:r>
                  <w:r>
                    <w:rPr>
                      <w:rFonts w:hint="eastAsia"/>
                      <w:bCs/>
                      <w:sz w:val="21"/>
                      <w:szCs w:val="21"/>
                    </w:rPr>
                    <w:t>）处理后，通过市政污水管网进入洛阳市中州渠人工湿地进一步处理。</w:t>
                  </w:r>
                </w:p>
              </w:tc>
              <w:tc>
                <w:tcPr>
                  <w:tcW w:w="864" w:type="dxa"/>
                  <w:vAlign w:val="center"/>
                </w:tcPr>
                <w:p w14:paraId="38AD3DFE">
                  <w:pPr>
                    <w:jc w:val="center"/>
                    <w:rPr>
                      <w:bCs/>
                      <w:sz w:val="21"/>
                      <w:szCs w:val="21"/>
                    </w:rPr>
                  </w:pPr>
                  <w:r>
                    <w:rPr>
                      <w:rFonts w:hint="eastAsia"/>
                      <w:bCs/>
                      <w:sz w:val="21"/>
                      <w:szCs w:val="21"/>
                    </w:rPr>
                    <w:t>相符</w:t>
                  </w:r>
                </w:p>
              </w:tc>
            </w:tr>
          </w:tbl>
          <w:p w14:paraId="51E63BB0">
            <w:pPr>
              <w:pStyle w:val="157"/>
              <w:ind w:firstLine="480" w:firstLineChars="200"/>
              <w:rPr>
                <w:rFonts w:eastAsiaTheme="minorEastAsia"/>
                <w:b w:val="0"/>
                <w:szCs w:val="24"/>
              </w:rPr>
            </w:pPr>
            <w:r>
              <w:rPr>
                <w:rFonts w:hAnsiTheme="minorEastAsia" w:eastAsiaTheme="minorEastAsia"/>
                <w:b w:val="0"/>
                <w:szCs w:val="24"/>
              </w:rPr>
              <w:t>由上表可知，本项目满足洛阳市生态环境保护委员会办公室关于印发《洛阳市</w:t>
            </w:r>
            <w:r>
              <w:rPr>
                <w:rFonts w:eastAsiaTheme="minorEastAsia"/>
                <w:b w:val="0"/>
                <w:szCs w:val="24"/>
              </w:rPr>
              <w:t>2025</w:t>
            </w:r>
            <w:r>
              <w:rPr>
                <w:rFonts w:hAnsiTheme="minorEastAsia" w:eastAsiaTheme="minorEastAsia"/>
                <w:b w:val="0"/>
                <w:szCs w:val="24"/>
              </w:rPr>
              <w:t>年蓝天保卫战实施方案》《洛阳市</w:t>
            </w:r>
            <w:r>
              <w:rPr>
                <w:rFonts w:eastAsiaTheme="minorEastAsia"/>
                <w:b w:val="0"/>
                <w:szCs w:val="24"/>
              </w:rPr>
              <w:t>2025</w:t>
            </w:r>
            <w:r>
              <w:rPr>
                <w:rFonts w:hAnsiTheme="minorEastAsia" w:eastAsiaTheme="minorEastAsia"/>
                <w:b w:val="0"/>
                <w:szCs w:val="24"/>
              </w:rPr>
              <w:t>年碧水保卫战实施方案》《洛阳市</w:t>
            </w:r>
            <w:r>
              <w:rPr>
                <w:rFonts w:eastAsiaTheme="minorEastAsia"/>
                <w:b w:val="0"/>
                <w:szCs w:val="24"/>
              </w:rPr>
              <w:t>2025</w:t>
            </w:r>
            <w:r>
              <w:rPr>
                <w:rFonts w:hAnsiTheme="minorEastAsia" w:eastAsiaTheme="minorEastAsia"/>
                <w:b w:val="0"/>
                <w:szCs w:val="24"/>
              </w:rPr>
              <w:t>年净土保卫战实施方案》《洛阳市</w:t>
            </w:r>
            <w:r>
              <w:rPr>
                <w:rFonts w:eastAsiaTheme="minorEastAsia"/>
                <w:b w:val="0"/>
                <w:szCs w:val="24"/>
              </w:rPr>
              <w:t>2025</w:t>
            </w:r>
            <w:r>
              <w:rPr>
                <w:rFonts w:hAnsiTheme="minorEastAsia" w:eastAsiaTheme="minorEastAsia"/>
                <w:b w:val="0"/>
                <w:szCs w:val="24"/>
              </w:rPr>
              <w:t>年柴油货车污染治理攻坚战实施方案》的通知（洛环委办〔</w:t>
            </w:r>
            <w:r>
              <w:rPr>
                <w:rFonts w:eastAsiaTheme="minorEastAsia"/>
                <w:b w:val="0"/>
                <w:szCs w:val="24"/>
              </w:rPr>
              <w:t>2025</w:t>
            </w:r>
            <w:r>
              <w:rPr>
                <w:rFonts w:hAnsiTheme="minorEastAsia" w:eastAsiaTheme="minorEastAsia"/>
                <w:b w:val="0"/>
                <w:szCs w:val="24"/>
              </w:rPr>
              <w:t>〕</w:t>
            </w:r>
            <w:r>
              <w:rPr>
                <w:rFonts w:eastAsiaTheme="minorEastAsia"/>
                <w:b w:val="0"/>
                <w:szCs w:val="24"/>
              </w:rPr>
              <w:t>21</w:t>
            </w:r>
            <w:r>
              <w:rPr>
                <w:rFonts w:hAnsiTheme="minorEastAsia" w:eastAsiaTheme="minorEastAsia"/>
                <w:b w:val="0"/>
                <w:szCs w:val="24"/>
              </w:rPr>
              <w:t>号）</w:t>
            </w:r>
            <w:r>
              <w:rPr>
                <w:rFonts w:hAnsiTheme="minorEastAsia" w:eastAsiaTheme="minorEastAsia"/>
                <w:b w:val="0"/>
                <w:szCs w:val="20"/>
              </w:rPr>
              <w:t>相关要求。</w:t>
            </w:r>
          </w:p>
          <w:p w14:paraId="56AF0CF9">
            <w:pPr>
              <w:pStyle w:val="157"/>
            </w:pPr>
            <w:r>
              <w:rPr>
                <w:rFonts w:hint="eastAsia"/>
                <w:bCs/>
              </w:rPr>
              <w:t>11</w:t>
            </w:r>
            <w:r>
              <w:t>、《偃师区2024年夏季挥发性有机物污染防治工作实施方案》（偃环委办〔2024〕2号）</w:t>
            </w:r>
          </w:p>
          <w:p w14:paraId="19CD6ED9">
            <w:pPr>
              <w:pStyle w:val="182"/>
              <w:ind w:firstLine="480"/>
            </w:pPr>
            <w:r>
              <w:t>表1-1</w:t>
            </w:r>
            <w:r>
              <w:rPr>
                <w:rFonts w:hint="eastAsia"/>
              </w:rPr>
              <w:t>4</w:t>
            </w:r>
            <w:r>
              <w:t xml:space="preserve">   与（偃环委办〔2024〕2号）相符性分析</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6241"/>
              <w:gridCol w:w="189"/>
              <w:gridCol w:w="1784"/>
              <w:gridCol w:w="864"/>
            </w:tblGrid>
            <w:tr w14:paraId="7A2704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6430" w:type="dxa"/>
                  <w:gridSpan w:val="2"/>
                  <w:vAlign w:val="center"/>
                </w:tcPr>
                <w:p w14:paraId="746EB336">
                  <w:pPr>
                    <w:pStyle w:val="154"/>
                    <w:rPr>
                      <w:sz w:val="21"/>
                      <w:szCs w:val="21"/>
                    </w:rPr>
                  </w:pPr>
                  <w:r>
                    <w:rPr>
                      <w:sz w:val="21"/>
                      <w:szCs w:val="21"/>
                    </w:rPr>
                    <w:t>文件要求</w:t>
                  </w:r>
                </w:p>
              </w:tc>
              <w:tc>
                <w:tcPr>
                  <w:tcW w:w="1784" w:type="dxa"/>
                  <w:vAlign w:val="center"/>
                </w:tcPr>
                <w:p w14:paraId="4DE19A13">
                  <w:pPr>
                    <w:pStyle w:val="154"/>
                    <w:rPr>
                      <w:sz w:val="21"/>
                      <w:szCs w:val="21"/>
                    </w:rPr>
                  </w:pPr>
                  <w:r>
                    <w:rPr>
                      <w:sz w:val="21"/>
                      <w:szCs w:val="21"/>
                    </w:rPr>
                    <w:t>本项目情况</w:t>
                  </w:r>
                </w:p>
              </w:tc>
              <w:tc>
                <w:tcPr>
                  <w:tcW w:w="864" w:type="dxa"/>
                  <w:vAlign w:val="center"/>
                </w:tcPr>
                <w:p w14:paraId="0CB9B20B">
                  <w:pPr>
                    <w:pStyle w:val="154"/>
                    <w:rPr>
                      <w:sz w:val="21"/>
                      <w:szCs w:val="21"/>
                    </w:rPr>
                  </w:pPr>
                  <w:r>
                    <w:rPr>
                      <w:sz w:val="21"/>
                      <w:szCs w:val="21"/>
                    </w:rPr>
                    <w:t>相符性</w:t>
                  </w:r>
                </w:p>
              </w:tc>
            </w:tr>
            <w:tr w14:paraId="3228C9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078" w:type="dxa"/>
                  <w:gridSpan w:val="4"/>
                  <w:vAlign w:val="center"/>
                </w:tcPr>
                <w:p w14:paraId="417EAEDB">
                  <w:pPr>
                    <w:pStyle w:val="154"/>
                    <w:rPr>
                      <w:sz w:val="21"/>
                      <w:szCs w:val="21"/>
                    </w:rPr>
                  </w:pPr>
                  <w:r>
                    <w:rPr>
                      <w:sz w:val="21"/>
                      <w:szCs w:val="21"/>
                    </w:rPr>
                    <w:t>(一)加强低VOCs含量原辅材料替代</w:t>
                  </w:r>
                </w:p>
              </w:tc>
            </w:tr>
            <w:tr w14:paraId="10E6D1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6241" w:type="dxa"/>
                  <w:vAlign w:val="center"/>
                </w:tcPr>
                <w:p w14:paraId="10BB976C">
                  <w:pPr>
                    <w:pStyle w:val="154"/>
                    <w:jc w:val="left"/>
                    <w:rPr>
                      <w:sz w:val="21"/>
                      <w:szCs w:val="21"/>
                    </w:rPr>
                  </w:pPr>
                  <w:r>
                    <w:rPr>
                      <w:sz w:val="21"/>
                      <w:szCs w:val="21"/>
                    </w:rPr>
                    <w:t>指导督促工业涂装、包装印刷等重点行业，落实《低挥发性有机化合物含量涂料产品技术要求》(GB/T38597-2020)等VOCs含量限值标准，加大涂料、油墨、胶粘剂、清洗剂等低VOCs含量原辅材料替代力度。按照</w:t>
                  </w:r>
                  <w:r>
                    <w:rPr>
                      <w:rFonts w:hint="eastAsia"/>
                      <w:sz w:val="21"/>
                      <w:szCs w:val="21"/>
                    </w:rPr>
                    <w:t>“</w:t>
                  </w:r>
                  <w:r>
                    <w:rPr>
                      <w:sz w:val="21"/>
                      <w:szCs w:val="21"/>
                    </w:rPr>
                    <w:t>可替尽替、应代尽代</w:t>
                  </w:r>
                  <w:r>
                    <w:rPr>
                      <w:rFonts w:hint="eastAsia"/>
                      <w:sz w:val="21"/>
                      <w:szCs w:val="21"/>
                    </w:rPr>
                    <w:t>”</w:t>
                  </w:r>
                  <w:r>
                    <w:rPr>
                      <w:sz w:val="21"/>
                      <w:szCs w:val="21"/>
                    </w:rPr>
                    <w:t>的原则，结合行业特点和企业实际，在全面排查基础上制定低VOCs原辅材料替代计划并积极推动实施。</w:t>
                  </w:r>
                </w:p>
              </w:tc>
              <w:tc>
                <w:tcPr>
                  <w:tcW w:w="1973" w:type="dxa"/>
                  <w:gridSpan w:val="2"/>
                </w:tcPr>
                <w:p w14:paraId="0957BDE7">
                  <w:pPr>
                    <w:pStyle w:val="154"/>
                    <w:jc w:val="both"/>
                    <w:rPr>
                      <w:sz w:val="21"/>
                      <w:szCs w:val="21"/>
                    </w:rPr>
                  </w:pPr>
                  <w:r>
                    <w:rPr>
                      <w:sz w:val="21"/>
                      <w:szCs w:val="21"/>
                    </w:rPr>
                    <w:t>本项目采用低VOCs原料；</w:t>
                  </w:r>
                  <w:r>
                    <w:rPr>
                      <w:rFonts w:hint="eastAsia"/>
                      <w:sz w:val="21"/>
                      <w:szCs w:val="21"/>
                    </w:rPr>
                    <w:t>所用清洗剂为低</w:t>
                  </w:r>
                  <w:r>
                    <w:rPr>
                      <w:sz w:val="21"/>
                      <w:szCs w:val="21"/>
                    </w:rPr>
                    <w:t>VOCs</w:t>
                  </w:r>
                  <w:r>
                    <w:rPr>
                      <w:rFonts w:hint="eastAsia"/>
                      <w:sz w:val="21"/>
                      <w:szCs w:val="21"/>
                    </w:rPr>
                    <w:t>含量原料。清洗剂满足《清洗剂挥发性有机化合物含量限值》</w:t>
                  </w:r>
                  <w:r>
                    <w:rPr>
                      <w:sz w:val="21"/>
                      <w:szCs w:val="21"/>
                    </w:rPr>
                    <w:t>(GB38508</w:t>
                  </w:r>
                  <w:r>
                    <w:rPr>
                      <w:rFonts w:hint="eastAsia"/>
                      <w:sz w:val="21"/>
                      <w:szCs w:val="21"/>
                    </w:rPr>
                    <w:t xml:space="preserve"> </w:t>
                  </w:r>
                  <w:r>
                    <w:rPr>
                      <w:sz w:val="21"/>
                      <w:szCs w:val="21"/>
                    </w:rPr>
                    <w:t>-2020)</w:t>
                  </w:r>
                  <w:r>
                    <w:rPr>
                      <w:rFonts w:hint="eastAsia"/>
                      <w:sz w:val="21"/>
                      <w:szCs w:val="21"/>
                    </w:rPr>
                    <w:t>要求。</w:t>
                  </w:r>
                </w:p>
                <w:p w14:paraId="4F2DCCB3">
                  <w:pPr>
                    <w:pStyle w:val="154"/>
                    <w:jc w:val="both"/>
                    <w:rPr>
                      <w:sz w:val="21"/>
                      <w:szCs w:val="21"/>
                    </w:rPr>
                  </w:pPr>
                  <w:r>
                    <w:rPr>
                      <w:sz w:val="21"/>
                      <w:szCs w:val="21"/>
                    </w:rPr>
                    <w:t>本项目不使用溶剂型涂料、油墨</w:t>
                  </w:r>
                  <w:r>
                    <w:rPr>
                      <w:rFonts w:hint="eastAsia"/>
                      <w:sz w:val="21"/>
                      <w:szCs w:val="21"/>
                    </w:rPr>
                    <w:t>和</w:t>
                  </w:r>
                  <w:r>
                    <w:rPr>
                      <w:sz w:val="21"/>
                      <w:szCs w:val="21"/>
                    </w:rPr>
                    <w:t>胶粘剂等。</w:t>
                  </w:r>
                </w:p>
              </w:tc>
              <w:tc>
                <w:tcPr>
                  <w:tcW w:w="864" w:type="dxa"/>
                  <w:vAlign w:val="center"/>
                </w:tcPr>
                <w:p w14:paraId="12D44707">
                  <w:pPr>
                    <w:pStyle w:val="154"/>
                    <w:rPr>
                      <w:sz w:val="21"/>
                      <w:szCs w:val="21"/>
                    </w:rPr>
                  </w:pPr>
                  <w:r>
                    <w:rPr>
                      <w:sz w:val="21"/>
                      <w:szCs w:val="21"/>
                    </w:rPr>
                    <w:t>相符</w:t>
                  </w:r>
                </w:p>
              </w:tc>
            </w:tr>
            <w:tr w14:paraId="3950CE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078" w:type="dxa"/>
                  <w:gridSpan w:val="4"/>
                  <w:vAlign w:val="center"/>
                </w:tcPr>
                <w:p w14:paraId="686E0893">
                  <w:pPr>
                    <w:pStyle w:val="154"/>
                    <w:rPr>
                      <w:sz w:val="21"/>
                      <w:szCs w:val="21"/>
                    </w:rPr>
                  </w:pPr>
                  <w:r>
                    <w:rPr>
                      <w:sz w:val="21"/>
                      <w:szCs w:val="21"/>
                    </w:rPr>
                    <w:t>(二)强化无组织排放管理</w:t>
                  </w:r>
                </w:p>
              </w:tc>
            </w:tr>
            <w:tr w14:paraId="7A2092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6241" w:type="dxa"/>
                  <w:vAlign w:val="center"/>
                </w:tcPr>
                <w:p w14:paraId="316D69CE">
                  <w:pPr>
                    <w:pStyle w:val="154"/>
                    <w:jc w:val="left"/>
                    <w:rPr>
                      <w:sz w:val="21"/>
                      <w:szCs w:val="21"/>
                    </w:rPr>
                  </w:pPr>
                  <w:r>
                    <w:rPr>
                      <w:sz w:val="21"/>
                      <w:szCs w:val="21"/>
                    </w:rPr>
                    <w:t>提升VOCs废气收集效率。督促企业按照</w:t>
                  </w:r>
                  <w:r>
                    <w:rPr>
                      <w:rFonts w:hint="eastAsia"/>
                      <w:sz w:val="21"/>
                      <w:szCs w:val="21"/>
                    </w:rPr>
                    <w:t>“</w:t>
                  </w:r>
                  <w:r>
                    <w:rPr>
                      <w:sz w:val="21"/>
                      <w:szCs w:val="21"/>
                    </w:rPr>
                    <w:t>应收尽收、分质收集</w:t>
                  </w:r>
                  <w:r>
                    <w:rPr>
                      <w:rFonts w:hint="eastAsia"/>
                      <w:sz w:val="21"/>
                      <w:szCs w:val="21"/>
                    </w:rPr>
                    <w:t>”</w:t>
                  </w:r>
                  <w:r>
                    <w:rPr>
                      <w:sz w:val="21"/>
                      <w:szCs w:val="21"/>
                    </w:rPr>
                    <w:t>的原则，科学设计废气收集系统，提升废气收集效率，尽可能将VOCs无组织排放转变为有组织排放集中治理。VOCs有机废水储罐、装置区集水井(池)有机废气要密闭收集处理，企业污水处理场排放的高浓度有机废气要单独收集处理；工业涂装、包装印刷等行业优先采用密闭设备、在密闭空间中操作等方式收集无组织废气，并保持负压运行:采用集气罩、侧吸风等方式收集无组织废气的，距集气罩开口面最远处的控制风速不低于0.3米/秒或按相关行业要求规定执行。</w:t>
                  </w:r>
                </w:p>
              </w:tc>
              <w:tc>
                <w:tcPr>
                  <w:tcW w:w="1973" w:type="dxa"/>
                  <w:gridSpan w:val="2"/>
                </w:tcPr>
                <w:p w14:paraId="6552F2BC">
                  <w:pPr>
                    <w:pStyle w:val="154"/>
                    <w:jc w:val="left"/>
                    <w:rPr>
                      <w:sz w:val="21"/>
                      <w:szCs w:val="21"/>
                    </w:rPr>
                  </w:pPr>
                  <w:r>
                    <w:rPr>
                      <w:sz w:val="21"/>
                      <w:szCs w:val="21"/>
                    </w:rPr>
                    <w:t>本项目废气采用集气罩方式收集无组织废气，设计集气罩开口面最远处风速不低于0.</w:t>
                  </w:r>
                  <w:r>
                    <w:rPr>
                      <w:rFonts w:hint="eastAsia"/>
                      <w:sz w:val="21"/>
                      <w:szCs w:val="21"/>
                    </w:rPr>
                    <w:t>3</w:t>
                  </w:r>
                  <w:r>
                    <w:rPr>
                      <w:sz w:val="21"/>
                      <w:szCs w:val="21"/>
                    </w:rPr>
                    <w:t>m/s，符合文件要求。</w:t>
                  </w:r>
                </w:p>
              </w:tc>
              <w:tc>
                <w:tcPr>
                  <w:tcW w:w="864" w:type="dxa"/>
                  <w:vAlign w:val="center"/>
                </w:tcPr>
                <w:p w14:paraId="5C8F658B">
                  <w:pPr>
                    <w:pStyle w:val="154"/>
                    <w:rPr>
                      <w:sz w:val="21"/>
                      <w:szCs w:val="21"/>
                    </w:rPr>
                  </w:pPr>
                  <w:r>
                    <w:rPr>
                      <w:sz w:val="21"/>
                      <w:szCs w:val="21"/>
                    </w:rPr>
                    <w:t>相符</w:t>
                  </w:r>
                </w:p>
              </w:tc>
            </w:tr>
            <w:tr w14:paraId="1F0E90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9078" w:type="dxa"/>
                  <w:gridSpan w:val="4"/>
                  <w:vAlign w:val="center"/>
                </w:tcPr>
                <w:p w14:paraId="7EDE845A">
                  <w:pPr>
                    <w:pStyle w:val="154"/>
                    <w:rPr>
                      <w:sz w:val="21"/>
                      <w:szCs w:val="21"/>
                    </w:rPr>
                  </w:pPr>
                  <w:r>
                    <w:rPr>
                      <w:sz w:val="21"/>
                      <w:szCs w:val="21"/>
                    </w:rPr>
                    <w:t>(三)提升有组织治理能力</w:t>
                  </w:r>
                </w:p>
              </w:tc>
            </w:tr>
            <w:tr w14:paraId="634DA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6241" w:type="dxa"/>
                  <w:vAlign w:val="center"/>
                </w:tcPr>
                <w:p w14:paraId="0853B995">
                  <w:pPr>
                    <w:pStyle w:val="154"/>
                    <w:jc w:val="left"/>
                    <w:rPr>
                      <w:sz w:val="21"/>
                      <w:szCs w:val="21"/>
                    </w:rPr>
                  </w:pPr>
                  <w:r>
                    <w:rPr>
                      <w:sz w:val="21"/>
                      <w:szCs w:val="21"/>
                    </w:rPr>
                    <w:t>1、开展低效失效治理设施排查整治。2024年6月底前，按照省市部署，制定低效失效治理设施排查整治方案，对涉V</w:t>
                  </w:r>
                  <w:r>
                    <w:rPr>
                      <w:rFonts w:hint="eastAsia"/>
                      <w:sz w:val="21"/>
                      <w:szCs w:val="21"/>
                    </w:rPr>
                    <w:t>O</w:t>
                  </w:r>
                  <w:r>
                    <w:rPr>
                      <w:sz w:val="21"/>
                      <w:szCs w:val="21"/>
                    </w:rPr>
                    <w:t>Cs等重点行业建立排查整治企业清单，对于不成熟、不适用、无法稳定达标排放的治理工艺，以及光催化、光氧化、低温等离子、非水溶性VOCs废气采用单一水喷淋吸收等低效技术使用占比大、治理效果差的治理工艺，通过更换适宜高效治理工艺、原辅材料源头替代、关停淘汰等方式实施分类整治。2024年10月20日前完成排查工作，对于能立行立改的问题，督促企业立即整改到位。对于需实施治理设施提升改造的，应依据排放废气特征、VOCs组分及浓度、生产工况等，合理选择治理技术；对治理难度大、单一治理工艺难以稳定达标的，宜采用多种技术的组合工艺</w:t>
                  </w:r>
                  <w:r>
                    <w:rPr>
                      <w:rFonts w:hint="eastAsia"/>
                      <w:sz w:val="21"/>
                      <w:szCs w:val="21"/>
                    </w:rPr>
                    <w:t>：</w:t>
                  </w:r>
                  <w:r>
                    <w:rPr>
                      <w:sz w:val="21"/>
                      <w:szCs w:val="21"/>
                    </w:rPr>
                    <w:t>除恶臭异味治理外，一般不使用低温等离子、光催化、光氧化等技术；加大蓄热式氧化燃烧(RTO)、蓄热式催化燃烧(RC0)、化燃烧(C0)、沸石转轮吸附浓缩等高效治理技术推广力度。</w:t>
                  </w:r>
                </w:p>
              </w:tc>
              <w:tc>
                <w:tcPr>
                  <w:tcW w:w="1973" w:type="dxa"/>
                  <w:gridSpan w:val="2"/>
                </w:tcPr>
                <w:p w14:paraId="5BFB510A">
                  <w:pPr>
                    <w:pStyle w:val="154"/>
                    <w:jc w:val="left"/>
                    <w:rPr>
                      <w:sz w:val="21"/>
                      <w:szCs w:val="21"/>
                    </w:rPr>
                  </w:pPr>
                  <w:r>
                    <w:rPr>
                      <w:sz w:val="21"/>
                      <w:szCs w:val="21"/>
                    </w:rPr>
                    <w:t>本项目生产过程产生的VOCs经两级活性炭吸附装置处理后有组织排放。</w:t>
                  </w:r>
                </w:p>
              </w:tc>
              <w:tc>
                <w:tcPr>
                  <w:tcW w:w="864" w:type="dxa"/>
                  <w:vAlign w:val="center"/>
                </w:tcPr>
                <w:p w14:paraId="393AC762">
                  <w:pPr>
                    <w:pStyle w:val="154"/>
                    <w:rPr>
                      <w:sz w:val="21"/>
                      <w:szCs w:val="21"/>
                    </w:rPr>
                  </w:pPr>
                  <w:r>
                    <w:rPr>
                      <w:sz w:val="21"/>
                      <w:szCs w:val="21"/>
                    </w:rPr>
                    <w:t>相符</w:t>
                  </w:r>
                </w:p>
              </w:tc>
            </w:tr>
          </w:tbl>
          <w:p w14:paraId="35D1FF0E">
            <w:pPr>
              <w:pStyle w:val="167"/>
              <w:ind w:firstLine="480"/>
              <w:rPr>
                <w:rFonts w:eastAsia="宋体"/>
                <w:bCs/>
              </w:rPr>
            </w:pPr>
            <w:r>
              <w:rPr>
                <w:rFonts w:eastAsia="宋体"/>
                <w:bCs/>
              </w:rPr>
              <w:t>由上表可知，本项目满足</w:t>
            </w:r>
            <w:r>
              <w:rPr>
                <w:rFonts w:eastAsia="宋体"/>
              </w:rPr>
              <w:t>偃师区2024年夏季挥发性有机物污染防治工作实施方案》（偃环委办〔2024〕2号）</w:t>
            </w:r>
            <w:r>
              <w:rPr>
                <w:rFonts w:eastAsia="宋体"/>
                <w:bCs/>
              </w:rPr>
              <w:t>相关要求。</w:t>
            </w:r>
          </w:p>
          <w:p w14:paraId="6F6529A4">
            <w:pPr>
              <w:pStyle w:val="157"/>
            </w:pPr>
            <w:r>
              <w:rPr>
                <w:rFonts w:hint="eastAsia"/>
              </w:rPr>
              <w:t>12</w:t>
            </w:r>
            <w:r>
              <w:t>、《重污染天气重点行业应急减排措施制定技术指南（2020年修订版）》（环办大气函</w:t>
            </w:r>
            <w:r>
              <w:rPr>
                <w:rFonts w:hint="eastAsia"/>
              </w:rPr>
              <w:t>〔2020〕</w:t>
            </w:r>
            <w:r>
              <w:t>340号）</w:t>
            </w:r>
          </w:p>
          <w:p w14:paraId="1F7653C0">
            <w:pPr>
              <w:pStyle w:val="182"/>
              <w:ind w:firstLine="480"/>
              <w:rPr>
                <w:rFonts w:ascii="黑体" w:hAnsi="黑体"/>
              </w:rPr>
            </w:pPr>
            <w:r>
              <w:rPr>
                <w:rFonts w:ascii="黑体" w:hAnsi="黑体"/>
              </w:rPr>
              <w:t>表1-1</w:t>
            </w:r>
            <w:r>
              <w:rPr>
                <w:rFonts w:hint="eastAsia" w:ascii="黑体" w:hAnsi="黑体"/>
              </w:rPr>
              <w:t>5</w:t>
            </w:r>
            <w:r>
              <w:rPr>
                <w:rFonts w:ascii="黑体" w:hAnsi="黑体"/>
              </w:rPr>
              <w:t xml:space="preserve">      与（环办大气</w:t>
            </w:r>
            <w:r>
              <w:rPr>
                <w:rFonts w:hint="eastAsia"/>
              </w:rPr>
              <w:t>〔</w:t>
            </w:r>
            <w:r>
              <w:rPr>
                <w:rFonts w:ascii="黑体" w:hAnsi="黑体"/>
              </w:rPr>
              <w:t>2020</w:t>
            </w:r>
            <w:r>
              <w:rPr>
                <w:rFonts w:hint="eastAsia"/>
              </w:rPr>
              <w:t>〕</w:t>
            </w:r>
            <w:r>
              <w:rPr>
                <w:rFonts w:ascii="黑体" w:hAnsi="黑体"/>
              </w:rPr>
              <w:t>340号）相符性分析</w:t>
            </w:r>
          </w:p>
          <w:tbl>
            <w:tblPr>
              <w:tblStyle w:val="8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806"/>
              <w:gridCol w:w="5153"/>
              <w:gridCol w:w="2409"/>
              <w:gridCol w:w="710"/>
            </w:tblGrid>
            <w:tr w14:paraId="12890D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Align w:val="center"/>
                </w:tcPr>
                <w:p w14:paraId="49130E14">
                  <w:pPr>
                    <w:pStyle w:val="154"/>
                    <w:rPr>
                      <w:sz w:val="21"/>
                      <w:szCs w:val="21"/>
                    </w:rPr>
                  </w:pPr>
                  <w:r>
                    <w:rPr>
                      <w:sz w:val="21"/>
                      <w:szCs w:val="21"/>
                    </w:rPr>
                    <w:t>指标</w:t>
                  </w:r>
                </w:p>
              </w:tc>
              <w:tc>
                <w:tcPr>
                  <w:tcW w:w="2838" w:type="pct"/>
                  <w:vAlign w:val="center"/>
                </w:tcPr>
                <w:p w14:paraId="7639255A">
                  <w:pPr>
                    <w:pStyle w:val="154"/>
                    <w:rPr>
                      <w:sz w:val="21"/>
                      <w:szCs w:val="21"/>
                    </w:rPr>
                  </w:pPr>
                  <w:r>
                    <w:rPr>
                      <w:sz w:val="21"/>
                      <w:szCs w:val="21"/>
                    </w:rPr>
                    <w:t>制鞋工业</w:t>
                  </w:r>
                  <w:r>
                    <w:rPr>
                      <w:rFonts w:hint="eastAsia"/>
                      <w:sz w:val="21"/>
                      <w:szCs w:val="21"/>
                    </w:rPr>
                    <w:t>绩效</w:t>
                  </w:r>
                  <w:r>
                    <w:rPr>
                      <w:sz w:val="21"/>
                      <w:szCs w:val="21"/>
                    </w:rPr>
                    <w:t>引领性指标</w:t>
                  </w:r>
                </w:p>
              </w:tc>
              <w:tc>
                <w:tcPr>
                  <w:tcW w:w="1327" w:type="pct"/>
                  <w:vAlign w:val="center"/>
                </w:tcPr>
                <w:p w14:paraId="69D45025">
                  <w:pPr>
                    <w:pStyle w:val="154"/>
                    <w:rPr>
                      <w:sz w:val="21"/>
                      <w:szCs w:val="21"/>
                    </w:rPr>
                  </w:pPr>
                  <w:r>
                    <w:rPr>
                      <w:sz w:val="21"/>
                      <w:szCs w:val="21"/>
                    </w:rPr>
                    <w:t>本项目情况</w:t>
                  </w:r>
                </w:p>
              </w:tc>
              <w:tc>
                <w:tcPr>
                  <w:tcW w:w="391" w:type="pct"/>
                </w:tcPr>
                <w:p w14:paraId="42A51BF8">
                  <w:pPr>
                    <w:pStyle w:val="154"/>
                    <w:rPr>
                      <w:sz w:val="21"/>
                      <w:szCs w:val="21"/>
                    </w:rPr>
                  </w:pPr>
                  <w:r>
                    <w:rPr>
                      <w:sz w:val="21"/>
                      <w:szCs w:val="21"/>
                    </w:rPr>
                    <w:t>相符性</w:t>
                  </w:r>
                </w:p>
              </w:tc>
            </w:tr>
            <w:tr w14:paraId="6289CC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Align w:val="center"/>
                </w:tcPr>
                <w:p w14:paraId="483851E7">
                  <w:pPr>
                    <w:pStyle w:val="154"/>
                    <w:rPr>
                      <w:sz w:val="21"/>
                      <w:szCs w:val="21"/>
                    </w:rPr>
                  </w:pPr>
                  <w:r>
                    <w:rPr>
                      <w:sz w:val="21"/>
                      <w:szCs w:val="21"/>
                    </w:rPr>
                    <w:t>原辅材料</w:t>
                  </w:r>
                </w:p>
              </w:tc>
              <w:tc>
                <w:tcPr>
                  <w:tcW w:w="2838" w:type="pct"/>
                </w:tcPr>
                <w:p w14:paraId="3212F810">
                  <w:pPr>
                    <w:pStyle w:val="154"/>
                    <w:jc w:val="left"/>
                    <w:rPr>
                      <w:sz w:val="21"/>
                      <w:szCs w:val="21"/>
                    </w:rPr>
                  </w:pPr>
                  <w:r>
                    <w:rPr>
                      <w:sz w:val="21"/>
                      <w:szCs w:val="21"/>
                    </w:rPr>
                    <w:t>1、水基型、热熔型胶粘剂占胶粘剂总量的30%以上，或不使用各类胶粘剂和处理剂；</w:t>
                  </w:r>
                </w:p>
                <w:p w14:paraId="12DF5595">
                  <w:pPr>
                    <w:pStyle w:val="154"/>
                    <w:jc w:val="left"/>
                    <w:rPr>
                      <w:sz w:val="21"/>
                      <w:szCs w:val="21"/>
                    </w:rPr>
                  </w:pPr>
                  <w:r>
                    <w:rPr>
                      <w:sz w:val="21"/>
                      <w:szCs w:val="21"/>
                    </w:rPr>
                    <w:t>2、胶粘剂符合《鞋和箱包用胶粘剂》（GB19340-2014）和《胶粘剂挥发性有机化合物限量》（GB33372-2020）要求；</w:t>
                  </w:r>
                </w:p>
                <w:p w14:paraId="62A85A2A">
                  <w:pPr>
                    <w:pStyle w:val="154"/>
                    <w:jc w:val="left"/>
                    <w:rPr>
                      <w:sz w:val="21"/>
                      <w:szCs w:val="21"/>
                    </w:rPr>
                  </w:pPr>
                  <w:r>
                    <w:rPr>
                      <w:sz w:val="21"/>
                      <w:szCs w:val="21"/>
                    </w:rPr>
                    <w:t>3、清洗剂符合《清洗剂挥发性有机化合物含量限值》（GB 38508-2020）要求。</w:t>
                  </w:r>
                </w:p>
              </w:tc>
              <w:tc>
                <w:tcPr>
                  <w:tcW w:w="1327" w:type="pct"/>
                </w:tcPr>
                <w:p w14:paraId="2136FC54">
                  <w:pPr>
                    <w:pStyle w:val="154"/>
                    <w:jc w:val="left"/>
                    <w:rPr>
                      <w:sz w:val="21"/>
                      <w:szCs w:val="21"/>
                    </w:rPr>
                  </w:pPr>
                  <w:r>
                    <w:rPr>
                      <w:sz w:val="21"/>
                      <w:szCs w:val="21"/>
                    </w:rPr>
                    <w:t>本项目属于制鞋业，</w:t>
                  </w:r>
                  <w:r>
                    <w:rPr>
                      <w:rFonts w:hint="eastAsia"/>
                      <w:sz w:val="21"/>
                      <w:szCs w:val="21"/>
                    </w:rPr>
                    <w:t>所用的清洗剂为低</w:t>
                  </w:r>
                  <w:r>
                    <w:rPr>
                      <w:sz w:val="21"/>
                      <w:szCs w:val="21"/>
                    </w:rPr>
                    <w:t>VOCs</w:t>
                  </w:r>
                  <w:r>
                    <w:rPr>
                      <w:rFonts w:hint="eastAsia"/>
                      <w:sz w:val="21"/>
                      <w:szCs w:val="21"/>
                    </w:rPr>
                    <w:t>含量原料。</w:t>
                  </w:r>
                </w:p>
                <w:p w14:paraId="06649E8F">
                  <w:pPr>
                    <w:pStyle w:val="154"/>
                    <w:jc w:val="left"/>
                    <w:rPr>
                      <w:sz w:val="21"/>
                      <w:szCs w:val="21"/>
                    </w:rPr>
                  </w:pPr>
                  <w:r>
                    <w:rPr>
                      <w:rFonts w:hint="eastAsia"/>
                      <w:sz w:val="21"/>
                      <w:szCs w:val="21"/>
                    </w:rPr>
                    <w:t>清洗剂满足《清洗剂挥发性有机化合物含量限值》</w:t>
                  </w:r>
                  <w:r>
                    <w:rPr>
                      <w:sz w:val="21"/>
                      <w:szCs w:val="21"/>
                    </w:rPr>
                    <w:t>(GB38508-2020)</w:t>
                  </w:r>
                  <w:r>
                    <w:rPr>
                      <w:rFonts w:hint="eastAsia"/>
                      <w:sz w:val="21"/>
                      <w:szCs w:val="21"/>
                    </w:rPr>
                    <w:t>要求，本项目</w:t>
                  </w:r>
                  <w:r>
                    <w:rPr>
                      <w:sz w:val="21"/>
                      <w:szCs w:val="21"/>
                    </w:rPr>
                    <w:t>不使用溶剂型涂料、油墨</w:t>
                  </w:r>
                  <w:r>
                    <w:rPr>
                      <w:rFonts w:hint="eastAsia"/>
                      <w:sz w:val="21"/>
                      <w:szCs w:val="21"/>
                    </w:rPr>
                    <w:t>和</w:t>
                  </w:r>
                  <w:r>
                    <w:rPr>
                      <w:sz w:val="21"/>
                      <w:szCs w:val="21"/>
                    </w:rPr>
                    <w:t>胶粘剂等。</w:t>
                  </w:r>
                </w:p>
              </w:tc>
              <w:tc>
                <w:tcPr>
                  <w:tcW w:w="391" w:type="pct"/>
                  <w:vAlign w:val="center"/>
                </w:tcPr>
                <w:p w14:paraId="602028B2">
                  <w:pPr>
                    <w:pStyle w:val="154"/>
                    <w:rPr>
                      <w:sz w:val="21"/>
                      <w:szCs w:val="21"/>
                    </w:rPr>
                  </w:pPr>
                  <w:r>
                    <w:rPr>
                      <w:sz w:val="21"/>
                      <w:szCs w:val="21"/>
                    </w:rPr>
                    <w:t>相符</w:t>
                  </w:r>
                </w:p>
              </w:tc>
            </w:tr>
            <w:tr w14:paraId="764DF0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Align w:val="center"/>
                </w:tcPr>
                <w:p w14:paraId="012CED36">
                  <w:pPr>
                    <w:pStyle w:val="154"/>
                    <w:rPr>
                      <w:sz w:val="21"/>
                      <w:szCs w:val="21"/>
                    </w:rPr>
                  </w:pPr>
                  <w:r>
                    <w:rPr>
                      <w:sz w:val="21"/>
                      <w:szCs w:val="21"/>
                    </w:rPr>
                    <w:t>污染治理技术</w:t>
                  </w:r>
                </w:p>
              </w:tc>
              <w:tc>
                <w:tcPr>
                  <w:tcW w:w="2838" w:type="pct"/>
                  <w:vAlign w:val="center"/>
                </w:tcPr>
                <w:p w14:paraId="305CECE2">
                  <w:pPr>
                    <w:pStyle w:val="154"/>
                    <w:jc w:val="left"/>
                    <w:rPr>
                      <w:sz w:val="21"/>
                      <w:szCs w:val="21"/>
                    </w:rPr>
                  </w:pPr>
                  <w:r>
                    <w:rPr>
                      <w:sz w:val="21"/>
                      <w:szCs w:val="21"/>
                    </w:rPr>
                    <w:t>主要产污环节废气收集后，有机废气采用生物法、低温等离子、吸附等组合工艺处理，含尘废气采用袋式除尘或静电除尘工艺处理。</w:t>
                  </w:r>
                </w:p>
              </w:tc>
              <w:tc>
                <w:tcPr>
                  <w:tcW w:w="1327" w:type="pct"/>
                </w:tcPr>
                <w:p w14:paraId="75115CEA">
                  <w:pPr>
                    <w:pStyle w:val="154"/>
                    <w:jc w:val="left"/>
                    <w:rPr>
                      <w:b/>
                      <w:sz w:val="21"/>
                      <w:szCs w:val="21"/>
                      <w:u w:val="single"/>
                    </w:rPr>
                  </w:pPr>
                  <w:r>
                    <w:rPr>
                      <w:rFonts w:eastAsia="宋体" w:cs="Times New Roman"/>
                      <w:b/>
                      <w:sz w:val="21"/>
                      <w:szCs w:val="21"/>
                      <w:u w:val="single"/>
                    </w:rPr>
                    <w:t>本项目运营过程中</w:t>
                  </w:r>
                  <w:r>
                    <w:rPr>
                      <w:rFonts w:eastAsia="宋体" w:cs="Times New Roman"/>
                      <w:b/>
                      <w:kern w:val="2"/>
                      <w:sz w:val="21"/>
                      <w:szCs w:val="21"/>
                      <w:u w:val="single"/>
                    </w:rPr>
                    <w:t>注</w:t>
                  </w:r>
                  <w:r>
                    <w:rPr>
                      <w:rFonts w:hint="eastAsia" w:eastAsia="宋体" w:cs="Times New Roman"/>
                      <w:b/>
                      <w:kern w:val="2"/>
                      <w:sz w:val="21"/>
                      <w:szCs w:val="21"/>
                      <w:u w:val="single"/>
                    </w:rPr>
                    <w:t>塑工艺生产线混合搅拌、破碎工序产生的含尘、VOCs废气</w:t>
                  </w:r>
                  <w:r>
                    <w:rPr>
                      <w:rFonts w:eastAsia="宋体" w:cs="Times New Roman"/>
                      <w:b/>
                      <w:kern w:val="2"/>
                      <w:sz w:val="21"/>
                      <w:szCs w:val="21"/>
                      <w:u w:val="single"/>
                    </w:rPr>
                    <w:t>通过1套</w:t>
                  </w:r>
                  <w:r>
                    <w:rPr>
                      <w:rFonts w:hint="eastAsia" w:eastAsia="宋体" w:cs="Times New Roman"/>
                      <w:b/>
                      <w:kern w:val="2"/>
                      <w:sz w:val="21"/>
                      <w:szCs w:val="21"/>
                      <w:u w:val="single"/>
                    </w:rPr>
                    <w:t>覆膜</w:t>
                  </w:r>
                  <w:r>
                    <w:rPr>
                      <w:rFonts w:eastAsia="宋体" w:cs="Times New Roman"/>
                      <w:b/>
                      <w:kern w:val="2"/>
                      <w:sz w:val="21"/>
                      <w:szCs w:val="21"/>
                      <w:u w:val="single"/>
                    </w:rPr>
                    <w:t>袋式除尘器</w:t>
                  </w:r>
                  <w:r>
                    <w:rPr>
                      <w:rFonts w:hint="eastAsia" w:eastAsia="宋体" w:cs="Times New Roman"/>
                      <w:b/>
                      <w:kern w:val="2"/>
                      <w:sz w:val="21"/>
                      <w:szCs w:val="21"/>
                      <w:u w:val="single"/>
                    </w:rPr>
                    <w:t>处理后，与注塑工序过程中产生的废气共同进入主管道；聚氨酯工艺生产线过程中产生的废气</w:t>
                  </w:r>
                  <w:r>
                    <w:rPr>
                      <w:rFonts w:eastAsia="宋体" w:cs="Times New Roman"/>
                      <w:b/>
                      <w:kern w:val="2"/>
                      <w:sz w:val="21"/>
                      <w:szCs w:val="21"/>
                      <w:u w:val="single"/>
                    </w:rPr>
                    <w:t>进入主管道</w:t>
                  </w:r>
                  <w:r>
                    <w:rPr>
                      <w:rFonts w:hint="eastAsia" w:eastAsia="宋体" w:cs="Times New Roman"/>
                      <w:b/>
                      <w:kern w:val="2"/>
                      <w:sz w:val="21"/>
                      <w:szCs w:val="21"/>
                      <w:u w:val="single"/>
                    </w:rPr>
                    <w:t>；鞋面布激光切割产生废气进入主管道，三者合并后经过一套两级活性炭吸附工艺处理后通过排气筒DA001排放。</w:t>
                  </w:r>
                </w:p>
              </w:tc>
              <w:tc>
                <w:tcPr>
                  <w:tcW w:w="391" w:type="pct"/>
                  <w:vAlign w:val="center"/>
                </w:tcPr>
                <w:p w14:paraId="601D8337">
                  <w:pPr>
                    <w:pStyle w:val="154"/>
                    <w:rPr>
                      <w:sz w:val="21"/>
                      <w:szCs w:val="21"/>
                    </w:rPr>
                  </w:pPr>
                  <w:r>
                    <w:rPr>
                      <w:sz w:val="21"/>
                      <w:szCs w:val="21"/>
                    </w:rPr>
                    <w:t>相符</w:t>
                  </w:r>
                </w:p>
              </w:tc>
            </w:tr>
            <w:tr w14:paraId="37C625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Align w:val="center"/>
                </w:tcPr>
                <w:p w14:paraId="5FBAB35B">
                  <w:pPr>
                    <w:pStyle w:val="154"/>
                    <w:rPr>
                      <w:sz w:val="21"/>
                      <w:szCs w:val="21"/>
                    </w:rPr>
                  </w:pPr>
                  <w:r>
                    <w:rPr>
                      <w:sz w:val="21"/>
                      <w:szCs w:val="21"/>
                    </w:rPr>
                    <w:t>排放限值</w:t>
                  </w:r>
                </w:p>
              </w:tc>
              <w:tc>
                <w:tcPr>
                  <w:tcW w:w="2838" w:type="pct"/>
                </w:tcPr>
                <w:p w14:paraId="48C2FC62">
                  <w:pPr>
                    <w:pStyle w:val="154"/>
                    <w:jc w:val="left"/>
                    <w:rPr>
                      <w:sz w:val="21"/>
                      <w:szCs w:val="21"/>
                    </w:rPr>
                  </w:pPr>
                  <w:r>
                    <w:rPr>
                      <w:sz w:val="21"/>
                      <w:szCs w:val="21"/>
                    </w:rPr>
                    <w:t>NMHC排放浓度不高于40 mg/m</w:t>
                  </w:r>
                  <w:r>
                    <w:rPr>
                      <w:sz w:val="21"/>
                      <w:szCs w:val="21"/>
                      <w:vertAlign w:val="superscript"/>
                    </w:rPr>
                    <w:t>3</w:t>
                  </w:r>
                  <w:r>
                    <w:rPr>
                      <w:sz w:val="21"/>
                      <w:szCs w:val="21"/>
                    </w:rPr>
                    <w:t>，PM排放浓度不高于20 mg/m</w:t>
                  </w:r>
                  <w:r>
                    <w:rPr>
                      <w:sz w:val="21"/>
                      <w:szCs w:val="21"/>
                      <w:vertAlign w:val="superscript"/>
                    </w:rPr>
                    <w:t>3</w:t>
                  </w:r>
                  <w:r>
                    <w:rPr>
                      <w:sz w:val="21"/>
                      <w:szCs w:val="21"/>
                    </w:rPr>
                    <w:t>，其余各项污染物满足《大气污染物综合排放标准》（GB16297—1996）排放限值要求，并满足相关地方排放标准要求。</w:t>
                  </w:r>
                </w:p>
              </w:tc>
              <w:tc>
                <w:tcPr>
                  <w:tcW w:w="1327" w:type="pct"/>
                </w:tcPr>
                <w:p w14:paraId="4A4DABB8">
                  <w:pPr>
                    <w:pStyle w:val="154"/>
                    <w:jc w:val="both"/>
                    <w:rPr>
                      <w:b/>
                      <w:sz w:val="21"/>
                      <w:szCs w:val="21"/>
                      <w:u w:val="single"/>
                    </w:rPr>
                  </w:pPr>
                  <w:r>
                    <w:rPr>
                      <w:b/>
                      <w:sz w:val="21"/>
                      <w:szCs w:val="21"/>
                      <w:u w:val="single"/>
                    </w:rPr>
                    <w:t>本项目NMHC排放浓度为</w:t>
                  </w:r>
                  <w:r>
                    <w:rPr>
                      <w:rFonts w:hint="eastAsia"/>
                      <w:b/>
                      <w:sz w:val="21"/>
                      <w:szCs w:val="21"/>
                      <w:u w:val="single"/>
                    </w:rPr>
                    <w:t>2.33</w:t>
                  </w:r>
                  <w:r>
                    <w:rPr>
                      <w:b/>
                      <w:sz w:val="21"/>
                      <w:szCs w:val="21"/>
                      <w:u w:val="single"/>
                    </w:rPr>
                    <w:t>mg/m</w:t>
                  </w:r>
                  <w:r>
                    <w:rPr>
                      <w:b/>
                      <w:sz w:val="21"/>
                      <w:szCs w:val="21"/>
                      <w:u w:val="single"/>
                      <w:vertAlign w:val="superscript"/>
                    </w:rPr>
                    <w:t>3</w:t>
                  </w:r>
                  <w:r>
                    <w:rPr>
                      <w:b/>
                      <w:sz w:val="21"/>
                      <w:szCs w:val="21"/>
                      <w:u w:val="single"/>
                    </w:rPr>
                    <w:t>，</w:t>
                  </w:r>
                  <w:r>
                    <w:rPr>
                      <w:rFonts w:hint="eastAsia"/>
                      <w:b/>
                      <w:sz w:val="21"/>
                      <w:szCs w:val="21"/>
                      <w:u w:val="single"/>
                    </w:rPr>
                    <w:t>不高于40</w:t>
                  </w:r>
                  <w:r>
                    <w:rPr>
                      <w:b/>
                      <w:sz w:val="21"/>
                      <w:szCs w:val="21"/>
                      <w:u w:val="single"/>
                    </w:rPr>
                    <w:t xml:space="preserve"> mg/m</w:t>
                  </w:r>
                  <w:r>
                    <w:rPr>
                      <w:b/>
                      <w:sz w:val="21"/>
                      <w:szCs w:val="21"/>
                      <w:u w:val="single"/>
                      <w:vertAlign w:val="superscript"/>
                    </w:rPr>
                    <w:t>3</w:t>
                  </w:r>
                  <w:r>
                    <w:rPr>
                      <w:b/>
                      <w:sz w:val="21"/>
                      <w:szCs w:val="21"/>
                      <w:u w:val="single"/>
                    </w:rPr>
                    <w:t>；PM</w:t>
                  </w:r>
                  <w:r>
                    <w:rPr>
                      <w:rStyle w:val="145"/>
                      <w:rFonts w:ascii="宋体" w:hAnsi="宋体" w:eastAsia="宋体" w:cs="宋体"/>
                      <w:b/>
                      <w:u w:val="single"/>
                    </w:rPr>
                    <w:t>排</w:t>
                  </w:r>
                  <w:r>
                    <w:rPr>
                      <w:b/>
                      <w:sz w:val="21"/>
                      <w:szCs w:val="21"/>
                      <w:u w:val="single"/>
                    </w:rPr>
                    <w:t>放浓度</w:t>
                  </w:r>
                  <w:r>
                    <w:rPr>
                      <w:rFonts w:hint="eastAsia"/>
                      <w:b/>
                      <w:sz w:val="21"/>
                      <w:szCs w:val="21"/>
                      <w:u w:val="single"/>
                    </w:rPr>
                    <w:t>为2.04</w:t>
                  </w:r>
                  <w:r>
                    <w:rPr>
                      <w:b/>
                      <w:sz w:val="21"/>
                      <w:szCs w:val="21"/>
                      <w:u w:val="single"/>
                    </w:rPr>
                    <w:t>mg/m</w:t>
                  </w:r>
                  <w:r>
                    <w:rPr>
                      <w:b/>
                      <w:sz w:val="21"/>
                      <w:szCs w:val="21"/>
                      <w:u w:val="single"/>
                      <w:vertAlign w:val="superscript"/>
                    </w:rPr>
                    <w:t>3</w:t>
                  </w:r>
                  <w:r>
                    <w:rPr>
                      <w:b/>
                      <w:sz w:val="21"/>
                      <w:szCs w:val="21"/>
                      <w:u w:val="single"/>
                    </w:rPr>
                    <w:t>，不高于20mg/m</w:t>
                  </w:r>
                  <w:r>
                    <w:rPr>
                      <w:b/>
                      <w:sz w:val="21"/>
                      <w:szCs w:val="21"/>
                      <w:u w:val="single"/>
                      <w:vertAlign w:val="superscript"/>
                    </w:rPr>
                    <w:t>3</w:t>
                  </w:r>
                  <w:r>
                    <w:rPr>
                      <w:b/>
                      <w:sz w:val="21"/>
                      <w:szCs w:val="21"/>
                      <w:u w:val="single"/>
                    </w:rPr>
                    <w:t>满足要求。</w:t>
                  </w:r>
                </w:p>
              </w:tc>
              <w:tc>
                <w:tcPr>
                  <w:tcW w:w="391" w:type="pct"/>
                  <w:vAlign w:val="center"/>
                </w:tcPr>
                <w:p w14:paraId="14E8BD25">
                  <w:pPr>
                    <w:pStyle w:val="154"/>
                    <w:rPr>
                      <w:sz w:val="21"/>
                      <w:szCs w:val="21"/>
                    </w:rPr>
                  </w:pPr>
                  <w:r>
                    <w:rPr>
                      <w:sz w:val="21"/>
                      <w:szCs w:val="21"/>
                    </w:rPr>
                    <w:t>相符</w:t>
                  </w:r>
                </w:p>
              </w:tc>
            </w:tr>
            <w:tr w14:paraId="6A86B0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Align w:val="center"/>
                </w:tcPr>
                <w:p w14:paraId="592D0355">
                  <w:pPr>
                    <w:pStyle w:val="154"/>
                    <w:rPr>
                      <w:sz w:val="21"/>
                      <w:szCs w:val="21"/>
                    </w:rPr>
                  </w:pPr>
                  <w:r>
                    <w:rPr>
                      <w:sz w:val="21"/>
                      <w:szCs w:val="21"/>
                    </w:rPr>
                    <w:t>无组织排放</w:t>
                  </w:r>
                </w:p>
              </w:tc>
              <w:tc>
                <w:tcPr>
                  <w:tcW w:w="2838" w:type="pct"/>
                </w:tcPr>
                <w:p w14:paraId="5D0B00C4">
                  <w:pPr>
                    <w:pStyle w:val="154"/>
                    <w:jc w:val="left"/>
                    <w:rPr>
                      <w:sz w:val="21"/>
                      <w:szCs w:val="21"/>
                    </w:rPr>
                  </w:pPr>
                  <w:r>
                    <w:rPr>
                      <w:sz w:val="21"/>
                      <w:szCs w:val="21"/>
                    </w:rPr>
                    <w:t>1、冷粘、硫化、注塑、模压、线缝工艺单元涉及的主要产污环节（合布、丝网印刷、刷胶粘剂、刷处理剂、帮底起毛、喷光、鞋底生产、硫化、原料搅拌、注塑、橡胶注射、模压等）产生的含尘和有机废气采用集气罩收集，废气排至废气收集处理系统；</w:t>
                  </w:r>
                </w:p>
                <w:p w14:paraId="45378B5F">
                  <w:pPr>
                    <w:pStyle w:val="154"/>
                    <w:jc w:val="left"/>
                    <w:rPr>
                      <w:sz w:val="21"/>
                      <w:szCs w:val="21"/>
                    </w:rPr>
                  </w:pPr>
                  <w:r>
                    <w:rPr>
                      <w:sz w:val="21"/>
                      <w:szCs w:val="21"/>
                    </w:rPr>
                    <w:t>2、胶粘剂、处理剂、清洗剂、油墨等存储于密闭的容器、包装袋、储罐、储库、料仓中；盛装含VOCs物料的容器或包装袋存放于室内；盛装含VOCs物料的容器或包装袋在非取用状态时应加盖、封口，保持密闭；</w:t>
                  </w:r>
                </w:p>
                <w:p w14:paraId="270103CD">
                  <w:pPr>
                    <w:pStyle w:val="154"/>
                    <w:jc w:val="left"/>
                    <w:rPr>
                      <w:sz w:val="21"/>
                      <w:szCs w:val="21"/>
                    </w:rPr>
                  </w:pPr>
                  <w:r>
                    <w:rPr>
                      <w:sz w:val="21"/>
                      <w:szCs w:val="21"/>
                    </w:rPr>
                    <w:t>3、工艺过程产生的VOCs废料（渣、液）存放于密闭容器或包装袋中；盛装过含VOCs物料的废包装容器加盖密闭；</w:t>
                  </w:r>
                </w:p>
                <w:p w14:paraId="6E8D306D">
                  <w:pPr>
                    <w:pStyle w:val="154"/>
                    <w:jc w:val="left"/>
                    <w:rPr>
                      <w:sz w:val="21"/>
                      <w:szCs w:val="21"/>
                    </w:rPr>
                  </w:pPr>
                  <w:r>
                    <w:rPr>
                      <w:sz w:val="21"/>
                      <w:szCs w:val="21"/>
                    </w:rPr>
                    <w:t>4、生产车间封闭。</w:t>
                  </w:r>
                </w:p>
              </w:tc>
              <w:tc>
                <w:tcPr>
                  <w:tcW w:w="1327" w:type="pct"/>
                </w:tcPr>
                <w:p w14:paraId="764450CC">
                  <w:pPr>
                    <w:pStyle w:val="154"/>
                    <w:jc w:val="left"/>
                    <w:rPr>
                      <w:sz w:val="21"/>
                      <w:szCs w:val="21"/>
                    </w:rPr>
                  </w:pPr>
                  <w:r>
                    <w:rPr>
                      <w:rFonts w:hint="eastAsia"/>
                      <w:sz w:val="21"/>
                      <w:szCs w:val="21"/>
                    </w:rPr>
                    <w:t>①</w:t>
                  </w:r>
                  <w:r>
                    <w:rPr>
                      <w:sz w:val="21"/>
                      <w:szCs w:val="21"/>
                    </w:rPr>
                    <w:t>本项目对生产过程产生的有机废气、含尘废气均进行了收集处理；</w:t>
                  </w:r>
                </w:p>
                <w:p w14:paraId="3F02DF65">
                  <w:pPr>
                    <w:pStyle w:val="154"/>
                    <w:jc w:val="left"/>
                    <w:rPr>
                      <w:sz w:val="21"/>
                      <w:szCs w:val="21"/>
                    </w:rPr>
                  </w:pPr>
                  <w:r>
                    <w:rPr>
                      <w:rFonts w:hint="eastAsia"/>
                      <w:sz w:val="21"/>
                      <w:szCs w:val="21"/>
                    </w:rPr>
                    <w:t>②</w:t>
                  </w:r>
                  <w:r>
                    <w:rPr>
                      <w:sz w:val="21"/>
                      <w:szCs w:val="21"/>
                    </w:rPr>
                    <w:t>本项目属于制鞋业，</w:t>
                  </w:r>
                  <w:r>
                    <w:rPr>
                      <w:rFonts w:hint="eastAsia"/>
                      <w:sz w:val="21"/>
                      <w:szCs w:val="21"/>
                    </w:rPr>
                    <w:t>所用的清洗剂为低</w:t>
                  </w:r>
                  <w:r>
                    <w:rPr>
                      <w:sz w:val="21"/>
                      <w:szCs w:val="21"/>
                    </w:rPr>
                    <w:t>VOCs</w:t>
                  </w:r>
                  <w:r>
                    <w:rPr>
                      <w:rFonts w:hint="eastAsia"/>
                      <w:sz w:val="21"/>
                      <w:szCs w:val="21"/>
                    </w:rPr>
                    <w:t>含量原料。</w:t>
                  </w:r>
                </w:p>
                <w:p w14:paraId="687ECB3A">
                  <w:pPr>
                    <w:pStyle w:val="154"/>
                    <w:jc w:val="left"/>
                    <w:rPr>
                      <w:sz w:val="21"/>
                      <w:szCs w:val="21"/>
                    </w:rPr>
                  </w:pPr>
                  <w:r>
                    <w:rPr>
                      <w:rFonts w:hint="eastAsia"/>
                      <w:sz w:val="21"/>
                      <w:szCs w:val="21"/>
                    </w:rPr>
                    <w:t>清洗剂满足《清洗剂挥发性有机化合物含量限值》</w:t>
                  </w:r>
                  <w:r>
                    <w:rPr>
                      <w:sz w:val="21"/>
                      <w:szCs w:val="21"/>
                    </w:rPr>
                    <w:t>(GB38508-2020)</w:t>
                  </w:r>
                  <w:r>
                    <w:rPr>
                      <w:rFonts w:hint="eastAsia"/>
                      <w:sz w:val="21"/>
                      <w:szCs w:val="21"/>
                    </w:rPr>
                    <w:t>要求。</w:t>
                  </w:r>
                </w:p>
                <w:p w14:paraId="28531952">
                  <w:pPr>
                    <w:pStyle w:val="154"/>
                    <w:jc w:val="left"/>
                    <w:rPr>
                      <w:sz w:val="21"/>
                      <w:szCs w:val="21"/>
                    </w:rPr>
                  </w:pPr>
                  <w:r>
                    <w:rPr>
                      <w:sz w:val="21"/>
                      <w:szCs w:val="21"/>
                    </w:rPr>
                    <w:t>本项目不使用溶剂型涂料、油墨</w:t>
                  </w:r>
                  <w:r>
                    <w:rPr>
                      <w:rFonts w:hint="eastAsia"/>
                      <w:sz w:val="21"/>
                      <w:szCs w:val="21"/>
                    </w:rPr>
                    <w:t>和</w:t>
                  </w:r>
                  <w:r>
                    <w:rPr>
                      <w:sz w:val="21"/>
                      <w:szCs w:val="21"/>
                    </w:rPr>
                    <w:t>胶粘剂等</w:t>
                  </w:r>
                </w:p>
                <w:p w14:paraId="6BEC3C28">
                  <w:pPr>
                    <w:pStyle w:val="154"/>
                    <w:jc w:val="left"/>
                    <w:rPr>
                      <w:sz w:val="21"/>
                      <w:szCs w:val="21"/>
                    </w:rPr>
                  </w:pPr>
                  <w:r>
                    <w:rPr>
                      <w:rFonts w:hint="eastAsia"/>
                      <w:sz w:val="21"/>
                      <w:szCs w:val="21"/>
                    </w:rPr>
                    <w:t>③</w:t>
                  </w:r>
                  <w:r>
                    <w:rPr>
                      <w:sz w:val="21"/>
                      <w:szCs w:val="21"/>
                    </w:rPr>
                    <w:t>项目生产过程中产生的废活性炭采用密闭袋装；废</w:t>
                  </w:r>
                  <w:r>
                    <w:rPr>
                      <w:rFonts w:hint="eastAsia"/>
                      <w:sz w:val="21"/>
                      <w:szCs w:val="21"/>
                    </w:rPr>
                    <w:t>B料</w:t>
                  </w:r>
                  <w:r>
                    <w:rPr>
                      <w:sz w:val="21"/>
                      <w:szCs w:val="21"/>
                    </w:rPr>
                    <w:t>桶加盖密闭。危废暂存于危废暂存间，定期交由有资质单位处理。</w:t>
                  </w:r>
                </w:p>
                <w:p w14:paraId="6D8B8422">
                  <w:pPr>
                    <w:pStyle w:val="154"/>
                    <w:jc w:val="left"/>
                    <w:rPr>
                      <w:sz w:val="21"/>
                      <w:szCs w:val="21"/>
                    </w:rPr>
                  </w:pPr>
                  <w:r>
                    <w:rPr>
                      <w:rFonts w:hint="eastAsia"/>
                      <w:sz w:val="21"/>
                      <w:szCs w:val="21"/>
                    </w:rPr>
                    <w:t>④</w:t>
                  </w:r>
                  <w:r>
                    <w:rPr>
                      <w:sz w:val="21"/>
                      <w:szCs w:val="21"/>
                    </w:rPr>
                    <w:t>本项目生产车间密闭。</w:t>
                  </w:r>
                </w:p>
              </w:tc>
              <w:tc>
                <w:tcPr>
                  <w:tcW w:w="391" w:type="pct"/>
                  <w:vAlign w:val="center"/>
                </w:tcPr>
                <w:p w14:paraId="0891754B">
                  <w:pPr>
                    <w:pStyle w:val="154"/>
                    <w:rPr>
                      <w:sz w:val="21"/>
                      <w:szCs w:val="21"/>
                    </w:rPr>
                  </w:pPr>
                  <w:r>
                    <w:rPr>
                      <w:sz w:val="21"/>
                      <w:szCs w:val="21"/>
                    </w:rPr>
                    <w:t>相符</w:t>
                  </w:r>
                </w:p>
              </w:tc>
            </w:tr>
            <w:tr w14:paraId="5F7D10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tcPr>
                <w:p w14:paraId="4143C369">
                  <w:pPr>
                    <w:pStyle w:val="154"/>
                    <w:rPr>
                      <w:sz w:val="21"/>
                      <w:szCs w:val="21"/>
                    </w:rPr>
                  </w:pPr>
                  <w:r>
                    <w:rPr>
                      <w:sz w:val="21"/>
                      <w:szCs w:val="21"/>
                    </w:rPr>
                    <w:t>监测监控水平</w:t>
                  </w:r>
                </w:p>
              </w:tc>
              <w:tc>
                <w:tcPr>
                  <w:tcW w:w="2838" w:type="pct"/>
                </w:tcPr>
                <w:p w14:paraId="68211EDB">
                  <w:pPr>
                    <w:pStyle w:val="154"/>
                    <w:jc w:val="left"/>
                    <w:rPr>
                      <w:sz w:val="21"/>
                      <w:szCs w:val="21"/>
                    </w:rPr>
                  </w:pPr>
                  <w:r>
                    <w:rPr>
                      <w:sz w:val="21"/>
                      <w:szCs w:val="21"/>
                    </w:rPr>
                    <w:t>纳入重点排污单位的企业、环境管理部门要求安装在线监测的企业主要排放口安装NMHC在线监测设备（FID检测器），数据保存一年以上</w:t>
                  </w:r>
                </w:p>
              </w:tc>
              <w:tc>
                <w:tcPr>
                  <w:tcW w:w="1327" w:type="pct"/>
                  <w:vAlign w:val="center"/>
                </w:tcPr>
                <w:p w14:paraId="532407A6">
                  <w:pPr>
                    <w:pStyle w:val="154"/>
                    <w:jc w:val="left"/>
                    <w:rPr>
                      <w:sz w:val="21"/>
                      <w:szCs w:val="21"/>
                    </w:rPr>
                  </w:pPr>
                  <w:r>
                    <w:rPr>
                      <w:rFonts w:hint="eastAsia"/>
                      <w:sz w:val="21"/>
                      <w:szCs w:val="21"/>
                    </w:rPr>
                    <w:t>不涉及。</w:t>
                  </w:r>
                </w:p>
              </w:tc>
              <w:tc>
                <w:tcPr>
                  <w:tcW w:w="391" w:type="pct"/>
                </w:tcPr>
                <w:p w14:paraId="1596897B">
                  <w:pPr>
                    <w:pStyle w:val="154"/>
                    <w:rPr>
                      <w:sz w:val="21"/>
                      <w:szCs w:val="21"/>
                    </w:rPr>
                  </w:pPr>
                  <w:r>
                    <w:rPr>
                      <w:sz w:val="21"/>
                      <w:szCs w:val="21"/>
                    </w:rPr>
                    <w:t>/</w:t>
                  </w:r>
                </w:p>
              </w:tc>
            </w:tr>
            <w:tr w14:paraId="3C4150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Merge w:val="restart"/>
                  <w:vAlign w:val="center"/>
                </w:tcPr>
                <w:p w14:paraId="7C6F2F29">
                  <w:pPr>
                    <w:pStyle w:val="154"/>
                    <w:rPr>
                      <w:sz w:val="21"/>
                      <w:szCs w:val="21"/>
                    </w:rPr>
                  </w:pPr>
                  <w:r>
                    <w:rPr>
                      <w:sz w:val="21"/>
                      <w:szCs w:val="21"/>
                    </w:rPr>
                    <w:t>环境管理水平</w:t>
                  </w:r>
                </w:p>
              </w:tc>
              <w:tc>
                <w:tcPr>
                  <w:tcW w:w="2838" w:type="pct"/>
                </w:tcPr>
                <w:p w14:paraId="1740A3B7">
                  <w:pPr>
                    <w:pStyle w:val="154"/>
                    <w:jc w:val="left"/>
                    <w:rPr>
                      <w:sz w:val="21"/>
                      <w:szCs w:val="21"/>
                    </w:rPr>
                  </w:pPr>
                  <w:r>
                    <w:rPr>
                      <w:sz w:val="21"/>
                      <w:szCs w:val="21"/>
                    </w:rPr>
                    <w:t>环保档案齐全：1、环评批复文件；2、排污许可证及季度、年度执行报告；3、竣工验收文件；4、废气治理设施运行管理规程；5、一年内废气监测报告</w:t>
                  </w:r>
                </w:p>
              </w:tc>
              <w:tc>
                <w:tcPr>
                  <w:tcW w:w="1327" w:type="pct"/>
                </w:tcPr>
                <w:p w14:paraId="221255F4">
                  <w:pPr>
                    <w:pStyle w:val="154"/>
                    <w:jc w:val="left"/>
                    <w:rPr>
                      <w:sz w:val="21"/>
                      <w:szCs w:val="21"/>
                    </w:rPr>
                  </w:pPr>
                  <w:r>
                    <w:rPr>
                      <w:rFonts w:hint="eastAsia"/>
                      <w:sz w:val="21"/>
                      <w:szCs w:val="21"/>
                    </w:rPr>
                    <w:t>项目暂未建设，承诺建成后</w:t>
                  </w:r>
                  <w:r>
                    <w:rPr>
                      <w:sz w:val="21"/>
                      <w:szCs w:val="21"/>
                    </w:rPr>
                    <w:t>按要求进行环保档案管理。</w:t>
                  </w:r>
                </w:p>
              </w:tc>
              <w:tc>
                <w:tcPr>
                  <w:tcW w:w="391" w:type="pct"/>
                </w:tcPr>
                <w:p w14:paraId="60297CEC">
                  <w:pPr>
                    <w:pStyle w:val="154"/>
                    <w:rPr>
                      <w:sz w:val="21"/>
                      <w:szCs w:val="21"/>
                    </w:rPr>
                  </w:pPr>
                  <w:r>
                    <w:rPr>
                      <w:sz w:val="21"/>
                      <w:szCs w:val="21"/>
                    </w:rPr>
                    <w:t>相符</w:t>
                  </w:r>
                </w:p>
              </w:tc>
            </w:tr>
            <w:tr w14:paraId="5C4FD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Merge w:val="continue"/>
                </w:tcPr>
                <w:p w14:paraId="6411E89E">
                  <w:pPr>
                    <w:pStyle w:val="154"/>
                    <w:rPr>
                      <w:sz w:val="21"/>
                      <w:szCs w:val="21"/>
                    </w:rPr>
                  </w:pPr>
                </w:p>
              </w:tc>
              <w:tc>
                <w:tcPr>
                  <w:tcW w:w="2838" w:type="pct"/>
                </w:tcPr>
                <w:p w14:paraId="570AC1F6">
                  <w:pPr>
                    <w:pStyle w:val="154"/>
                    <w:jc w:val="left"/>
                    <w:rPr>
                      <w:sz w:val="21"/>
                      <w:szCs w:val="21"/>
                    </w:rPr>
                  </w:pPr>
                  <w:r>
                    <w:rPr>
                      <w:sz w:val="21"/>
                      <w:szCs w:val="21"/>
                    </w:rPr>
                    <w:t>台账记录：1、生产设施运行管理信息：生产时间、运行负荷、产品产量等；2、废气污染治理设施运行管理信息：吸附剂更换频次、催化剂更换频次等；3、监测记录信息：主要污染排放口废气排放记录（手工监测或在线监测）等；4、主要原辅材料消耗记录：VOCs原辅材料名称、VOCs纯度、使用量、回收量、去向等；5、燃料（天然气等）消耗记录；6、VOCs废料处置记录。</w:t>
                  </w:r>
                </w:p>
              </w:tc>
              <w:tc>
                <w:tcPr>
                  <w:tcW w:w="1327" w:type="pct"/>
                  <w:vAlign w:val="center"/>
                </w:tcPr>
                <w:p w14:paraId="21F30DA8">
                  <w:pPr>
                    <w:pStyle w:val="154"/>
                    <w:jc w:val="left"/>
                    <w:rPr>
                      <w:sz w:val="21"/>
                      <w:szCs w:val="21"/>
                    </w:rPr>
                  </w:pPr>
                  <w:r>
                    <w:rPr>
                      <w:sz w:val="21"/>
                      <w:szCs w:val="21"/>
                    </w:rPr>
                    <w:t>按要求进行台账记录。</w:t>
                  </w:r>
                </w:p>
              </w:tc>
              <w:tc>
                <w:tcPr>
                  <w:tcW w:w="391" w:type="pct"/>
                </w:tcPr>
                <w:p w14:paraId="70066BC4">
                  <w:pPr>
                    <w:pStyle w:val="154"/>
                    <w:rPr>
                      <w:sz w:val="21"/>
                      <w:szCs w:val="21"/>
                    </w:rPr>
                  </w:pPr>
                  <w:r>
                    <w:rPr>
                      <w:sz w:val="21"/>
                      <w:szCs w:val="21"/>
                    </w:rPr>
                    <w:t>相符</w:t>
                  </w:r>
                </w:p>
              </w:tc>
            </w:tr>
            <w:tr w14:paraId="026C78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Merge w:val="continue"/>
                </w:tcPr>
                <w:p w14:paraId="20A2F3E0">
                  <w:pPr>
                    <w:pStyle w:val="154"/>
                    <w:rPr>
                      <w:sz w:val="21"/>
                      <w:szCs w:val="21"/>
                    </w:rPr>
                  </w:pPr>
                </w:p>
              </w:tc>
              <w:tc>
                <w:tcPr>
                  <w:tcW w:w="2838" w:type="pct"/>
                </w:tcPr>
                <w:p w14:paraId="14F7552E">
                  <w:pPr>
                    <w:pStyle w:val="154"/>
                    <w:jc w:val="left"/>
                    <w:rPr>
                      <w:sz w:val="21"/>
                      <w:szCs w:val="21"/>
                    </w:rPr>
                  </w:pPr>
                  <w:r>
                    <w:rPr>
                      <w:sz w:val="21"/>
                      <w:szCs w:val="21"/>
                    </w:rPr>
                    <w:t>人员配置：设置环保部门，配备专职环保人员，并具备相应的环境管理能力。</w:t>
                  </w:r>
                </w:p>
              </w:tc>
              <w:tc>
                <w:tcPr>
                  <w:tcW w:w="1327" w:type="pct"/>
                </w:tcPr>
                <w:p w14:paraId="2912B12B">
                  <w:pPr>
                    <w:pStyle w:val="154"/>
                    <w:jc w:val="left"/>
                    <w:rPr>
                      <w:sz w:val="21"/>
                      <w:szCs w:val="21"/>
                    </w:rPr>
                  </w:pPr>
                  <w:r>
                    <w:rPr>
                      <w:rFonts w:hint="eastAsia"/>
                      <w:sz w:val="21"/>
                      <w:szCs w:val="21"/>
                    </w:rPr>
                    <w:t>项目暂未建设，承诺建成后</w:t>
                  </w:r>
                  <w:r>
                    <w:rPr>
                      <w:sz w:val="21"/>
                      <w:szCs w:val="21"/>
                    </w:rPr>
                    <w:t>按要求进行人员配置。</w:t>
                  </w:r>
                </w:p>
              </w:tc>
              <w:tc>
                <w:tcPr>
                  <w:tcW w:w="391" w:type="pct"/>
                </w:tcPr>
                <w:p w14:paraId="0FD3639A">
                  <w:pPr>
                    <w:pStyle w:val="154"/>
                    <w:rPr>
                      <w:sz w:val="21"/>
                      <w:szCs w:val="21"/>
                    </w:rPr>
                  </w:pPr>
                  <w:r>
                    <w:rPr>
                      <w:sz w:val="21"/>
                      <w:szCs w:val="21"/>
                    </w:rPr>
                    <w:t>相符</w:t>
                  </w:r>
                </w:p>
              </w:tc>
            </w:tr>
            <w:tr w14:paraId="5CE143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vAlign w:val="center"/>
                </w:tcPr>
                <w:p w14:paraId="694CDDFD">
                  <w:pPr>
                    <w:pStyle w:val="154"/>
                    <w:rPr>
                      <w:sz w:val="21"/>
                      <w:szCs w:val="21"/>
                    </w:rPr>
                  </w:pPr>
                  <w:r>
                    <w:rPr>
                      <w:sz w:val="21"/>
                      <w:szCs w:val="21"/>
                    </w:rPr>
                    <w:t>运输方式</w:t>
                  </w:r>
                </w:p>
              </w:tc>
              <w:tc>
                <w:tcPr>
                  <w:tcW w:w="2838" w:type="pct"/>
                </w:tcPr>
                <w:p w14:paraId="6E81839A">
                  <w:pPr>
                    <w:pStyle w:val="154"/>
                    <w:jc w:val="left"/>
                    <w:rPr>
                      <w:sz w:val="21"/>
                      <w:szCs w:val="21"/>
                    </w:rPr>
                  </w:pPr>
                  <w:r>
                    <w:rPr>
                      <w:sz w:val="21"/>
                      <w:szCs w:val="21"/>
                    </w:rPr>
                    <w:t>1、物料公路运输使用达到国五及以上排放标准重型载货车辆（含燃气）或新能源车辆占比为100%；</w:t>
                  </w:r>
                </w:p>
                <w:p w14:paraId="4B64DAB3">
                  <w:pPr>
                    <w:pStyle w:val="154"/>
                    <w:jc w:val="left"/>
                    <w:rPr>
                      <w:sz w:val="21"/>
                      <w:szCs w:val="21"/>
                    </w:rPr>
                  </w:pPr>
                  <w:r>
                    <w:rPr>
                      <w:sz w:val="21"/>
                      <w:szCs w:val="21"/>
                    </w:rPr>
                    <w:t>2、厂内运输使用达到国五及以上排放标准车辆（含燃气）或新能源车辆比例为100%；</w:t>
                  </w:r>
                </w:p>
                <w:p w14:paraId="0979259E">
                  <w:pPr>
                    <w:pStyle w:val="154"/>
                    <w:jc w:val="left"/>
                    <w:rPr>
                      <w:sz w:val="21"/>
                      <w:szCs w:val="21"/>
                    </w:rPr>
                  </w:pPr>
                  <w:r>
                    <w:rPr>
                      <w:sz w:val="21"/>
                      <w:szCs w:val="21"/>
                    </w:rPr>
                    <w:t>3、厂内非道路移动机械使用达到国三及以上排放标准或新能源机械比例为100%。</w:t>
                  </w:r>
                </w:p>
              </w:tc>
              <w:tc>
                <w:tcPr>
                  <w:tcW w:w="1327" w:type="pct"/>
                </w:tcPr>
                <w:p w14:paraId="5F7E1818">
                  <w:pPr>
                    <w:pStyle w:val="154"/>
                    <w:jc w:val="left"/>
                    <w:rPr>
                      <w:sz w:val="21"/>
                      <w:szCs w:val="21"/>
                    </w:rPr>
                  </w:pPr>
                  <w:r>
                    <w:rPr>
                      <w:rFonts w:hint="eastAsia"/>
                      <w:sz w:val="21"/>
                      <w:szCs w:val="21"/>
                    </w:rPr>
                    <w:t>项目暂未建设，承诺</w:t>
                  </w:r>
                  <w:r>
                    <w:rPr>
                      <w:sz w:val="21"/>
                      <w:szCs w:val="21"/>
                    </w:rPr>
                    <w:t>项目建成后将按要求进行运输。</w:t>
                  </w:r>
                </w:p>
              </w:tc>
              <w:tc>
                <w:tcPr>
                  <w:tcW w:w="391" w:type="pct"/>
                </w:tcPr>
                <w:p w14:paraId="4519B5A4">
                  <w:pPr>
                    <w:pStyle w:val="154"/>
                    <w:rPr>
                      <w:sz w:val="21"/>
                      <w:szCs w:val="21"/>
                    </w:rPr>
                  </w:pPr>
                  <w:r>
                    <w:rPr>
                      <w:sz w:val="21"/>
                      <w:szCs w:val="21"/>
                    </w:rPr>
                    <w:t>相符</w:t>
                  </w:r>
                </w:p>
              </w:tc>
            </w:tr>
            <w:tr w14:paraId="2D20E7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444" w:type="pct"/>
                </w:tcPr>
                <w:p w14:paraId="0C75205B">
                  <w:pPr>
                    <w:pStyle w:val="154"/>
                    <w:rPr>
                      <w:sz w:val="21"/>
                      <w:szCs w:val="21"/>
                    </w:rPr>
                  </w:pPr>
                  <w:r>
                    <w:rPr>
                      <w:sz w:val="21"/>
                      <w:szCs w:val="21"/>
                    </w:rPr>
                    <w:t>运输监管</w:t>
                  </w:r>
                </w:p>
              </w:tc>
              <w:tc>
                <w:tcPr>
                  <w:tcW w:w="2838" w:type="pct"/>
                  <w:vAlign w:val="center"/>
                </w:tcPr>
                <w:p w14:paraId="37581292">
                  <w:pPr>
                    <w:pStyle w:val="154"/>
                    <w:jc w:val="left"/>
                    <w:rPr>
                      <w:sz w:val="21"/>
                      <w:szCs w:val="21"/>
                    </w:rPr>
                  </w:pPr>
                  <w:r>
                    <w:rPr>
                      <w:sz w:val="21"/>
                      <w:szCs w:val="21"/>
                    </w:rPr>
                    <w:t>参照《重污染天气重点行业移动源应急管理技术指南》建立门禁系统和电子台账。</w:t>
                  </w:r>
                </w:p>
              </w:tc>
              <w:tc>
                <w:tcPr>
                  <w:tcW w:w="1327" w:type="pct"/>
                </w:tcPr>
                <w:p w14:paraId="718E6768">
                  <w:pPr>
                    <w:pStyle w:val="154"/>
                    <w:jc w:val="left"/>
                    <w:rPr>
                      <w:sz w:val="21"/>
                      <w:szCs w:val="21"/>
                    </w:rPr>
                  </w:pPr>
                  <w:r>
                    <w:rPr>
                      <w:rFonts w:hint="eastAsia"/>
                      <w:sz w:val="21"/>
                      <w:szCs w:val="21"/>
                    </w:rPr>
                    <w:t>项目暂未建设，承诺</w:t>
                  </w:r>
                  <w:r>
                    <w:rPr>
                      <w:sz w:val="21"/>
                      <w:szCs w:val="21"/>
                    </w:rPr>
                    <w:t>项目建成后按照要求建立门禁视频监控系统和电子台账。</w:t>
                  </w:r>
                </w:p>
              </w:tc>
              <w:tc>
                <w:tcPr>
                  <w:tcW w:w="391" w:type="pct"/>
                </w:tcPr>
                <w:p w14:paraId="2BC578E3">
                  <w:pPr>
                    <w:pStyle w:val="154"/>
                    <w:rPr>
                      <w:sz w:val="21"/>
                      <w:szCs w:val="21"/>
                    </w:rPr>
                  </w:pPr>
                  <w:r>
                    <w:rPr>
                      <w:sz w:val="21"/>
                      <w:szCs w:val="21"/>
                    </w:rPr>
                    <w:t>相符</w:t>
                  </w:r>
                </w:p>
              </w:tc>
            </w:tr>
          </w:tbl>
          <w:p w14:paraId="17747A66">
            <w:pPr>
              <w:pStyle w:val="167"/>
              <w:ind w:firstLine="480"/>
              <w:rPr>
                <w:rFonts w:eastAsia="宋体"/>
                <w:bCs/>
              </w:rPr>
            </w:pPr>
            <w:r>
              <w:rPr>
                <w:rFonts w:eastAsia="宋体"/>
                <w:bCs/>
              </w:rPr>
              <w:t>由上表可知，本项目符合《重污染天气重点行业应急减排措施制定技术指南（2020年修订版）》（环办大气函</w:t>
            </w:r>
            <w:r>
              <w:rPr>
                <w:rFonts w:hint="eastAsia" w:eastAsia="宋体"/>
              </w:rPr>
              <w:t>〔</w:t>
            </w:r>
            <w:r>
              <w:rPr>
                <w:rFonts w:eastAsia="宋体"/>
              </w:rPr>
              <w:t>202</w:t>
            </w:r>
            <w:r>
              <w:rPr>
                <w:rFonts w:hint="eastAsia" w:eastAsia="宋体"/>
              </w:rPr>
              <w:t>0〕</w:t>
            </w:r>
            <w:r>
              <w:rPr>
                <w:rFonts w:eastAsia="宋体"/>
                <w:bCs/>
              </w:rPr>
              <w:t>340号）中“三十五、制鞋，（四）绩效分级指标”中“制鞋工业绩效引领性指标”。</w:t>
            </w:r>
          </w:p>
          <w:p w14:paraId="0BF09EE5">
            <w:pPr>
              <w:pStyle w:val="157"/>
            </w:pPr>
            <w:r>
              <w:t>1</w:t>
            </w:r>
            <w:r>
              <w:rPr>
                <w:rFonts w:hint="eastAsia"/>
              </w:rPr>
              <w:t>3</w:t>
            </w:r>
            <w:r>
              <w:t>、洛阳市偃师区生态环境保护委员会办公室关于印发《偃师区制鞋产业集群挥发性有机物污染治理提升工作方案》的通知（偃环委办〔2024〕6号）</w:t>
            </w:r>
          </w:p>
          <w:p w14:paraId="430CBE69">
            <w:pPr>
              <w:pStyle w:val="182"/>
              <w:ind w:firstLine="480"/>
            </w:pPr>
            <w:r>
              <w:t>表1-1</w:t>
            </w:r>
            <w:r>
              <w:rPr>
                <w:rFonts w:hint="eastAsia"/>
              </w:rPr>
              <w:t>6</w:t>
            </w:r>
            <w:r>
              <w:t xml:space="preserve">       与偃环委办〔2024〕6号相符性分析一览表</w:t>
            </w:r>
          </w:p>
          <w:tbl>
            <w:tblPr>
              <w:tblStyle w:val="88"/>
              <w:tblW w:w="505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825"/>
              <w:gridCol w:w="4386"/>
              <w:gridCol w:w="2964"/>
              <w:gridCol w:w="994"/>
            </w:tblGrid>
            <w:tr w14:paraId="43EF8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 w:hRule="atLeast"/>
                <w:jc w:val="center"/>
              </w:trPr>
              <w:tc>
                <w:tcPr>
                  <w:tcW w:w="2841" w:type="pct"/>
                  <w:gridSpan w:val="2"/>
                  <w:vAlign w:val="center"/>
                </w:tcPr>
                <w:p w14:paraId="0155B28E">
                  <w:pPr>
                    <w:pStyle w:val="154"/>
                    <w:rPr>
                      <w:sz w:val="21"/>
                      <w:szCs w:val="21"/>
                    </w:rPr>
                  </w:pPr>
                  <w:r>
                    <w:rPr>
                      <w:sz w:val="21"/>
                      <w:szCs w:val="21"/>
                    </w:rPr>
                    <w:t>偃环委办〔2024〕6号</w:t>
                  </w:r>
                </w:p>
              </w:tc>
              <w:tc>
                <w:tcPr>
                  <w:tcW w:w="1616" w:type="pct"/>
                  <w:vAlign w:val="center"/>
                </w:tcPr>
                <w:p w14:paraId="7269E7E4">
                  <w:pPr>
                    <w:pStyle w:val="154"/>
                    <w:rPr>
                      <w:sz w:val="21"/>
                      <w:szCs w:val="21"/>
                    </w:rPr>
                  </w:pPr>
                  <w:r>
                    <w:rPr>
                      <w:sz w:val="21"/>
                      <w:szCs w:val="21"/>
                    </w:rPr>
                    <w:t>本项目特点</w:t>
                  </w:r>
                </w:p>
              </w:tc>
              <w:tc>
                <w:tcPr>
                  <w:tcW w:w="542" w:type="pct"/>
                  <w:vAlign w:val="center"/>
                </w:tcPr>
                <w:p w14:paraId="2FEB4D7A">
                  <w:pPr>
                    <w:pStyle w:val="154"/>
                    <w:rPr>
                      <w:sz w:val="21"/>
                      <w:szCs w:val="21"/>
                    </w:rPr>
                  </w:pPr>
                  <w:r>
                    <w:rPr>
                      <w:sz w:val="21"/>
                      <w:szCs w:val="21"/>
                    </w:rPr>
                    <w:t>相符性</w:t>
                  </w:r>
                </w:p>
              </w:tc>
            </w:tr>
            <w:tr w14:paraId="6F636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 w:hRule="atLeast"/>
                <w:jc w:val="center"/>
              </w:trPr>
              <w:tc>
                <w:tcPr>
                  <w:tcW w:w="450" w:type="pct"/>
                  <w:vAlign w:val="center"/>
                </w:tcPr>
                <w:p w14:paraId="146FBAAD">
                  <w:pPr>
                    <w:pStyle w:val="154"/>
                    <w:rPr>
                      <w:sz w:val="21"/>
                      <w:szCs w:val="21"/>
                    </w:rPr>
                  </w:pPr>
                  <w:r>
                    <w:rPr>
                      <w:sz w:val="21"/>
                      <w:szCs w:val="21"/>
                    </w:rPr>
                    <w:t>(一)淘汰落后产能</w:t>
                  </w:r>
                </w:p>
              </w:tc>
              <w:tc>
                <w:tcPr>
                  <w:tcW w:w="2390" w:type="pct"/>
                  <w:vAlign w:val="center"/>
                </w:tcPr>
                <w:p w14:paraId="48DE5A77">
                  <w:pPr>
                    <w:pStyle w:val="154"/>
                    <w:jc w:val="left"/>
                    <w:rPr>
                      <w:sz w:val="21"/>
                      <w:szCs w:val="21"/>
                    </w:rPr>
                  </w:pPr>
                  <w:r>
                    <w:rPr>
                      <w:sz w:val="21"/>
                      <w:szCs w:val="21"/>
                    </w:rPr>
                    <w:t>严格执行国家和省、市相关产业政策，按照控制高污染、高耗能和落后工艺的要求，对已列入淘汰和禁止目录的产品、技术、工艺和装备严格予以淘汰。鼓励使用先进制鞋工艺与装备，提高生产智能化和自动化水平。</w:t>
                  </w:r>
                </w:p>
              </w:tc>
              <w:tc>
                <w:tcPr>
                  <w:tcW w:w="1616" w:type="pct"/>
                  <w:vAlign w:val="center"/>
                </w:tcPr>
                <w:p w14:paraId="1949BEF3">
                  <w:pPr>
                    <w:pStyle w:val="154"/>
                    <w:jc w:val="left"/>
                    <w:rPr>
                      <w:sz w:val="21"/>
                      <w:szCs w:val="21"/>
                    </w:rPr>
                  </w:pPr>
                  <w:r>
                    <w:rPr>
                      <w:sz w:val="21"/>
                      <w:szCs w:val="21"/>
                    </w:rPr>
                    <w:t>本项目生产过程中所用能源为电能，资源消耗量相对区域资源利用量较少，不属于高耗能、高污染型企业，项目产品、技术、工艺和装备均未列入淘汰和禁止目录，符合文件要求。</w:t>
                  </w:r>
                </w:p>
              </w:tc>
              <w:tc>
                <w:tcPr>
                  <w:tcW w:w="542" w:type="pct"/>
                  <w:vAlign w:val="center"/>
                </w:tcPr>
                <w:p w14:paraId="03A74156">
                  <w:pPr>
                    <w:pStyle w:val="154"/>
                    <w:rPr>
                      <w:sz w:val="21"/>
                      <w:szCs w:val="21"/>
                    </w:rPr>
                  </w:pPr>
                  <w:r>
                    <w:rPr>
                      <w:sz w:val="21"/>
                      <w:szCs w:val="21"/>
                    </w:rPr>
                    <w:t>相符</w:t>
                  </w:r>
                </w:p>
              </w:tc>
            </w:tr>
            <w:tr w14:paraId="6DCE1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 w:hRule="atLeast"/>
                <w:jc w:val="center"/>
              </w:trPr>
              <w:tc>
                <w:tcPr>
                  <w:tcW w:w="450" w:type="pct"/>
                  <w:vAlign w:val="center"/>
                </w:tcPr>
                <w:p w14:paraId="53063FA0">
                  <w:pPr>
                    <w:pStyle w:val="154"/>
                    <w:rPr>
                      <w:sz w:val="21"/>
                      <w:szCs w:val="21"/>
                    </w:rPr>
                  </w:pPr>
                  <w:r>
                    <w:rPr>
                      <w:sz w:val="21"/>
                      <w:szCs w:val="21"/>
                    </w:rPr>
                    <w:t>(二)开展源头替代</w:t>
                  </w:r>
                </w:p>
              </w:tc>
              <w:tc>
                <w:tcPr>
                  <w:tcW w:w="2390" w:type="pct"/>
                  <w:vAlign w:val="center"/>
                </w:tcPr>
                <w:p w14:paraId="0E2BE1FB">
                  <w:pPr>
                    <w:pStyle w:val="154"/>
                    <w:jc w:val="left"/>
                    <w:rPr>
                      <w:sz w:val="21"/>
                      <w:szCs w:val="21"/>
                    </w:rPr>
                  </w:pPr>
                  <w:r>
                    <w:rPr>
                      <w:sz w:val="21"/>
                      <w:szCs w:val="21"/>
                    </w:rPr>
                    <w:t>按照</w:t>
                  </w:r>
                  <w:r>
                    <w:rPr>
                      <w:rFonts w:eastAsia="宋体"/>
                      <w:bCs/>
                      <w:sz w:val="21"/>
                      <w:szCs w:val="21"/>
                    </w:rPr>
                    <w:t>“</w:t>
                  </w:r>
                  <w:r>
                    <w:rPr>
                      <w:sz w:val="21"/>
                      <w:szCs w:val="21"/>
                    </w:rPr>
                    <w:t>应替尽替”的原则，推广使用本体型胶粘剂、水基型胶粘剂等低VOCs含量的原辅材料。采用环境友好型原辅材料，如低VOCs或无VOCs挥发的鞋底料、胶水、溶剂、清洁剂等。注塑鞋生产必须使用全新鞋底料。坚决取缔以回收的废旧塑料作为原材料的二代鞋底料的生产销售，从源头上严格把控，杜绝劣质鞋底料在行业中使用流通。</w:t>
                  </w:r>
                </w:p>
              </w:tc>
              <w:tc>
                <w:tcPr>
                  <w:tcW w:w="1616" w:type="pct"/>
                  <w:vAlign w:val="center"/>
                </w:tcPr>
                <w:p w14:paraId="6A938D93">
                  <w:pPr>
                    <w:pStyle w:val="154"/>
                    <w:jc w:val="left"/>
                    <w:rPr>
                      <w:sz w:val="21"/>
                      <w:szCs w:val="21"/>
                    </w:rPr>
                  </w:pPr>
                  <w:r>
                    <w:rPr>
                      <w:sz w:val="21"/>
                      <w:szCs w:val="21"/>
                    </w:rPr>
                    <w:t>本项目采用低VOCs原料</w:t>
                  </w:r>
                  <w:r>
                    <w:rPr>
                      <w:rFonts w:hint="eastAsia"/>
                      <w:sz w:val="21"/>
                      <w:szCs w:val="21"/>
                    </w:rPr>
                    <w:t>；所用清洗剂为低</w:t>
                  </w:r>
                  <w:r>
                    <w:rPr>
                      <w:sz w:val="21"/>
                      <w:szCs w:val="21"/>
                    </w:rPr>
                    <w:t>VOCs</w:t>
                  </w:r>
                  <w:r>
                    <w:rPr>
                      <w:rFonts w:hint="eastAsia"/>
                      <w:sz w:val="21"/>
                      <w:szCs w:val="21"/>
                    </w:rPr>
                    <w:t>含量原料。清洗剂满足《清洗剂挥发性有机化合物含量限值》</w:t>
                  </w:r>
                  <w:r>
                    <w:rPr>
                      <w:sz w:val="21"/>
                      <w:szCs w:val="21"/>
                    </w:rPr>
                    <w:t>(GB38508-2020)</w:t>
                  </w:r>
                  <w:r>
                    <w:rPr>
                      <w:rFonts w:hint="eastAsia"/>
                      <w:sz w:val="21"/>
                      <w:szCs w:val="21"/>
                    </w:rPr>
                    <w:t>要求。</w:t>
                  </w:r>
                </w:p>
                <w:p w14:paraId="7CECE0CF">
                  <w:pPr>
                    <w:pStyle w:val="154"/>
                    <w:jc w:val="left"/>
                    <w:rPr>
                      <w:sz w:val="21"/>
                      <w:szCs w:val="21"/>
                    </w:rPr>
                  </w:pPr>
                  <w:r>
                    <w:rPr>
                      <w:sz w:val="21"/>
                      <w:szCs w:val="21"/>
                    </w:rPr>
                    <w:t>本项目不使用溶剂型涂料、油墨</w:t>
                  </w:r>
                  <w:r>
                    <w:rPr>
                      <w:rFonts w:hint="eastAsia"/>
                      <w:sz w:val="21"/>
                      <w:szCs w:val="21"/>
                    </w:rPr>
                    <w:t>和</w:t>
                  </w:r>
                  <w:r>
                    <w:rPr>
                      <w:sz w:val="21"/>
                      <w:szCs w:val="21"/>
                    </w:rPr>
                    <w:t>胶粘剂等</w:t>
                  </w:r>
                  <w:r>
                    <w:rPr>
                      <w:rFonts w:hint="eastAsia"/>
                      <w:sz w:val="21"/>
                      <w:szCs w:val="21"/>
                    </w:rPr>
                    <w:t>。</w:t>
                  </w:r>
                </w:p>
                <w:p w14:paraId="3748F7D5">
                  <w:pPr>
                    <w:pStyle w:val="154"/>
                    <w:jc w:val="left"/>
                    <w:rPr>
                      <w:sz w:val="21"/>
                      <w:szCs w:val="21"/>
                    </w:rPr>
                  </w:pPr>
                  <w:r>
                    <w:rPr>
                      <w:rFonts w:hint="eastAsia"/>
                      <w:sz w:val="21"/>
                      <w:szCs w:val="21"/>
                    </w:rPr>
                    <w:t>本项目不使用</w:t>
                  </w:r>
                  <w:r>
                    <w:rPr>
                      <w:sz w:val="21"/>
                      <w:szCs w:val="21"/>
                    </w:rPr>
                    <w:t>废旧塑料作为原材料的二代鞋底料的生产销售</w:t>
                  </w:r>
                  <w:r>
                    <w:rPr>
                      <w:rFonts w:hint="eastAsia"/>
                      <w:sz w:val="21"/>
                      <w:szCs w:val="21"/>
                    </w:rPr>
                    <w:t>。</w:t>
                  </w:r>
                </w:p>
              </w:tc>
              <w:tc>
                <w:tcPr>
                  <w:tcW w:w="542" w:type="pct"/>
                  <w:vAlign w:val="center"/>
                </w:tcPr>
                <w:p w14:paraId="38196258">
                  <w:pPr>
                    <w:pStyle w:val="154"/>
                    <w:rPr>
                      <w:sz w:val="21"/>
                      <w:szCs w:val="21"/>
                    </w:rPr>
                  </w:pPr>
                  <w:r>
                    <w:rPr>
                      <w:sz w:val="21"/>
                      <w:szCs w:val="21"/>
                    </w:rPr>
                    <w:t>相符</w:t>
                  </w:r>
                </w:p>
              </w:tc>
            </w:tr>
            <w:tr w14:paraId="51CDD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 w:hRule="atLeast"/>
                <w:jc w:val="center"/>
              </w:trPr>
              <w:tc>
                <w:tcPr>
                  <w:tcW w:w="450" w:type="pct"/>
                  <w:vAlign w:val="center"/>
                </w:tcPr>
                <w:p w14:paraId="61072D93">
                  <w:pPr>
                    <w:pStyle w:val="154"/>
                    <w:rPr>
                      <w:sz w:val="21"/>
                      <w:szCs w:val="21"/>
                    </w:rPr>
                  </w:pPr>
                  <w:r>
                    <w:rPr>
                      <w:sz w:val="21"/>
                      <w:szCs w:val="21"/>
                    </w:rPr>
                    <w:t>(三)强化无组织排放管控</w:t>
                  </w:r>
                </w:p>
              </w:tc>
              <w:tc>
                <w:tcPr>
                  <w:tcW w:w="2390" w:type="pct"/>
                  <w:vAlign w:val="center"/>
                </w:tcPr>
                <w:p w14:paraId="399F2DB3">
                  <w:pPr>
                    <w:pStyle w:val="154"/>
                    <w:jc w:val="left"/>
                    <w:rPr>
                      <w:sz w:val="21"/>
                      <w:szCs w:val="21"/>
                    </w:rPr>
                  </w:pPr>
                  <w:r>
                    <w:rPr>
                      <w:sz w:val="21"/>
                      <w:szCs w:val="21"/>
                    </w:rPr>
                    <w:t>加强废气收集处理，产生VOCs的生产工序，要在密闭空间或设备中进行，无法密闭采取局部集气罩的，应根据生产工艺、废气排放特征、操作便利性合理选择收集点位，尽可能将VOCs无组织排放转变为有组织排放集中治理。涉VOCs环节的生产车间应保持微负压，严禁采用无组织排放方式进行换风，鼓励建设新风系统。采用集气罩、侧吸风等方式收集无组织废气的，距集气罩开口面最远处的控制风速不低于0.3米/秒。</w:t>
                  </w:r>
                </w:p>
              </w:tc>
              <w:tc>
                <w:tcPr>
                  <w:tcW w:w="1616" w:type="pct"/>
                  <w:vAlign w:val="center"/>
                </w:tcPr>
                <w:p w14:paraId="62AEDAA3">
                  <w:pPr>
                    <w:pStyle w:val="154"/>
                    <w:jc w:val="left"/>
                    <w:rPr>
                      <w:sz w:val="21"/>
                      <w:szCs w:val="21"/>
                    </w:rPr>
                  </w:pPr>
                  <w:r>
                    <w:rPr>
                      <w:sz w:val="21"/>
                      <w:szCs w:val="21"/>
                    </w:rPr>
                    <w:t>本项目生产车间全封闭，且对产生VOCs的工序设置集气罩收集废气，控制无组织VOCs的排放。集气罩开口面最远处的控制风速不低于0</w:t>
                  </w:r>
                  <w:r>
                    <w:rPr>
                      <w:rFonts w:hint="eastAsia"/>
                      <w:sz w:val="21"/>
                      <w:szCs w:val="21"/>
                    </w:rPr>
                    <w:t>.</w:t>
                  </w:r>
                  <w:r>
                    <w:rPr>
                      <w:sz w:val="21"/>
                      <w:szCs w:val="21"/>
                    </w:rPr>
                    <w:t>3米/秒，符合文件要求。</w:t>
                  </w:r>
                </w:p>
              </w:tc>
              <w:tc>
                <w:tcPr>
                  <w:tcW w:w="542" w:type="pct"/>
                  <w:vAlign w:val="center"/>
                </w:tcPr>
                <w:p w14:paraId="117DA799">
                  <w:pPr>
                    <w:pStyle w:val="154"/>
                    <w:rPr>
                      <w:sz w:val="21"/>
                      <w:szCs w:val="21"/>
                      <w:lang w:eastAsia="en-US"/>
                    </w:rPr>
                  </w:pPr>
                  <w:r>
                    <w:rPr>
                      <w:sz w:val="21"/>
                      <w:szCs w:val="21"/>
                      <w:lang w:eastAsia="en-US"/>
                    </w:rPr>
                    <w:t>相符</w:t>
                  </w:r>
                </w:p>
              </w:tc>
            </w:tr>
            <w:tr w14:paraId="3559A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 w:hRule="atLeast"/>
                <w:jc w:val="center"/>
              </w:trPr>
              <w:tc>
                <w:tcPr>
                  <w:tcW w:w="450" w:type="pct"/>
                  <w:vAlign w:val="center"/>
                </w:tcPr>
                <w:p w14:paraId="01007939">
                  <w:pPr>
                    <w:pStyle w:val="154"/>
                    <w:rPr>
                      <w:sz w:val="21"/>
                      <w:szCs w:val="21"/>
                    </w:rPr>
                  </w:pPr>
                  <w:r>
                    <w:rPr>
                      <w:sz w:val="21"/>
                      <w:szCs w:val="21"/>
                    </w:rPr>
                    <w:t>（四）提升有组织治理能力</w:t>
                  </w:r>
                </w:p>
              </w:tc>
              <w:tc>
                <w:tcPr>
                  <w:tcW w:w="2390" w:type="pct"/>
                  <w:vAlign w:val="center"/>
                </w:tcPr>
                <w:p w14:paraId="2EED1E9A">
                  <w:pPr>
                    <w:pStyle w:val="154"/>
                    <w:jc w:val="left"/>
                    <w:rPr>
                      <w:sz w:val="21"/>
                      <w:szCs w:val="21"/>
                    </w:rPr>
                  </w:pPr>
                  <w:r>
                    <w:rPr>
                      <w:sz w:val="21"/>
                      <w:szCs w:val="21"/>
                    </w:rPr>
                    <w:t>淘汰单一低温等离子、光氧化、光催化、非水溶性VOCs废气采用单一水喷淋吸收等VOCs废气采用单一水喷淋吸收等治理工艺及上述工艺的组合（异味治理除外)。采用活性炭吸附技术的，应选择符合要求的颗粒活性炭，并按照国家有关技术规范进行设计。在天然气覆盖区域的涉</w:t>
                  </w:r>
                  <w:r>
                    <w:rPr>
                      <w:rFonts w:hint="eastAsia"/>
                      <w:sz w:val="21"/>
                      <w:szCs w:val="21"/>
                    </w:rPr>
                    <w:t>V</w:t>
                  </w:r>
                  <w:r>
                    <w:rPr>
                      <w:sz w:val="21"/>
                      <w:szCs w:val="21"/>
                    </w:rPr>
                    <w:t>OCs企业，鼓励采取蓄热式氧化燃烧(RTO)、蓄热式催化燃烧(RCO)、催化燃烧（CO)、沸石转轮吸附浓缩等高效治理技术。</w:t>
                  </w:r>
                </w:p>
              </w:tc>
              <w:tc>
                <w:tcPr>
                  <w:tcW w:w="1616" w:type="pct"/>
                  <w:vAlign w:val="center"/>
                </w:tcPr>
                <w:p w14:paraId="0A464FBD">
                  <w:pPr>
                    <w:pStyle w:val="154"/>
                    <w:jc w:val="left"/>
                    <w:rPr>
                      <w:sz w:val="21"/>
                      <w:szCs w:val="21"/>
                    </w:rPr>
                  </w:pPr>
                  <w:r>
                    <w:rPr>
                      <w:sz w:val="21"/>
                      <w:szCs w:val="21"/>
                    </w:rPr>
                    <w:t>本项目有机废气采用</w:t>
                  </w:r>
                  <w:r>
                    <w:rPr>
                      <w:rFonts w:hint="eastAsia"/>
                      <w:sz w:val="21"/>
                      <w:szCs w:val="21"/>
                    </w:rPr>
                    <w:t>“</w:t>
                  </w:r>
                  <w:r>
                    <w:rPr>
                      <w:sz w:val="21"/>
                      <w:szCs w:val="21"/>
                    </w:rPr>
                    <w:t>两级活性炭吸附装置</w:t>
                  </w:r>
                  <w:r>
                    <w:rPr>
                      <w:rFonts w:hint="eastAsia"/>
                      <w:sz w:val="21"/>
                      <w:szCs w:val="21"/>
                    </w:rPr>
                    <w:t>”</w:t>
                  </w:r>
                  <w:r>
                    <w:rPr>
                      <w:sz w:val="21"/>
                      <w:szCs w:val="21"/>
                    </w:rPr>
                    <w:t>处理，不属于文件要求淘汰的简易低效治理设施。</w:t>
                  </w:r>
                </w:p>
              </w:tc>
              <w:tc>
                <w:tcPr>
                  <w:tcW w:w="542" w:type="pct"/>
                  <w:vAlign w:val="center"/>
                </w:tcPr>
                <w:p w14:paraId="20138B64">
                  <w:pPr>
                    <w:pStyle w:val="154"/>
                    <w:rPr>
                      <w:sz w:val="21"/>
                      <w:szCs w:val="21"/>
                    </w:rPr>
                  </w:pPr>
                  <w:r>
                    <w:rPr>
                      <w:sz w:val="21"/>
                      <w:szCs w:val="21"/>
                    </w:rPr>
                    <w:t>相符</w:t>
                  </w:r>
                </w:p>
              </w:tc>
            </w:tr>
            <w:tr w14:paraId="003B5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3" w:hRule="atLeast"/>
                <w:jc w:val="center"/>
              </w:trPr>
              <w:tc>
                <w:tcPr>
                  <w:tcW w:w="450" w:type="pct"/>
                  <w:vAlign w:val="center"/>
                </w:tcPr>
                <w:p w14:paraId="4E54457A">
                  <w:pPr>
                    <w:pStyle w:val="154"/>
                    <w:rPr>
                      <w:sz w:val="21"/>
                      <w:szCs w:val="21"/>
                    </w:rPr>
                  </w:pPr>
                  <w:r>
                    <w:rPr>
                      <w:sz w:val="21"/>
                      <w:szCs w:val="21"/>
                    </w:rPr>
                    <w:t>(五)加强污染治理设施运行维护管理</w:t>
                  </w:r>
                </w:p>
              </w:tc>
              <w:tc>
                <w:tcPr>
                  <w:tcW w:w="2390" w:type="pct"/>
                  <w:vAlign w:val="center"/>
                </w:tcPr>
                <w:p w14:paraId="0B0A97C8">
                  <w:pPr>
                    <w:pStyle w:val="154"/>
                    <w:jc w:val="left"/>
                    <w:rPr>
                      <w:sz w:val="21"/>
                      <w:szCs w:val="21"/>
                    </w:rPr>
                  </w:pPr>
                  <w:r>
                    <w:rPr>
                      <w:sz w:val="21"/>
                      <w:szCs w:val="21"/>
                    </w:rPr>
                    <w:t>做到治理设施较生产设备</w:t>
                  </w:r>
                  <w:r>
                    <w:rPr>
                      <w:rFonts w:hint="eastAsia"/>
                      <w:sz w:val="21"/>
                      <w:szCs w:val="21"/>
                    </w:rPr>
                    <w:t>“</w:t>
                  </w:r>
                  <w:r>
                    <w:rPr>
                      <w:sz w:val="21"/>
                      <w:szCs w:val="21"/>
                    </w:rPr>
                    <w:t>先启后停</w:t>
                  </w:r>
                  <w:r>
                    <w:rPr>
                      <w:rFonts w:hint="eastAsia"/>
                      <w:sz w:val="21"/>
                      <w:szCs w:val="21"/>
                    </w:rPr>
                    <w:t>”</w:t>
                  </w:r>
                  <w:r>
                    <w:rPr>
                      <w:sz w:val="21"/>
                      <w:szCs w:val="21"/>
                    </w:rPr>
                    <w:t>，及时清理、更换吸附剂、吸收剂、催化剂、蓄热体、过滤棉、灯管、电器元件等治理设施耗材，确保设施能够稳定高效运行；做好生产设备和治理设施启停机时间、检维修情况、治理设施耗材维护更换、处置情况等台账记录。</w:t>
                  </w:r>
                </w:p>
              </w:tc>
              <w:tc>
                <w:tcPr>
                  <w:tcW w:w="1616" w:type="pct"/>
                  <w:vAlign w:val="center"/>
                </w:tcPr>
                <w:p w14:paraId="09B55626">
                  <w:pPr>
                    <w:pStyle w:val="154"/>
                    <w:jc w:val="left"/>
                    <w:rPr>
                      <w:sz w:val="21"/>
                      <w:szCs w:val="21"/>
                    </w:rPr>
                  </w:pPr>
                  <w:r>
                    <w:rPr>
                      <w:sz w:val="21"/>
                      <w:szCs w:val="21"/>
                    </w:rPr>
                    <w:t>本项目建成后按照要求做好活性炭等治理设施耗材更换，确保设施能够稳定高效运行；按要求做好生产设备和治理设施启停机时间、检维修情况、治理设施耗材维护更换、处置情况等台账记录。</w:t>
                  </w:r>
                </w:p>
              </w:tc>
              <w:tc>
                <w:tcPr>
                  <w:tcW w:w="542" w:type="pct"/>
                  <w:vAlign w:val="center"/>
                </w:tcPr>
                <w:p w14:paraId="2A8E9BDD">
                  <w:pPr>
                    <w:pStyle w:val="154"/>
                    <w:rPr>
                      <w:sz w:val="21"/>
                      <w:szCs w:val="21"/>
                    </w:rPr>
                  </w:pPr>
                  <w:r>
                    <w:rPr>
                      <w:sz w:val="21"/>
                      <w:szCs w:val="21"/>
                    </w:rPr>
                    <w:t>相符</w:t>
                  </w:r>
                </w:p>
              </w:tc>
            </w:tr>
          </w:tbl>
          <w:p w14:paraId="45981196">
            <w:pPr>
              <w:pStyle w:val="156"/>
              <w:ind w:firstLine="480"/>
              <w:rPr>
                <w:b/>
              </w:rPr>
            </w:pPr>
            <w:r>
              <w:t>由上表可知，本项目满足洛阳市偃师区生态环境保护委员会办公室关于印发《偃师区制鞋产业集群挥发性有机物污染治理提升工作方案》的通知相关要求。</w:t>
            </w:r>
          </w:p>
          <w:p w14:paraId="60E37B04">
            <w:pPr>
              <w:pStyle w:val="157"/>
            </w:pPr>
            <w:r>
              <w:t>1</w:t>
            </w:r>
            <w:r>
              <w:rPr>
                <w:rFonts w:hint="eastAsia"/>
              </w:rPr>
              <w:t>4</w:t>
            </w:r>
            <w:r>
              <w:t>、饮用水源</w:t>
            </w:r>
          </w:p>
          <w:p w14:paraId="247A187A">
            <w:pPr>
              <w:pStyle w:val="167"/>
              <w:ind w:firstLine="480"/>
              <w:rPr>
                <w:rFonts w:eastAsia="宋体"/>
              </w:rPr>
            </w:pPr>
            <w:r>
              <w:rPr>
                <w:rFonts w:eastAsia="宋体"/>
              </w:rPr>
              <w:t>根据《关于印发河南省城市集中式饮用水源保护区划的通知》（豫政办</w:t>
            </w:r>
            <w:r>
              <w:rPr>
                <w:rFonts w:hint="eastAsia" w:eastAsia="宋体"/>
              </w:rPr>
              <w:t>〔</w:t>
            </w:r>
            <w:r>
              <w:rPr>
                <w:rFonts w:eastAsia="宋体"/>
              </w:rPr>
              <w:t>20</w:t>
            </w:r>
            <w:r>
              <w:rPr>
                <w:rFonts w:hint="eastAsia" w:eastAsia="宋体"/>
              </w:rPr>
              <w:t>07〕</w:t>
            </w:r>
            <w:r>
              <w:rPr>
                <w:rFonts w:eastAsia="宋体"/>
              </w:rPr>
              <w:t>125号）、《河南省人民政府办公厅关于印发河南省乡镇集中式饮用水水源保护区划的通知》（豫政办〔2016〕23号）：距离本项目最近的集中式饮用水源为偃师区一水厂地下水饮用水源保护区（共6眼井）。</w:t>
            </w:r>
          </w:p>
          <w:p w14:paraId="03022FA1">
            <w:pPr>
              <w:pStyle w:val="167"/>
              <w:ind w:firstLine="480"/>
              <w:rPr>
                <w:rFonts w:eastAsia="宋体"/>
              </w:rPr>
            </w:pPr>
            <w:r>
              <w:rPr>
                <w:rFonts w:eastAsia="宋体"/>
              </w:rPr>
              <w:t>偃师区一水厂地下水饮用水源保护区（共6眼井）。一级保护区范围：取水井外围</w:t>
            </w:r>
            <w:r>
              <w:rPr>
                <w:rFonts w:hint="eastAsia" w:eastAsia="宋体"/>
              </w:rPr>
              <w:t>50</w:t>
            </w:r>
            <w:r>
              <w:rPr>
                <w:rFonts w:eastAsia="宋体"/>
              </w:rPr>
              <w:t>米的区域。</w:t>
            </w:r>
          </w:p>
          <w:p w14:paraId="68A02120">
            <w:pPr>
              <w:pStyle w:val="167"/>
              <w:ind w:firstLine="480"/>
              <w:rPr>
                <w:rFonts w:eastAsia="宋体"/>
              </w:rPr>
            </w:pPr>
            <w:r>
              <w:rPr>
                <w:rFonts w:eastAsia="宋体"/>
              </w:rPr>
              <w:t>本项目位于偃师区一水厂地下水饮用水源保护区（共6眼井）一级保护区范围外3</w:t>
            </w:r>
            <w:r>
              <w:rPr>
                <w:rFonts w:hint="eastAsia" w:eastAsia="宋体"/>
              </w:rPr>
              <w:t>624m</w:t>
            </w:r>
            <w:r>
              <w:rPr>
                <w:rFonts w:eastAsia="宋体"/>
              </w:rPr>
              <w:t>，不在其保护范围内，相对位置关系见附图</w:t>
            </w:r>
            <w:r>
              <w:rPr>
                <w:rFonts w:hint="eastAsia" w:eastAsia="宋体"/>
              </w:rPr>
              <w:t>9</w:t>
            </w:r>
            <w:r>
              <w:rPr>
                <w:rFonts w:eastAsia="宋体"/>
              </w:rPr>
              <w:t>。</w:t>
            </w:r>
          </w:p>
          <w:p w14:paraId="3E04DAD7">
            <w:pPr>
              <w:pStyle w:val="157"/>
            </w:pPr>
            <w:r>
              <w:t>1</w:t>
            </w:r>
            <w:r>
              <w:rPr>
                <w:rFonts w:hint="eastAsia"/>
              </w:rPr>
              <w:t>5</w:t>
            </w:r>
            <w:r>
              <w:t>、邙山陵墓群保护总体规划纲要相符性分析</w:t>
            </w:r>
          </w:p>
          <w:p w14:paraId="090AAFB3">
            <w:pPr>
              <w:pStyle w:val="167"/>
              <w:ind w:firstLine="480"/>
              <w:rPr>
                <w:rFonts w:eastAsia="宋体"/>
              </w:rPr>
            </w:pPr>
            <w:r>
              <w:rPr>
                <w:rFonts w:eastAsia="宋体"/>
              </w:rPr>
              <w:t>邙山陵墓群保护范围分为孟津北魏陵区、洛北陵区、洛南陵区、偃师西晋陵区、其他单位墓葬保护范围。</w:t>
            </w:r>
          </w:p>
          <w:p w14:paraId="314FA78E">
            <w:pPr>
              <w:pStyle w:val="167"/>
              <w:ind w:firstLine="480"/>
              <w:rPr>
                <w:rFonts w:eastAsia="宋体"/>
              </w:rPr>
            </w:pPr>
            <w:r>
              <w:rPr>
                <w:rFonts w:eastAsia="宋体"/>
              </w:rPr>
              <w:t>根据《邙山陵墓群保护总体规划纲要》，划定的邙山陵墓群保护区包括保护范围、建设控制地带、环境控制区，总面积约214807.1公顷。其中：4个片区的保护范围总面积19280.3公顷，不包含外围众多的单体墓葬保护范围；建设控制地带总面积22800.3公顷；环境控制区172726.5公顷。</w:t>
            </w:r>
          </w:p>
          <w:p w14:paraId="1CF28A6C">
            <w:pPr>
              <w:pStyle w:val="182"/>
              <w:ind w:firstLine="480"/>
            </w:pPr>
          </w:p>
          <w:p w14:paraId="4E149882">
            <w:pPr>
              <w:pStyle w:val="182"/>
              <w:ind w:firstLine="480"/>
            </w:pPr>
            <w:r>
              <w:t>表1- 1</w:t>
            </w:r>
            <w:r>
              <w:rPr>
                <w:rFonts w:hint="eastAsia"/>
              </w:rPr>
              <w:t>7</w:t>
            </w:r>
            <w:r>
              <w:t xml:space="preserve">              邙山陵墓群保护区划表</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934"/>
              <w:gridCol w:w="1552"/>
              <w:gridCol w:w="3551"/>
              <w:gridCol w:w="1098"/>
              <w:gridCol w:w="928"/>
              <w:gridCol w:w="1015"/>
            </w:tblGrid>
            <w:tr w14:paraId="4651B6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Align w:val="center"/>
                </w:tcPr>
                <w:p w14:paraId="597C4269">
                  <w:pPr>
                    <w:pStyle w:val="154"/>
                    <w:rPr>
                      <w:sz w:val="21"/>
                      <w:szCs w:val="21"/>
                    </w:rPr>
                  </w:pPr>
                  <w:r>
                    <w:rPr>
                      <w:sz w:val="21"/>
                      <w:szCs w:val="21"/>
                    </w:rPr>
                    <w:t>保护区划类别</w:t>
                  </w:r>
                </w:p>
              </w:tc>
              <w:tc>
                <w:tcPr>
                  <w:tcW w:w="4686" w:type="dxa"/>
                  <w:gridSpan w:val="2"/>
                  <w:vAlign w:val="center"/>
                </w:tcPr>
                <w:p w14:paraId="43F819D6">
                  <w:pPr>
                    <w:pStyle w:val="154"/>
                    <w:rPr>
                      <w:sz w:val="21"/>
                      <w:szCs w:val="21"/>
                    </w:rPr>
                  </w:pPr>
                  <w:r>
                    <w:rPr>
                      <w:sz w:val="21"/>
                      <w:szCs w:val="21"/>
                    </w:rPr>
                    <w:t>地块构成</w:t>
                  </w:r>
                </w:p>
              </w:tc>
              <w:tc>
                <w:tcPr>
                  <w:tcW w:w="1008" w:type="dxa"/>
                  <w:vAlign w:val="center"/>
                </w:tcPr>
                <w:p w14:paraId="780232D9">
                  <w:pPr>
                    <w:pStyle w:val="154"/>
                    <w:rPr>
                      <w:sz w:val="21"/>
                      <w:szCs w:val="21"/>
                    </w:rPr>
                  </w:pPr>
                  <w:r>
                    <w:rPr>
                      <w:sz w:val="21"/>
                      <w:szCs w:val="21"/>
                    </w:rPr>
                    <w:t>地块编号</w:t>
                  </w:r>
                </w:p>
              </w:tc>
              <w:tc>
                <w:tcPr>
                  <w:tcW w:w="852" w:type="dxa"/>
                  <w:vAlign w:val="center"/>
                </w:tcPr>
                <w:p w14:paraId="01D59408">
                  <w:pPr>
                    <w:pStyle w:val="154"/>
                    <w:rPr>
                      <w:sz w:val="21"/>
                      <w:szCs w:val="21"/>
                    </w:rPr>
                  </w:pPr>
                  <w:r>
                    <w:rPr>
                      <w:sz w:val="21"/>
                      <w:szCs w:val="21"/>
                    </w:rPr>
                    <w:t>面积</w:t>
                  </w:r>
                  <w:r>
                    <w:rPr>
                      <w:sz w:val="21"/>
                      <w:szCs w:val="21"/>
                    </w:rPr>
                    <w:br w:type="textWrapping"/>
                  </w:r>
                  <w:r>
                    <w:rPr>
                      <w:sz w:val="21"/>
                      <w:szCs w:val="21"/>
                    </w:rPr>
                    <w:t>(ha)</w:t>
                  </w:r>
                </w:p>
              </w:tc>
              <w:tc>
                <w:tcPr>
                  <w:tcW w:w="932" w:type="dxa"/>
                  <w:vAlign w:val="center"/>
                </w:tcPr>
                <w:p w14:paraId="461D64AE">
                  <w:pPr>
                    <w:pStyle w:val="154"/>
                    <w:rPr>
                      <w:sz w:val="21"/>
                      <w:szCs w:val="21"/>
                    </w:rPr>
                  </w:pPr>
                  <w:r>
                    <w:rPr>
                      <w:sz w:val="21"/>
                      <w:szCs w:val="21"/>
                    </w:rPr>
                    <w:t>合计</w:t>
                  </w:r>
                </w:p>
                <w:p w14:paraId="240F210F">
                  <w:pPr>
                    <w:pStyle w:val="154"/>
                    <w:rPr>
                      <w:sz w:val="21"/>
                      <w:szCs w:val="21"/>
                    </w:rPr>
                  </w:pPr>
                  <w:r>
                    <w:rPr>
                      <w:sz w:val="21"/>
                      <w:szCs w:val="21"/>
                    </w:rPr>
                    <w:t>(ha)</w:t>
                  </w:r>
                </w:p>
              </w:tc>
            </w:tr>
            <w:tr w14:paraId="14309F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restart"/>
                  <w:vAlign w:val="center"/>
                </w:tcPr>
                <w:p w14:paraId="3E206814">
                  <w:pPr>
                    <w:pStyle w:val="154"/>
                    <w:rPr>
                      <w:sz w:val="21"/>
                      <w:szCs w:val="21"/>
                    </w:rPr>
                  </w:pPr>
                  <w:r>
                    <w:rPr>
                      <w:sz w:val="21"/>
                      <w:szCs w:val="21"/>
                    </w:rPr>
                    <w:t>保护范围</w:t>
                  </w:r>
                </w:p>
              </w:tc>
              <w:tc>
                <w:tcPr>
                  <w:tcW w:w="1425" w:type="dxa"/>
                  <w:vMerge w:val="restart"/>
                  <w:vAlign w:val="center"/>
                </w:tcPr>
                <w:p w14:paraId="78A5B21E">
                  <w:pPr>
                    <w:pStyle w:val="154"/>
                    <w:rPr>
                      <w:sz w:val="21"/>
                      <w:szCs w:val="21"/>
                    </w:rPr>
                  </w:pPr>
                  <w:r>
                    <w:rPr>
                      <w:sz w:val="21"/>
                      <w:szCs w:val="21"/>
                    </w:rPr>
                    <w:t>孟津北魏陵区</w:t>
                  </w:r>
                </w:p>
              </w:tc>
              <w:tc>
                <w:tcPr>
                  <w:tcW w:w="3261" w:type="dxa"/>
                  <w:vAlign w:val="center"/>
                </w:tcPr>
                <w:p w14:paraId="5A5389E8">
                  <w:pPr>
                    <w:pStyle w:val="154"/>
                    <w:rPr>
                      <w:sz w:val="21"/>
                      <w:szCs w:val="21"/>
                    </w:rPr>
                  </w:pPr>
                  <w:r>
                    <w:rPr>
                      <w:sz w:val="21"/>
                      <w:szCs w:val="21"/>
                    </w:rPr>
                    <w:t>北魏陵区瀍河以西保护范围</w:t>
                  </w:r>
                </w:p>
              </w:tc>
              <w:tc>
                <w:tcPr>
                  <w:tcW w:w="1008" w:type="dxa"/>
                  <w:vAlign w:val="center"/>
                </w:tcPr>
                <w:p w14:paraId="0A3FE57B">
                  <w:pPr>
                    <w:pStyle w:val="154"/>
                    <w:rPr>
                      <w:sz w:val="21"/>
                      <w:szCs w:val="21"/>
                    </w:rPr>
                  </w:pPr>
                  <w:r>
                    <w:rPr>
                      <w:sz w:val="21"/>
                      <w:szCs w:val="21"/>
                    </w:rPr>
                    <w:t>MJ-BH1</w:t>
                  </w:r>
                </w:p>
              </w:tc>
              <w:tc>
                <w:tcPr>
                  <w:tcW w:w="852" w:type="dxa"/>
                  <w:vAlign w:val="center"/>
                </w:tcPr>
                <w:p w14:paraId="23E9087B">
                  <w:pPr>
                    <w:pStyle w:val="154"/>
                    <w:rPr>
                      <w:sz w:val="21"/>
                      <w:szCs w:val="21"/>
                    </w:rPr>
                  </w:pPr>
                  <w:r>
                    <w:rPr>
                      <w:sz w:val="21"/>
                      <w:szCs w:val="21"/>
                    </w:rPr>
                    <w:t>3297.1</w:t>
                  </w:r>
                </w:p>
              </w:tc>
              <w:tc>
                <w:tcPr>
                  <w:tcW w:w="932" w:type="dxa"/>
                  <w:vMerge w:val="restart"/>
                  <w:vAlign w:val="center"/>
                </w:tcPr>
                <w:p w14:paraId="012DB6DB">
                  <w:pPr>
                    <w:pStyle w:val="154"/>
                    <w:rPr>
                      <w:sz w:val="21"/>
                      <w:szCs w:val="21"/>
                    </w:rPr>
                  </w:pPr>
                  <w:r>
                    <w:rPr>
                      <w:sz w:val="21"/>
                      <w:szCs w:val="21"/>
                    </w:rPr>
                    <w:t>19280.3</w:t>
                  </w:r>
                </w:p>
              </w:tc>
            </w:tr>
            <w:tr w14:paraId="526E6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continue"/>
                  <w:vAlign w:val="center"/>
                </w:tcPr>
                <w:p w14:paraId="110E4B1C">
                  <w:pPr>
                    <w:pStyle w:val="154"/>
                    <w:rPr>
                      <w:sz w:val="21"/>
                      <w:szCs w:val="21"/>
                    </w:rPr>
                  </w:pPr>
                </w:p>
              </w:tc>
              <w:tc>
                <w:tcPr>
                  <w:tcW w:w="1425" w:type="dxa"/>
                  <w:vMerge w:val="continue"/>
                  <w:vAlign w:val="center"/>
                </w:tcPr>
                <w:p w14:paraId="1478A4F6">
                  <w:pPr>
                    <w:pStyle w:val="154"/>
                    <w:rPr>
                      <w:sz w:val="21"/>
                      <w:szCs w:val="21"/>
                    </w:rPr>
                  </w:pPr>
                </w:p>
              </w:tc>
              <w:tc>
                <w:tcPr>
                  <w:tcW w:w="3261" w:type="dxa"/>
                  <w:vAlign w:val="center"/>
                </w:tcPr>
                <w:p w14:paraId="7539F1E5">
                  <w:pPr>
                    <w:pStyle w:val="154"/>
                    <w:rPr>
                      <w:sz w:val="21"/>
                      <w:szCs w:val="21"/>
                    </w:rPr>
                  </w:pPr>
                  <w:r>
                    <w:rPr>
                      <w:sz w:val="21"/>
                      <w:szCs w:val="21"/>
                    </w:rPr>
                    <w:t>北魏陵区瀍河以东保护范围</w:t>
                  </w:r>
                </w:p>
              </w:tc>
              <w:tc>
                <w:tcPr>
                  <w:tcW w:w="1008" w:type="dxa"/>
                  <w:vAlign w:val="center"/>
                </w:tcPr>
                <w:p w14:paraId="69F1E1E3">
                  <w:pPr>
                    <w:pStyle w:val="154"/>
                    <w:rPr>
                      <w:sz w:val="21"/>
                      <w:szCs w:val="21"/>
                    </w:rPr>
                  </w:pPr>
                  <w:r>
                    <w:rPr>
                      <w:sz w:val="21"/>
                      <w:szCs w:val="21"/>
                    </w:rPr>
                    <w:t>MJ-BH2</w:t>
                  </w:r>
                </w:p>
              </w:tc>
              <w:tc>
                <w:tcPr>
                  <w:tcW w:w="852" w:type="dxa"/>
                  <w:vAlign w:val="center"/>
                </w:tcPr>
                <w:p w14:paraId="0D47E2D9">
                  <w:pPr>
                    <w:pStyle w:val="154"/>
                    <w:rPr>
                      <w:sz w:val="21"/>
                      <w:szCs w:val="21"/>
                    </w:rPr>
                  </w:pPr>
                  <w:r>
                    <w:rPr>
                      <w:sz w:val="21"/>
                      <w:szCs w:val="21"/>
                    </w:rPr>
                    <w:t>1789.3</w:t>
                  </w:r>
                </w:p>
              </w:tc>
              <w:tc>
                <w:tcPr>
                  <w:tcW w:w="932" w:type="dxa"/>
                  <w:vMerge w:val="continue"/>
                  <w:vAlign w:val="center"/>
                </w:tcPr>
                <w:p w14:paraId="26EC0772">
                  <w:pPr>
                    <w:pStyle w:val="154"/>
                    <w:rPr>
                      <w:sz w:val="21"/>
                      <w:szCs w:val="21"/>
                    </w:rPr>
                  </w:pPr>
                </w:p>
              </w:tc>
            </w:tr>
            <w:tr w14:paraId="1C4084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continue"/>
                  <w:vAlign w:val="center"/>
                </w:tcPr>
                <w:p w14:paraId="7E4FECF9">
                  <w:pPr>
                    <w:pStyle w:val="154"/>
                    <w:rPr>
                      <w:sz w:val="21"/>
                      <w:szCs w:val="21"/>
                    </w:rPr>
                  </w:pPr>
                </w:p>
              </w:tc>
              <w:tc>
                <w:tcPr>
                  <w:tcW w:w="1425" w:type="dxa"/>
                  <w:vMerge w:val="restart"/>
                  <w:vAlign w:val="center"/>
                </w:tcPr>
                <w:p w14:paraId="56D41CF7">
                  <w:pPr>
                    <w:pStyle w:val="154"/>
                    <w:rPr>
                      <w:sz w:val="21"/>
                      <w:szCs w:val="21"/>
                    </w:rPr>
                  </w:pPr>
                  <w:r>
                    <w:rPr>
                      <w:sz w:val="21"/>
                      <w:szCs w:val="21"/>
                    </w:rPr>
                    <w:t>洛北东汉陵区</w:t>
                  </w:r>
                </w:p>
              </w:tc>
              <w:tc>
                <w:tcPr>
                  <w:tcW w:w="3261" w:type="dxa"/>
                  <w:vAlign w:val="center"/>
                </w:tcPr>
                <w:p w14:paraId="12B033DC">
                  <w:pPr>
                    <w:pStyle w:val="154"/>
                    <w:rPr>
                      <w:sz w:val="21"/>
                      <w:szCs w:val="21"/>
                    </w:rPr>
                  </w:pPr>
                  <w:r>
                    <w:rPr>
                      <w:sz w:val="21"/>
                      <w:szCs w:val="21"/>
                    </w:rPr>
                    <w:t>东汉、曹魏、后唐陵区保护范围</w:t>
                  </w:r>
                </w:p>
              </w:tc>
              <w:tc>
                <w:tcPr>
                  <w:tcW w:w="1008" w:type="dxa"/>
                  <w:vAlign w:val="center"/>
                </w:tcPr>
                <w:p w14:paraId="22BBEF60">
                  <w:pPr>
                    <w:pStyle w:val="154"/>
                    <w:rPr>
                      <w:sz w:val="21"/>
                      <w:szCs w:val="21"/>
                    </w:rPr>
                  </w:pPr>
                  <w:r>
                    <w:rPr>
                      <w:sz w:val="21"/>
                      <w:szCs w:val="21"/>
                    </w:rPr>
                    <w:t>LB-BH1</w:t>
                  </w:r>
                </w:p>
              </w:tc>
              <w:tc>
                <w:tcPr>
                  <w:tcW w:w="852" w:type="dxa"/>
                  <w:vAlign w:val="center"/>
                </w:tcPr>
                <w:p w14:paraId="78015899">
                  <w:pPr>
                    <w:pStyle w:val="154"/>
                    <w:rPr>
                      <w:sz w:val="21"/>
                      <w:szCs w:val="21"/>
                    </w:rPr>
                  </w:pPr>
                  <w:r>
                    <w:rPr>
                      <w:sz w:val="21"/>
                      <w:szCs w:val="21"/>
                    </w:rPr>
                    <w:t>6697.3</w:t>
                  </w:r>
                </w:p>
              </w:tc>
              <w:tc>
                <w:tcPr>
                  <w:tcW w:w="932" w:type="dxa"/>
                  <w:vMerge w:val="continue"/>
                  <w:vAlign w:val="center"/>
                </w:tcPr>
                <w:p w14:paraId="012B8A82">
                  <w:pPr>
                    <w:pStyle w:val="154"/>
                    <w:rPr>
                      <w:sz w:val="21"/>
                      <w:szCs w:val="21"/>
                    </w:rPr>
                  </w:pPr>
                </w:p>
              </w:tc>
            </w:tr>
            <w:tr w14:paraId="7B1FFE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58" w:type="dxa"/>
                  <w:vMerge w:val="continue"/>
                  <w:vAlign w:val="center"/>
                </w:tcPr>
                <w:p w14:paraId="6ABF4509">
                  <w:pPr>
                    <w:pStyle w:val="154"/>
                    <w:rPr>
                      <w:sz w:val="21"/>
                      <w:szCs w:val="21"/>
                    </w:rPr>
                  </w:pPr>
                </w:p>
              </w:tc>
              <w:tc>
                <w:tcPr>
                  <w:tcW w:w="1425" w:type="dxa"/>
                  <w:vMerge w:val="continue"/>
                  <w:vAlign w:val="center"/>
                </w:tcPr>
                <w:p w14:paraId="18E41740">
                  <w:pPr>
                    <w:pStyle w:val="154"/>
                    <w:rPr>
                      <w:sz w:val="21"/>
                      <w:szCs w:val="21"/>
                    </w:rPr>
                  </w:pPr>
                </w:p>
              </w:tc>
              <w:tc>
                <w:tcPr>
                  <w:tcW w:w="3261" w:type="dxa"/>
                  <w:vAlign w:val="center"/>
                </w:tcPr>
                <w:p w14:paraId="66615444">
                  <w:pPr>
                    <w:pStyle w:val="154"/>
                    <w:rPr>
                      <w:sz w:val="21"/>
                      <w:szCs w:val="21"/>
                    </w:rPr>
                  </w:pPr>
                  <w:r>
                    <w:rPr>
                      <w:sz w:val="21"/>
                      <w:szCs w:val="21"/>
                    </w:rPr>
                    <w:t>洛北东周陵区保护范围</w:t>
                  </w:r>
                </w:p>
              </w:tc>
              <w:tc>
                <w:tcPr>
                  <w:tcW w:w="1008" w:type="dxa"/>
                  <w:vAlign w:val="center"/>
                </w:tcPr>
                <w:p w14:paraId="39F0E01B">
                  <w:pPr>
                    <w:pStyle w:val="154"/>
                    <w:rPr>
                      <w:sz w:val="21"/>
                      <w:szCs w:val="21"/>
                    </w:rPr>
                  </w:pPr>
                  <w:r>
                    <w:rPr>
                      <w:sz w:val="21"/>
                      <w:szCs w:val="21"/>
                    </w:rPr>
                    <w:t>LB-BH2</w:t>
                  </w:r>
                </w:p>
              </w:tc>
              <w:tc>
                <w:tcPr>
                  <w:tcW w:w="852" w:type="dxa"/>
                  <w:vAlign w:val="center"/>
                </w:tcPr>
                <w:p w14:paraId="67A9EB54">
                  <w:pPr>
                    <w:pStyle w:val="154"/>
                    <w:rPr>
                      <w:sz w:val="21"/>
                      <w:szCs w:val="21"/>
                    </w:rPr>
                  </w:pPr>
                  <w:r>
                    <w:rPr>
                      <w:sz w:val="21"/>
                      <w:szCs w:val="21"/>
                    </w:rPr>
                    <w:t>120.2</w:t>
                  </w:r>
                </w:p>
              </w:tc>
              <w:tc>
                <w:tcPr>
                  <w:tcW w:w="932" w:type="dxa"/>
                  <w:vMerge w:val="continue"/>
                  <w:vAlign w:val="center"/>
                </w:tcPr>
                <w:p w14:paraId="188EE889">
                  <w:pPr>
                    <w:pStyle w:val="154"/>
                    <w:rPr>
                      <w:sz w:val="21"/>
                      <w:szCs w:val="21"/>
                    </w:rPr>
                  </w:pPr>
                </w:p>
              </w:tc>
            </w:tr>
            <w:tr w14:paraId="324991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continue"/>
                  <w:vAlign w:val="center"/>
                </w:tcPr>
                <w:p w14:paraId="35B524C5">
                  <w:pPr>
                    <w:pStyle w:val="154"/>
                    <w:rPr>
                      <w:sz w:val="21"/>
                      <w:szCs w:val="21"/>
                    </w:rPr>
                  </w:pPr>
                </w:p>
              </w:tc>
              <w:tc>
                <w:tcPr>
                  <w:tcW w:w="1425" w:type="dxa"/>
                  <w:vMerge w:val="restart"/>
                  <w:vAlign w:val="center"/>
                </w:tcPr>
                <w:p w14:paraId="1A77DBED">
                  <w:pPr>
                    <w:pStyle w:val="154"/>
                    <w:rPr>
                      <w:sz w:val="21"/>
                      <w:szCs w:val="21"/>
                    </w:rPr>
                  </w:pPr>
                  <w:r>
                    <w:rPr>
                      <w:sz w:val="21"/>
                      <w:szCs w:val="21"/>
                    </w:rPr>
                    <w:t>洛南东汉陵区</w:t>
                  </w:r>
                </w:p>
              </w:tc>
              <w:tc>
                <w:tcPr>
                  <w:tcW w:w="3261" w:type="dxa"/>
                  <w:vAlign w:val="center"/>
                </w:tcPr>
                <w:p w14:paraId="76F10E10">
                  <w:pPr>
                    <w:pStyle w:val="154"/>
                    <w:rPr>
                      <w:sz w:val="21"/>
                      <w:szCs w:val="21"/>
                    </w:rPr>
                  </w:pPr>
                  <w:r>
                    <w:rPr>
                      <w:sz w:val="21"/>
                      <w:szCs w:val="21"/>
                    </w:rPr>
                    <w:t>东汉陵区保护范围</w:t>
                  </w:r>
                </w:p>
              </w:tc>
              <w:tc>
                <w:tcPr>
                  <w:tcW w:w="1008" w:type="dxa"/>
                  <w:vAlign w:val="center"/>
                </w:tcPr>
                <w:p w14:paraId="17233A4D">
                  <w:pPr>
                    <w:pStyle w:val="154"/>
                    <w:rPr>
                      <w:sz w:val="21"/>
                      <w:szCs w:val="21"/>
                    </w:rPr>
                  </w:pPr>
                  <w:r>
                    <w:rPr>
                      <w:sz w:val="21"/>
                      <w:szCs w:val="21"/>
                    </w:rPr>
                    <w:t>LN-BH1</w:t>
                  </w:r>
                </w:p>
              </w:tc>
              <w:tc>
                <w:tcPr>
                  <w:tcW w:w="852" w:type="dxa"/>
                  <w:vAlign w:val="center"/>
                </w:tcPr>
                <w:p w14:paraId="4BE2FBBB">
                  <w:pPr>
                    <w:pStyle w:val="154"/>
                    <w:rPr>
                      <w:sz w:val="21"/>
                      <w:szCs w:val="21"/>
                    </w:rPr>
                  </w:pPr>
                  <w:r>
                    <w:rPr>
                      <w:sz w:val="21"/>
                      <w:szCs w:val="21"/>
                    </w:rPr>
                    <w:t>4250.3</w:t>
                  </w:r>
                </w:p>
              </w:tc>
              <w:tc>
                <w:tcPr>
                  <w:tcW w:w="932" w:type="dxa"/>
                  <w:vMerge w:val="continue"/>
                  <w:vAlign w:val="center"/>
                </w:tcPr>
                <w:p w14:paraId="1AEE9E9B">
                  <w:pPr>
                    <w:pStyle w:val="154"/>
                    <w:rPr>
                      <w:sz w:val="21"/>
                      <w:szCs w:val="21"/>
                    </w:rPr>
                  </w:pPr>
                </w:p>
              </w:tc>
            </w:tr>
            <w:tr w14:paraId="0ADC14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continue"/>
                  <w:vAlign w:val="center"/>
                </w:tcPr>
                <w:p w14:paraId="2F81B21B">
                  <w:pPr>
                    <w:pStyle w:val="154"/>
                    <w:rPr>
                      <w:sz w:val="21"/>
                      <w:szCs w:val="21"/>
                    </w:rPr>
                  </w:pPr>
                </w:p>
              </w:tc>
              <w:tc>
                <w:tcPr>
                  <w:tcW w:w="1425" w:type="dxa"/>
                  <w:vMerge w:val="continue"/>
                  <w:vAlign w:val="center"/>
                </w:tcPr>
                <w:p w14:paraId="0395F33D">
                  <w:pPr>
                    <w:pStyle w:val="154"/>
                    <w:rPr>
                      <w:sz w:val="21"/>
                      <w:szCs w:val="21"/>
                    </w:rPr>
                  </w:pPr>
                </w:p>
              </w:tc>
              <w:tc>
                <w:tcPr>
                  <w:tcW w:w="3261" w:type="dxa"/>
                  <w:vAlign w:val="center"/>
                </w:tcPr>
                <w:p w14:paraId="787A5E89">
                  <w:pPr>
                    <w:pStyle w:val="154"/>
                    <w:rPr>
                      <w:sz w:val="21"/>
                      <w:szCs w:val="21"/>
                    </w:rPr>
                  </w:pPr>
                  <w:r>
                    <w:rPr>
                      <w:sz w:val="21"/>
                      <w:szCs w:val="21"/>
                    </w:rPr>
                    <w:t>曹魏陵区保护范围</w:t>
                  </w:r>
                </w:p>
              </w:tc>
              <w:tc>
                <w:tcPr>
                  <w:tcW w:w="1008" w:type="dxa"/>
                  <w:vAlign w:val="center"/>
                </w:tcPr>
                <w:p w14:paraId="7263A80B">
                  <w:pPr>
                    <w:pStyle w:val="154"/>
                    <w:rPr>
                      <w:sz w:val="21"/>
                      <w:szCs w:val="21"/>
                    </w:rPr>
                  </w:pPr>
                  <w:r>
                    <w:rPr>
                      <w:sz w:val="21"/>
                      <w:szCs w:val="21"/>
                    </w:rPr>
                    <w:t>LN-BH2</w:t>
                  </w:r>
                </w:p>
              </w:tc>
              <w:tc>
                <w:tcPr>
                  <w:tcW w:w="852" w:type="dxa"/>
                  <w:vAlign w:val="center"/>
                </w:tcPr>
                <w:p w14:paraId="31EC3353">
                  <w:pPr>
                    <w:pStyle w:val="154"/>
                    <w:rPr>
                      <w:sz w:val="21"/>
                      <w:szCs w:val="21"/>
                    </w:rPr>
                  </w:pPr>
                  <w:r>
                    <w:rPr>
                      <w:sz w:val="21"/>
                      <w:szCs w:val="21"/>
                    </w:rPr>
                    <w:t>182.8</w:t>
                  </w:r>
                </w:p>
              </w:tc>
              <w:tc>
                <w:tcPr>
                  <w:tcW w:w="932" w:type="dxa"/>
                  <w:vMerge w:val="continue"/>
                  <w:vAlign w:val="center"/>
                </w:tcPr>
                <w:p w14:paraId="734B5804">
                  <w:pPr>
                    <w:pStyle w:val="154"/>
                    <w:rPr>
                      <w:sz w:val="21"/>
                      <w:szCs w:val="21"/>
                    </w:rPr>
                  </w:pPr>
                </w:p>
              </w:tc>
            </w:tr>
            <w:tr w14:paraId="1E22E1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continue"/>
                  <w:vAlign w:val="center"/>
                </w:tcPr>
                <w:p w14:paraId="510DB4E6">
                  <w:pPr>
                    <w:pStyle w:val="154"/>
                    <w:rPr>
                      <w:sz w:val="21"/>
                      <w:szCs w:val="21"/>
                    </w:rPr>
                  </w:pPr>
                </w:p>
              </w:tc>
              <w:tc>
                <w:tcPr>
                  <w:tcW w:w="1425" w:type="dxa"/>
                  <w:vAlign w:val="center"/>
                </w:tcPr>
                <w:p w14:paraId="0CD884A9">
                  <w:pPr>
                    <w:pStyle w:val="154"/>
                    <w:rPr>
                      <w:sz w:val="21"/>
                      <w:szCs w:val="21"/>
                    </w:rPr>
                  </w:pPr>
                  <w:r>
                    <w:rPr>
                      <w:sz w:val="21"/>
                      <w:szCs w:val="21"/>
                    </w:rPr>
                    <w:t>偃师西晋陵区</w:t>
                  </w:r>
                </w:p>
              </w:tc>
              <w:tc>
                <w:tcPr>
                  <w:tcW w:w="3261" w:type="dxa"/>
                  <w:vAlign w:val="center"/>
                </w:tcPr>
                <w:p w14:paraId="3826027C">
                  <w:pPr>
                    <w:pStyle w:val="154"/>
                    <w:rPr>
                      <w:sz w:val="21"/>
                      <w:szCs w:val="21"/>
                    </w:rPr>
                  </w:pPr>
                  <w:r>
                    <w:rPr>
                      <w:sz w:val="21"/>
                      <w:szCs w:val="21"/>
                    </w:rPr>
                    <w:t>西晋陵区保护范围</w:t>
                  </w:r>
                </w:p>
              </w:tc>
              <w:tc>
                <w:tcPr>
                  <w:tcW w:w="1008" w:type="dxa"/>
                  <w:vAlign w:val="center"/>
                </w:tcPr>
                <w:p w14:paraId="301C6D3A">
                  <w:pPr>
                    <w:pStyle w:val="154"/>
                    <w:rPr>
                      <w:sz w:val="21"/>
                      <w:szCs w:val="21"/>
                    </w:rPr>
                  </w:pPr>
                  <w:r>
                    <w:rPr>
                      <w:sz w:val="21"/>
                      <w:szCs w:val="21"/>
                    </w:rPr>
                    <w:t>YS-BH</w:t>
                  </w:r>
                </w:p>
              </w:tc>
              <w:tc>
                <w:tcPr>
                  <w:tcW w:w="852" w:type="dxa"/>
                  <w:vAlign w:val="center"/>
                </w:tcPr>
                <w:p w14:paraId="613EEAEE">
                  <w:pPr>
                    <w:pStyle w:val="154"/>
                    <w:rPr>
                      <w:sz w:val="21"/>
                      <w:szCs w:val="21"/>
                    </w:rPr>
                  </w:pPr>
                  <w:r>
                    <w:rPr>
                      <w:sz w:val="21"/>
                      <w:szCs w:val="21"/>
                    </w:rPr>
                    <w:t>2943.5</w:t>
                  </w:r>
                </w:p>
              </w:tc>
              <w:tc>
                <w:tcPr>
                  <w:tcW w:w="932" w:type="dxa"/>
                  <w:vMerge w:val="continue"/>
                  <w:vAlign w:val="center"/>
                </w:tcPr>
                <w:p w14:paraId="426D3C15">
                  <w:pPr>
                    <w:pStyle w:val="154"/>
                    <w:rPr>
                      <w:sz w:val="21"/>
                      <w:szCs w:val="21"/>
                    </w:rPr>
                  </w:pPr>
                </w:p>
              </w:tc>
            </w:tr>
            <w:tr w14:paraId="5CD386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continue"/>
                  <w:vAlign w:val="center"/>
                </w:tcPr>
                <w:p w14:paraId="04517073">
                  <w:pPr>
                    <w:pStyle w:val="154"/>
                    <w:rPr>
                      <w:sz w:val="21"/>
                      <w:szCs w:val="21"/>
                    </w:rPr>
                  </w:pPr>
                </w:p>
              </w:tc>
              <w:tc>
                <w:tcPr>
                  <w:tcW w:w="4686" w:type="dxa"/>
                  <w:gridSpan w:val="2"/>
                  <w:vAlign w:val="center"/>
                </w:tcPr>
                <w:p w14:paraId="07CF68A8">
                  <w:pPr>
                    <w:pStyle w:val="154"/>
                    <w:rPr>
                      <w:sz w:val="21"/>
                      <w:szCs w:val="21"/>
                    </w:rPr>
                  </w:pPr>
                  <w:r>
                    <w:rPr>
                      <w:sz w:val="21"/>
                      <w:szCs w:val="21"/>
                    </w:rPr>
                    <w:t>片区保护范围之外的其他单体墓葬的保护范围（两百余座）</w:t>
                  </w:r>
                </w:p>
              </w:tc>
              <w:tc>
                <w:tcPr>
                  <w:tcW w:w="1008" w:type="dxa"/>
                  <w:vAlign w:val="center"/>
                </w:tcPr>
                <w:p w14:paraId="403FD2D8">
                  <w:pPr>
                    <w:pStyle w:val="154"/>
                    <w:rPr>
                      <w:sz w:val="21"/>
                      <w:szCs w:val="21"/>
                    </w:rPr>
                  </w:pPr>
                  <w:r>
                    <w:rPr>
                      <w:sz w:val="21"/>
                      <w:szCs w:val="21"/>
                    </w:rPr>
                    <w:t>QT-BH</w:t>
                  </w:r>
                  <w:r>
                    <w:rPr>
                      <w:sz w:val="21"/>
                      <w:szCs w:val="21"/>
                    </w:rPr>
                    <w:br w:type="textWrapping"/>
                  </w:r>
                  <w:r>
                    <w:rPr>
                      <w:sz w:val="21"/>
                      <w:szCs w:val="21"/>
                    </w:rPr>
                    <w:t>(墓葬编号)</w:t>
                  </w:r>
                </w:p>
              </w:tc>
              <w:tc>
                <w:tcPr>
                  <w:tcW w:w="852" w:type="dxa"/>
                  <w:vAlign w:val="center"/>
                </w:tcPr>
                <w:p w14:paraId="46641C59">
                  <w:pPr>
                    <w:pStyle w:val="154"/>
                    <w:rPr>
                      <w:sz w:val="21"/>
                      <w:szCs w:val="21"/>
                    </w:rPr>
                  </w:pPr>
                  <w:r>
                    <w:rPr>
                      <w:sz w:val="21"/>
                      <w:szCs w:val="21"/>
                    </w:rPr>
                    <w:t>△</w:t>
                  </w:r>
                </w:p>
              </w:tc>
              <w:tc>
                <w:tcPr>
                  <w:tcW w:w="932" w:type="dxa"/>
                  <w:vAlign w:val="center"/>
                </w:tcPr>
                <w:p w14:paraId="0C8C7550">
                  <w:pPr>
                    <w:pStyle w:val="154"/>
                    <w:rPr>
                      <w:sz w:val="21"/>
                      <w:szCs w:val="21"/>
                    </w:rPr>
                  </w:pPr>
                  <w:r>
                    <w:rPr>
                      <w:sz w:val="21"/>
                      <w:szCs w:val="21"/>
                    </w:rPr>
                    <w:t>△</w:t>
                  </w:r>
                </w:p>
              </w:tc>
            </w:tr>
            <w:tr w14:paraId="282EC1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restart"/>
                  <w:vAlign w:val="center"/>
                </w:tcPr>
                <w:p w14:paraId="2C391621">
                  <w:pPr>
                    <w:pStyle w:val="154"/>
                    <w:rPr>
                      <w:sz w:val="21"/>
                      <w:szCs w:val="21"/>
                    </w:rPr>
                  </w:pPr>
                  <w:r>
                    <w:rPr>
                      <w:sz w:val="21"/>
                      <w:szCs w:val="21"/>
                    </w:rPr>
                    <w:t>建设控制地带</w:t>
                  </w:r>
                </w:p>
              </w:tc>
              <w:tc>
                <w:tcPr>
                  <w:tcW w:w="4686" w:type="dxa"/>
                  <w:gridSpan w:val="2"/>
                  <w:vAlign w:val="center"/>
                </w:tcPr>
                <w:p w14:paraId="1190254C">
                  <w:pPr>
                    <w:pStyle w:val="154"/>
                    <w:rPr>
                      <w:sz w:val="21"/>
                      <w:szCs w:val="21"/>
                    </w:rPr>
                  </w:pPr>
                  <w:r>
                    <w:rPr>
                      <w:sz w:val="21"/>
                      <w:szCs w:val="21"/>
                    </w:rPr>
                    <w:t>孟津北魏陵区保护范围周边、洛北东汉陵区保护范围以西的建设控制地带</w:t>
                  </w:r>
                </w:p>
              </w:tc>
              <w:tc>
                <w:tcPr>
                  <w:tcW w:w="1008" w:type="dxa"/>
                  <w:vAlign w:val="center"/>
                </w:tcPr>
                <w:p w14:paraId="0B9B7EEC">
                  <w:pPr>
                    <w:pStyle w:val="154"/>
                    <w:rPr>
                      <w:sz w:val="21"/>
                      <w:szCs w:val="21"/>
                    </w:rPr>
                  </w:pPr>
                  <w:r>
                    <w:rPr>
                      <w:sz w:val="21"/>
                      <w:szCs w:val="21"/>
                    </w:rPr>
                    <w:t>JK1</w:t>
                  </w:r>
                </w:p>
              </w:tc>
              <w:tc>
                <w:tcPr>
                  <w:tcW w:w="852" w:type="dxa"/>
                  <w:vAlign w:val="center"/>
                </w:tcPr>
                <w:p w14:paraId="2699EFD5">
                  <w:pPr>
                    <w:pStyle w:val="154"/>
                    <w:rPr>
                      <w:sz w:val="21"/>
                      <w:szCs w:val="21"/>
                    </w:rPr>
                  </w:pPr>
                  <w:r>
                    <w:rPr>
                      <w:sz w:val="21"/>
                      <w:szCs w:val="21"/>
                    </w:rPr>
                    <w:t>10863.1</w:t>
                  </w:r>
                </w:p>
              </w:tc>
              <w:tc>
                <w:tcPr>
                  <w:tcW w:w="932" w:type="dxa"/>
                  <w:vMerge w:val="restart"/>
                  <w:vAlign w:val="center"/>
                </w:tcPr>
                <w:p w14:paraId="7FF91E96">
                  <w:pPr>
                    <w:pStyle w:val="154"/>
                    <w:rPr>
                      <w:sz w:val="21"/>
                      <w:szCs w:val="21"/>
                    </w:rPr>
                  </w:pPr>
                  <w:r>
                    <w:rPr>
                      <w:sz w:val="21"/>
                      <w:szCs w:val="21"/>
                    </w:rPr>
                    <w:t>22800.3</w:t>
                  </w:r>
                </w:p>
              </w:tc>
            </w:tr>
            <w:tr w14:paraId="196213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continue"/>
                  <w:vAlign w:val="center"/>
                </w:tcPr>
                <w:p w14:paraId="09494C3E">
                  <w:pPr>
                    <w:pStyle w:val="154"/>
                    <w:rPr>
                      <w:sz w:val="21"/>
                      <w:szCs w:val="21"/>
                    </w:rPr>
                  </w:pPr>
                </w:p>
              </w:tc>
              <w:tc>
                <w:tcPr>
                  <w:tcW w:w="4686" w:type="dxa"/>
                  <w:gridSpan w:val="2"/>
                  <w:vAlign w:val="center"/>
                </w:tcPr>
                <w:p w14:paraId="205CF432">
                  <w:pPr>
                    <w:pStyle w:val="154"/>
                    <w:rPr>
                      <w:sz w:val="21"/>
                      <w:szCs w:val="21"/>
                    </w:rPr>
                  </w:pPr>
                  <w:r>
                    <w:rPr>
                      <w:sz w:val="21"/>
                      <w:szCs w:val="21"/>
                    </w:rPr>
                    <w:t>洛北东汉陵区保护范围以东、偃师西晋陵区以东及以南的建设控制地带</w:t>
                  </w:r>
                </w:p>
              </w:tc>
              <w:tc>
                <w:tcPr>
                  <w:tcW w:w="1008" w:type="dxa"/>
                  <w:vAlign w:val="center"/>
                </w:tcPr>
                <w:p w14:paraId="5A1FCAF8">
                  <w:pPr>
                    <w:pStyle w:val="154"/>
                    <w:rPr>
                      <w:sz w:val="21"/>
                      <w:szCs w:val="21"/>
                    </w:rPr>
                  </w:pPr>
                  <w:r>
                    <w:rPr>
                      <w:sz w:val="21"/>
                      <w:szCs w:val="21"/>
                    </w:rPr>
                    <w:t>JK2</w:t>
                  </w:r>
                </w:p>
              </w:tc>
              <w:tc>
                <w:tcPr>
                  <w:tcW w:w="852" w:type="dxa"/>
                  <w:vAlign w:val="center"/>
                </w:tcPr>
                <w:p w14:paraId="35AFD032">
                  <w:pPr>
                    <w:pStyle w:val="154"/>
                    <w:rPr>
                      <w:sz w:val="21"/>
                      <w:szCs w:val="21"/>
                    </w:rPr>
                  </w:pPr>
                  <w:r>
                    <w:rPr>
                      <w:sz w:val="21"/>
                      <w:szCs w:val="21"/>
                    </w:rPr>
                    <w:t>5079.0</w:t>
                  </w:r>
                </w:p>
              </w:tc>
              <w:tc>
                <w:tcPr>
                  <w:tcW w:w="932" w:type="dxa"/>
                  <w:vMerge w:val="continue"/>
                  <w:vAlign w:val="center"/>
                </w:tcPr>
                <w:p w14:paraId="7D7F45A6">
                  <w:pPr>
                    <w:pStyle w:val="154"/>
                    <w:rPr>
                      <w:sz w:val="21"/>
                      <w:szCs w:val="21"/>
                    </w:rPr>
                  </w:pPr>
                </w:p>
              </w:tc>
            </w:tr>
            <w:tr w14:paraId="704792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58" w:type="dxa"/>
                  <w:vMerge w:val="continue"/>
                  <w:vAlign w:val="center"/>
                </w:tcPr>
                <w:p w14:paraId="102D50AE">
                  <w:pPr>
                    <w:pStyle w:val="154"/>
                    <w:rPr>
                      <w:sz w:val="21"/>
                      <w:szCs w:val="21"/>
                    </w:rPr>
                  </w:pPr>
                </w:p>
              </w:tc>
              <w:tc>
                <w:tcPr>
                  <w:tcW w:w="4686" w:type="dxa"/>
                  <w:gridSpan w:val="2"/>
                  <w:vAlign w:val="center"/>
                </w:tcPr>
                <w:p w14:paraId="4055A06A">
                  <w:pPr>
                    <w:pStyle w:val="154"/>
                    <w:rPr>
                      <w:sz w:val="21"/>
                      <w:szCs w:val="21"/>
                    </w:rPr>
                  </w:pPr>
                  <w:r>
                    <w:rPr>
                      <w:sz w:val="21"/>
                      <w:szCs w:val="21"/>
                    </w:rPr>
                    <w:t>洛南东汉陵区保护范围外围的建设控制地带</w:t>
                  </w:r>
                </w:p>
              </w:tc>
              <w:tc>
                <w:tcPr>
                  <w:tcW w:w="1008" w:type="dxa"/>
                  <w:vAlign w:val="center"/>
                </w:tcPr>
                <w:p w14:paraId="312795C8">
                  <w:pPr>
                    <w:pStyle w:val="154"/>
                    <w:rPr>
                      <w:sz w:val="21"/>
                      <w:szCs w:val="21"/>
                    </w:rPr>
                  </w:pPr>
                  <w:r>
                    <w:rPr>
                      <w:sz w:val="21"/>
                      <w:szCs w:val="21"/>
                    </w:rPr>
                    <w:t>JK3</w:t>
                  </w:r>
                </w:p>
              </w:tc>
              <w:tc>
                <w:tcPr>
                  <w:tcW w:w="852" w:type="dxa"/>
                  <w:vAlign w:val="center"/>
                </w:tcPr>
                <w:p w14:paraId="25150185">
                  <w:pPr>
                    <w:pStyle w:val="154"/>
                    <w:rPr>
                      <w:sz w:val="21"/>
                      <w:szCs w:val="21"/>
                    </w:rPr>
                  </w:pPr>
                  <w:r>
                    <w:rPr>
                      <w:sz w:val="21"/>
                      <w:szCs w:val="21"/>
                    </w:rPr>
                    <w:t>6858.2</w:t>
                  </w:r>
                </w:p>
              </w:tc>
              <w:tc>
                <w:tcPr>
                  <w:tcW w:w="932" w:type="dxa"/>
                  <w:vMerge w:val="continue"/>
                  <w:vAlign w:val="center"/>
                </w:tcPr>
                <w:p w14:paraId="7A6AC83B">
                  <w:pPr>
                    <w:pStyle w:val="154"/>
                    <w:rPr>
                      <w:sz w:val="21"/>
                      <w:szCs w:val="21"/>
                    </w:rPr>
                  </w:pPr>
                </w:p>
              </w:tc>
            </w:tr>
            <w:tr w14:paraId="22DAC6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58" w:type="dxa"/>
                  <w:vAlign w:val="center"/>
                </w:tcPr>
                <w:p w14:paraId="74F8E96D">
                  <w:pPr>
                    <w:pStyle w:val="154"/>
                    <w:rPr>
                      <w:sz w:val="21"/>
                      <w:szCs w:val="21"/>
                    </w:rPr>
                  </w:pPr>
                  <w:r>
                    <w:rPr>
                      <w:sz w:val="21"/>
                      <w:szCs w:val="21"/>
                    </w:rPr>
                    <w:t>环境控</w:t>
                  </w:r>
                </w:p>
                <w:p w14:paraId="67D4A403">
                  <w:pPr>
                    <w:pStyle w:val="154"/>
                    <w:rPr>
                      <w:sz w:val="21"/>
                      <w:szCs w:val="21"/>
                    </w:rPr>
                  </w:pPr>
                  <w:r>
                    <w:rPr>
                      <w:sz w:val="21"/>
                      <w:szCs w:val="21"/>
                    </w:rPr>
                    <w:t>制区</w:t>
                  </w:r>
                </w:p>
              </w:tc>
              <w:tc>
                <w:tcPr>
                  <w:tcW w:w="4686" w:type="dxa"/>
                  <w:gridSpan w:val="2"/>
                  <w:vAlign w:val="center"/>
                </w:tcPr>
                <w:p w14:paraId="7F5D2E43">
                  <w:pPr>
                    <w:pStyle w:val="154"/>
                    <w:rPr>
                      <w:sz w:val="21"/>
                      <w:szCs w:val="21"/>
                    </w:rPr>
                  </w:pPr>
                  <w:r>
                    <w:rPr>
                      <w:sz w:val="21"/>
                      <w:szCs w:val="21"/>
                    </w:rPr>
                    <w:t>洛阳盆地文化遗产环境控制区</w:t>
                  </w:r>
                </w:p>
              </w:tc>
              <w:tc>
                <w:tcPr>
                  <w:tcW w:w="1008" w:type="dxa"/>
                  <w:vAlign w:val="center"/>
                </w:tcPr>
                <w:p w14:paraId="5237D422">
                  <w:pPr>
                    <w:pStyle w:val="154"/>
                    <w:rPr>
                      <w:sz w:val="21"/>
                      <w:szCs w:val="21"/>
                    </w:rPr>
                  </w:pPr>
                  <w:r>
                    <w:rPr>
                      <w:sz w:val="21"/>
                      <w:szCs w:val="21"/>
                    </w:rPr>
                    <w:t>HK</w:t>
                  </w:r>
                </w:p>
              </w:tc>
              <w:tc>
                <w:tcPr>
                  <w:tcW w:w="852" w:type="dxa"/>
                  <w:vAlign w:val="center"/>
                </w:tcPr>
                <w:p w14:paraId="6455DABE">
                  <w:pPr>
                    <w:pStyle w:val="154"/>
                    <w:rPr>
                      <w:sz w:val="21"/>
                      <w:szCs w:val="21"/>
                    </w:rPr>
                  </w:pPr>
                  <w:r>
                    <w:rPr>
                      <w:sz w:val="21"/>
                      <w:szCs w:val="21"/>
                    </w:rPr>
                    <w:t>172726.5</w:t>
                  </w:r>
                </w:p>
              </w:tc>
              <w:tc>
                <w:tcPr>
                  <w:tcW w:w="932" w:type="dxa"/>
                  <w:vAlign w:val="center"/>
                </w:tcPr>
                <w:p w14:paraId="763F6360">
                  <w:pPr>
                    <w:pStyle w:val="154"/>
                    <w:rPr>
                      <w:sz w:val="21"/>
                      <w:szCs w:val="21"/>
                    </w:rPr>
                  </w:pPr>
                  <w:r>
                    <w:rPr>
                      <w:sz w:val="21"/>
                      <w:szCs w:val="21"/>
                    </w:rPr>
                    <w:t>172726.5</w:t>
                  </w:r>
                </w:p>
              </w:tc>
            </w:tr>
          </w:tbl>
          <w:p w14:paraId="26AE0F19">
            <w:pPr>
              <w:pStyle w:val="167"/>
              <w:ind w:firstLine="480"/>
              <w:rPr>
                <w:rFonts w:eastAsia="宋体"/>
              </w:rPr>
            </w:pPr>
            <w:r>
              <w:rPr>
                <w:rFonts w:hint="eastAsia" w:eastAsia="宋体"/>
              </w:rPr>
              <w:t>本项目位于洛阳偃师区先进制造业开发区山化镇</w:t>
            </w:r>
            <w:r>
              <w:rPr>
                <w:rFonts w:hint="eastAsia" w:eastAsia="宋体" w:cs="Times New Roman"/>
              </w:rPr>
              <w:t>东屯工业区</w:t>
            </w:r>
            <w:r>
              <w:rPr>
                <w:rFonts w:hint="eastAsia" w:eastAsia="宋体"/>
              </w:rPr>
              <w:t>，属于洛阳盆地文化遗产环境控制区范围内，不在邙山陵墓群保护范围和建设控制地带内，具体位置见附图10。</w:t>
            </w:r>
          </w:p>
          <w:p w14:paraId="52733B2A">
            <w:pPr>
              <w:pStyle w:val="167"/>
              <w:ind w:firstLine="480"/>
              <w:rPr>
                <w:rFonts w:eastAsia="宋体"/>
              </w:rPr>
            </w:pPr>
            <w:r>
              <w:rPr>
                <w:rFonts w:hint="eastAsia" w:eastAsia="宋体"/>
              </w:rPr>
              <w:t>环境控制区管理规定如下：</w:t>
            </w:r>
          </w:p>
          <w:p w14:paraId="556BDB88">
            <w:pPr>
              <w:pStyle w:val="167"/>
              <w:ind w:firstLine="480"/>
              <w:rPr>
                <w:rFonts w:eastAsia="宋体"/>
              </w:rPr>
            </w:pPr>
            <w:r>
              <w:rPr>
                <w:rFonts w:hint="eastAsia" w:eastAsia="宋体"/>
              </w:rPr>
              <w:t>a. 该区内山形水系均属洛阳盆地大型文化资源群的历史环境，应予严格保护，不得破坏或者随意改变。该区内零散分布的古墓葬保护和周边的建设项目控制应由市、区人民政府会同自然资源和规划、文物、住建和城管等多部门共同会商执行。</w:t>
            </w:r>
          </w:p>
          <w:p w14:paraId="3819600A">
            <w:pPr>
              <w:pStyle w:val="167"/>
              <w:ind w:firstLine="480"/>
              <w:rPr>
                <w:rFonts w:eastAsia="宋体"/>
              </w:rPr>
            </w:pPr>
            <w:r>
              <w:rPr>
                <w:rFonts w:hint="eastAsia" w:eastAsia="宋体"/>
              </w:rPr>
              <w:t>b. 该区内城镇建设发展用地应避开大型文化遗产分布区，城镇发展方向须背离大遗址分布区。城镇建设用地规模应予严格控制，提高建设用地：土地集约利用强度，保持非建设用地规模和保护基本农田。</w:t>
            </w:r>
          </w:p>
          <w:p w14:paraId="77F20089">
            <w:pPr>
              <w:pStyle w:val="167"/>
              <w:ind w:firstLine="480"/>
              <w:rPr>
                <w:rFonts w:eastAsia="宋体"/>
              </w:rPr>
            </w:pPr>
            <w:r>
              <w:rPr>
                <w:rFonts w:hint="eastAsia" w:eastAsia="宋体"/>
              </w:rPr>
              <w:t>c. 该区内的大型建设项目应按照《中华人民共和国环境影响评价法》要求编制环境影响评估报告，就建设项目对文化遗产及其环境可能造成的影响进行专项评估，并按照相关法规要求履行审批程序。</w:t>
            </w:r>
          </w:p>
          <w:p w14:paraId="2CDFE689">
            <w:pPr>
              <w:pStyle w:val="167"/>
              <w:ind w:firstLine="480"/>
              <w:rPr>
                <w:rFonts w:eastAsia="宋体"/>
              </w:rPr>
            </w:pPr>
            <w:r>
              <w:rPr>
                <w:rFonts w:hint="eastAsia" w:eastAsia="宋体"/>
              </w:rPr>
              <w:t>d. 该区内应加强生态与环境保护，过度开垦的低山丘陵应大力加强水土流失防治，制定生态治理措施，加速退耕还林还草。污染性工业项目选址布局宜置于洛阳盆地南缘。洛河等水系污染治理应制定专项计划，纳入洛阳城市总体规划。</w:t>
            </w:r>
          </w:p>
          <w:p w14:paraId="37C2BEBC">
            <w:pPr>
              <w:pStyle w:val="167"/>
              <w:ind w:firstLine="480"/>
              <w:rPr>
                <w:rFonts w:eastAsia="宋体"/>
              </w:rPr>
            </w:pPr>
            <w:r>
              <w:rPr>
                <w:rFonts w:hint="eastAsia" w:eastAsia="宋体"/>
              </w:rPr>
              <w:t>本项目利用现有厂房建设，不涉及土建施工，项目施工不会对文化遗产及其环境造成影响。项目营运期废气主要为颗粒物、非甲烷总烃，营运期产气环节均进行负压收集，减少无组织排放，废气经收集处理后达标排放；营运期废水主要为生活污水，进入现有化粪池处理达标后经市政管网排入中州渠人工湿地深度处理；营运期高噪声设备采取基础减震、厂房隔声措施，厂界噪声贡献值满足《工业企业厂界环境噪声排放标准》（GB12348－2008）3类标准；营运期固体废物均合理处置。项目营运期采取措施降低对周围环境的影响，且项目周边无文物保护单位，采取措施后，本项目建设对文化遗产及其环境影响较小。</w:t>
            </w:r>
          </w:p>
        </w:tc>
      </w:tr>
    </w:tbl>
    <w:p w14:paraId="4703EF7D">
      <w:pPr>
        <w:pStyle w:val="152"/>
      </w:pPr>
      <w:r>
        <w:t>二、建设项目工程分析</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287"/>
      </w:tblGrid>
      <w:tr w14:paraId="18F9A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59" w:hRule="atLeast"/>
          <w:jc w:val="center"/>
        </w:trPr>
        <w:tc>
          <w:tcPr>
            <w:tcW w:w="5000" w:type="pct"/>
            <w:tcBorders>
              <w:bottom w:val="single" w:color="auto" w:sz="12" w:space="0"/>
            </w:tcBorders>
            <w:tcMar>
              <w:top w:w="0" w:type="dxa"/>
              <w:left w:w="108" w:type="dxa"/>
              <w:bottom w:w="0" w:type="dxa"/>
              <w:right w:w="108" w:type="dxa"/>
            </w:tcMar>
          </w:tcPr>
          <w:p w14:paraId="425B3E97">
            <w:pPr>
              <w:pStyle w:val="158"/>
              <w:spacing w:before="156"/>
            </w:pPr>
            <w:r>
              <w:t>建设内容</w:t>
            </w:r>
          </w:p>
          <w:p w14:paraId="20FCD38D">
            <w:pPr>
              <w:pStyle w:val="157"/>
            </w:pPr>
            <w:r>
              <w:t>1、项目由来</w:t>
            </w:r>
          </w:p>
          <w:p w14:paraId="5B1CFE8F">
            <w:pPr>
              <w:pStyle w:val="156"/>
              <w:ind w:firstLine="480"/>
              <w:rPr>
                <w:rFonts w:eastAsia="宋体" w:cs="Times New Roman"/>
              </w:rPr>
            </w:pPr>
            <w:r>
              <w:rPr>
                <w:rFonts w:eastAsia="宋体" w:cs="Times New Roman"/>
                <w:szCs w:val="24"/>
              </w:rPr>
              <w:t>洛阳市</w:t>
            </w:r>
            <w:r>
              <w:rPr>
                <w:rFonts w:hint="eastAsia" w:eastAsia="宋体" w:cs="Times New Roman"/>
                <w:szCs w:val="24"/>
              </w:rPr>
              <w:t>迈威</w:t>
            </w:r>
            <w:r>
              <w:rPr>
                <w:rFonts w:eastAsia="宋体" w:cs="Times New Roman"/>
                <w:szCs w:val="24"/>
              </w:rPr>
              <w:t>鞋业有限公司，</w:t>
            </w:r>
            <w:r>
              <w:rPr>
                <w:rFonts w:hint="eastAsia"/>
              </w:rPr>
              <w:t>主要从事鞋，鞋底片的生产和销售</w:t>
            </w:r>
            <w:r>
              <w:rPr>
                <w:rFonts w:hint="eastAsia" w:eastAsia="宋体" w:cs="Times New Roman"/>
              </w:rPr>
              <w:t>。经过调查后，</w:t>
            </w:r>
            <w:r>
              <w:rPr>
                <w:rFonts w:eastAsia="宋体" w:cs="Times New Roman"/>
                <w:szCs w:val="24"/>
              </w:rPr>
              <w:t>洛阳</w:t>
            </w:r>
            <w:r>
              <w:rPr>
                <w:rFonts w:hint="eastAsia" w:eastAsia="宋体" w:cs="Times New Roman"/>
                <w:szCs w:val="24"/>
              </w:rPr>
              <w:t>市迈威</w:t>
            </w:r>
            <w:r>
              <w:rPr>
                <w:rFonts w:eastAsia="宋体" w:cs="Times New Roman"/>
                <w:szCs w:val="24"/>
              </w:rPr>
              <w:t>鞋业有限公司</w:t>
            </w:r>
            <w:r>
              <w:rPr>
                <w:rFonts w:eastAsia="宋体" w:cs="Times New Roman"/>
              </w:rPr>
              <w:t>决定投资</w:t>
            </w:r>
            <w:r>
              <w:rPr>
                <w:rFonts w:hint="eastAsia" w:eastAsia="宋体" w:cs="Times New Roman"/>
              </w:rPr>
              <w:t>100</w:t>
            </w:r>
            <w:r>
              <w:rPr>
                <w:rFonts w:eastAsia="宋体" w:cs="Times New Roman"/>
              </w:rPr>
              <w:t>万元在</w:t>
            </w:r>
            <w:r>
              <w:rPr>
                <w:rFonts w:hint="eastAsia" w:eastAsia="宋体" w:cs="Times New Roman"/>
              </w:rPr>
              <w:t>洛阳市</w:t>
            </w:r>
            <w:r>
              <w:rPr>
                <w:rFonts w:eastAsia="宋体" w:cs="Times New Roman"/>
              </w:rPr>
              <w:t>偃师</w:t>
            </w:r>
            <w:r>
              <w:rPr>
                <w:rFonts w:hint="eastAsia" w:eastAsia="宋体" w:cs="Times New Roman"/>
              </w:rPr>
              <w:t>市先进制造开发区山化片区东屯工业</w:t>
            </w:r>
            <w:r>
              <w:rPr>
                <w:rFonts w:eastAsia="宋体" w:cs="Times New Roman"/>
              </w:rPr>
              <w:t>区建设年产</w:t>
            </w:r>
            <w:r>
              <w:rPr>
                <w:rFonts w:hint="eastAsia" w:eastAsia="宋体" w:cs="Times New Roman"/>
              </w:rPr>
              <w:t>50</w:t>
            </w:r>
            <w:r>
              <w:rPr>
                <w:rFonts w:eastAsia="宋体" w:cs="Times New Roman"/>
              </w:rPr>
              <w:t>万双布鞋</w:t>
            </w:r>
            <w:r>
              <w:t>、</w:t>
            </w:r>
            <w:r>
              <w:rPr>
                <w:rFonts w:hint="eastAsia"/>
              </w:rPr>
              <w:t>100万双鞋底片</w:t>
            </w:r>
            <w:r>
              <w:rPr>
                <w:rFonts w:eastAsia="宋体" w:cs="Times New Roman"/>
              </w:rPr>
              <w:t>生产项目。企业租赁私人赵丽苹一处现有厂房进行建设，厂房位于山化片区东屯工业园，该项目已取得洛阳市偃师区发展和改革委员会备案证明文件（项目代码：</w:t>
            </w:r>
            <w:r>
              <w:rPr>
                <w:rFonts w:hint="eastAsia" w:eastAsia="宋体" w:cs="Times New Roman"/>
                <w:szCs w:val="24"/>
              </w:rPr>
              <w:t>2506-410381-04-01-871245</w:t>
            </w:r>
            <w:r>
              <w:rPr>
                <w:rFonts w:eastAsia="宋体" w:cs="Times New Roman"/>
              </w:rPr>
              <w:t>），见附件2。</w:t>
            </w:r>
          </w:p>
          <w:p w14:paraId="220FBFD7">
            <w:pPr>
              <w:pStyle w:val="156"/>
              <w:ind w:firstLine="480"/>
              <w:rPr>
                <w:rFonts w:eastAsia="宋体" w:cs="Times New Roman"/>
              </w:rPr>
            </w:pPr>
            <w:r>
              <w:rPr>
                <w:rFonts w:eastAsia="宋体" w:cs="Times New Roman"/>
              </w:rPr>
              <w:t>根据《中华人民共和国环境保护法》（2015.1.1）、《中华人民共和国环境影响评价法》（2018.12.29），《建设项目环境保护管理条例》（国务院第682号令）有关规定，本项目需进行环境影响评价。</w:t>
            </w:r>
          </w:p>
          <w:p w14:paraId="3B6E5ED2">
            <w:pPr>
              <w:pStyle w:val="156"/>
              <w:ind w:firstLine="480"/>
              <w:rPr>
                <w:rFonts w:eastAsia="宋体" w:cs="Times New Roman"/>
              </w:rPr>
            </w:pPr>
            <w:r>
              <w:rPr>
                <w:rFonts w:eastAsia="宋体" w:cs="Times New Roman"/>
              </w:rPr>
              <w:t>经查阅《建设项目环境影响评价分类管理名录》（2021年版），本项目属于“十六、皮革、皮毛、羽毛及其制品和制鞋业19</w:t>
            </w:r>
            <w:r>
              <w:rPr>
                <w:rFonts w:cs="Times New Roman" w:asciiTheme="minorEastAsia" w:hAnsiTheme="minorEastAsia"/>
              </w:rPr>
              <w:t>”</w:t>
            </w:r>
            <w:r>
              <w:rPr>
                <w:rFonts w:eastAsia="宋体" w:cs="Times New Roman"/>
              </w:rPr>
              <w:t>，</w:t>
            </w:r>
            <w:r>
              <w:rPr>
                <w:rFonts w:cs="Times New Roman" w:asciiTheme="minorEastAsia" w:hAnsiTheme="minorEastAsia"/>
              </w:rPr>
              <w:t>“</w:t>
            </w:r>
            <w:r>
              <w:rPr>
                <w:rFonts w:eastAsia="宋体" w:cs="Times New Roman"/>
              </w:rPr>
              <w:t>32制鞋业195</w:t>
            </w:r>
            <w:r>
              <w:rPr>
                <w:rFonts w:cs="Times New Roman" w:asciiTheme="minorEastAsia" w:hAnsiTheme="minorEastAsia"/>
              </w:rPr>
              <w:t>”</w:t>
            </w:r>
            <w:r>
              <w:rPr>
                <w:rFonts w:eastAsia="宋体" w:cs="Times New Roman"/>
              </w:rPr>
              <w:t>：有橡胶硫化工艺、塑料注塑工艺的；年用溶剂型胶粘剂10吨及以上的，或年用溶剂型处理剂3吨及以上的为报告表。</w:t>
            </w:r>
          </w:p>
          <w:p w14:paraId="2C1FE27B">
            <w:pPr>
              <w:pStyle w:val="156"/>
              <w:ind w:firstLine="480"/>
              <w:rPr>
                <w:rFonts w:eastAsia="宋体" w:cs="Times New Roman"/>
              </w:rPr>
            </w:pPr>
            <w:r>
              <w:rPr>
                <w:rFonts w:eastAsia="宋体" w:cs="Times New Roman"/>
              </w:rPr>
              <w:t>本项目涉及的生产工艺有塑料注塑工艺</w:t>
            </w:r>
            <w:r>
              <w:rPr>
                <w:rFonts w:hint="eastAsia" w:eastAsia="宋体" w:cs="Times New Roman"/>
              </w:rPr>
              <w:t>和聚氨酯浇注工艺</w:t>
            </w:r>
            <w:r>
              <w:rPr>
                <w:rFonts w:eastAsia="宋体" w:cs="Times New Roman"/>
              </w:rPr>
              <w:t>，应编制环境影响报告表。</w:t>
            </w:r>
          </w:p>
          <w:p w14:paraId="6BAA85EF">
            <w:pPr>
              <w:spacing w:line="520" w:lineRule="exact"/>
              <w:ind w:firstLine="480" w:firstLineChars="200"/>
              <w:rPr>
                <w:rFonts w:ascii="Times New Roman" w:hAnsi="Times New Roman"/>
              </w:rPr>
            </w:pPr>
            <w:r>
              <w:rPr>
                <w:rFonts w:ascii="Times New Roman" w:hAnsi="Times New Roman"/>
              </w:rPr>
              <w:t>项目环评类别确定依据见下表。</w:t>
            </w:r>
          </w:p>
          <w:p w14:paraId="5B56EEB3">
            <w:pPr>
              <w:pStyle w:val="182"/>
              <w:ind w:firstLine="480"/>
            </w:pPr>
            <w:r>
              <w:t>表2-1         建设项目环境影响评价分类管理名录</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1258"/>
              <w:gridCol w:w="4157"/>
              <w:gridCol w:w="1365"/>
            </w:tblGrid>
            <w:tr w14:paraId="00A6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59" w:type="pct"/>
                  <w:tcBorders>
                    <w:top w:val="single" w:color="auto" w:sz="12" w:space="0"/>
                    <w:left w:val="single" w:color="auto" w:sz="12" w:space="0"/>
                    <w:bottom w:val="single" w:color="auto" w:sz="6" w:space="0"/>
                    <w:right w:val="single" w:color="auto" w:sz="6" w:space="0"/>
                    <w:tl2br w:val="single" w:color="auto" w:sz="4" w:space="0"/>
                  </w:tcBorders>
                  <w:shd w:val="clear" w:color="auto" w:fill="auto"/>
                  <w:vAlign w:val="center"/>
                </w:tcPr>
                <w:p w14:paraId="78656E7C">
                  <w:pPr>
                    <w:pStyle w:val="154"/>
                    <w:rPr>
                      <w:sz w:val="21"/>
                      <w:szCs w:val="21"/>
                    </w:rPr>
                  </w:pPr>
                  <w:r>
                    <w:rPr>
                      <w:sz w:val="21"/>
                      <w:szCs w:val="21"/>
                    </w:rPr>
                    <w:t>环评类别</w:t>
                  </w:r>
                </w:p>
                <w:p w14:paraId="4405E125">
                  <w:pPr>
                    <w:pStyle w:val="154"/>
                    <w:rPr>
                      <w:sz w:val="21"/>
                      <w:szCs w:val="21"/>
                    </w:rPr>
                  </w:pPr>
                  <w:r>
                    <w:rPr>
                      <w:sz w:val="21"/>
                      <w:szCs w:val="21"/>
                    </w:rPr>
                    <w:t>项目类别</w:t>
                  </w:r>
                </w:p>
              </w:tc>
              <w:tc>
                <w:tcPr>
                  <w:tcW w:w="694" w:type="pct"/>
                  <w:tcBorders>
                    <w:top w:val="single" w:color="auto" w:sz="12" w:space="0"/>
                    <w:left w:val="single" w:color="auto" w:sz="6" w:space="0"/>
                    <w:bottom w:val="single" w:color="auto" w:sz="6" w:space="0"/>
                    <w:right w:val="single" w:color="auto" w:sz="6" w:space="0"/>
                  </w:tcBorders>
                  <w:shd w:val="clear" w:color="auto" w:fill="auto"/>
                  <w:vAlign w:val="center"/>
                </w:tcPr>
                <w:p w14:paraId="70BCB395">
                  <w:pPr>
                    <w:pStyle w:val="154"/>
                    <w:rPr>
                      <w:sz w:val="21"/>
                      <w:szCs w:val="21"/>
                    </w:rPr>
                  </w:pPr>
                  <w:r>
                    <w:rPr>
                      <w:sz w:val="21"/>
                      <w:szCs w:val="21"/>
                    </w:rPr>
                    <w:t>报告书</w:t>
                  </w:r>
                </w:p>
              </w:tc>
              <w:tc>
                <w:tcPr>
                  <w:tcW w:w="2294" w:type="pct"/>
                  <w:tcBorders>
                    <w:top w:val="single" w:color="auto" w:sz="12" w:space="0"/>
                    <w:left w:val="single" w:color="auto" w:sz="6" w:space="0"/>
                    <w:bottom w:val="single" w:color="auto" w:sz="6" w:space="0"/>
                    <w:right w:val="single" w:color="auto" w:sz="6" w:space="0"/>
                  </w:tcBorders>
                  <w:vAlign w:val="center"/>
                </w:tcPr>
                <w:p w14:paraId="35431D61">
                  <w:pPr>
                    <w:pStyle w:val="154"/>
                    <w:rPr>
                      <w:sz w:val="21"/>
                      <w:szCs w:val="21"/>
                    </w:rPr>
                  </w:pPr>
                  <w:r>
                    <w:rPr>
                      <w:sz w:val="21"/>
                      <w:szCs w:val="21"/>
                    </w:rPr>
                    <w:t>报告表</w:t>
                  </w:r>
                </w:p>
              </w:tc>
              <w:tc>
                <w:tcPr>
                  <w:tcW w:w="753" w:type="pct"/>
                  <w:tcBorders>
                    <w:top w:val="single" w:color="auto" w:sz="12" w:space="0"/>
                    <w:left w:val="single" w:color="auto" w:sz="6" w:space="0"/>
                    <w:bottom w:val="single" w:color="auto" w:sz="6" w:space="0"/>
                    <w:right w:val="single" w:color="auto" w:sz="12" w:space="0"/>
                  </w:tcBorders>
                  <w:vAlign w:val="center"/>
                </w:tcPr>
                <w:p w14:paraId="7EF7D035">
                  <w:pPr>
                    <w:pStyle w:val="154"/>
                    <w:rPr>
                      <w:sz w:val="21"/>
                      <w:szCs w:val="21"/>
                    </w:rPr>
                  </w:pPr>
                  <w:r>
                    <w:rPr>
                      <w:sz w:val="21"/>
                      <w:szCs w:val="21"/>
                    </w:rPr>
                    <w:t>登记表</w:t>
                  </w:r>
                </w:p>
              </w:tc>
            </w:tr>
            <w:tr w14:paraId="2D16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op w:val="single" w:color="auto" w:sz="6" w:space="0"/>
                    <w:left w:val="single" w:color="auto" w:sz="12" w:space="0"/>
                    <w:bottom w:val="single" w:color="auto" w:sz="6" w:space="0"/>
                    <w:right w:val="single" w:color="auto" w:sz="12" w:space="0"/>
                  </w:tcBorders>
                  <w:shd w:val="clear" w:color="auto" w:fill="auto"/>
                  <w:vAlign w:val="center"/>
                </w:tcPr>
                <w:p w14:paraId="556D4526">
                  <w:pPr>
                    <w:pStyle w:val="154"/>
                    <w:rPr>
                      <w:sz w:val="21"/>
                      <w:szCs w:val="21"/>
                    </w:rPr>
                  </w:pPr>
                  <w:r>
                    <w:rPr>
                      <w:sz w:val="21"/>
                      <w:szCs w:val="21"/>
                    </w:rPr>
                    <w:t>十六、皮革、毛皮、羽毛及其制品和制鞋业 19</w:t>
                  </w:r>
                </w:p>
              </w:tc>
            </w:tr>
            <w:tr w14:paraId="643E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9" w:type="pct"/>
                  <w:tcBorders>
                    <w:top w:val="single" w:color="auto" w:sz="6" w:space="0"/>
                    <w:left w:val="single" w:color="auto" w:sz="12" w:space="0"/>
                    <w:bottom w:val="single" w:color="auto" w:sz="12" w:space="0"/>
                    <w:right w:val="single" w:color="auto" w:sz="6" w:space="0"/>
                  </w:tcBorders>
                  <w:shd w:val="clear" w:color="auto" w:fill="auto"/>
                  <w:vAlign w:val="center"/>
                </w:tcPr>
                <w:p w14:paraId="5B2C3872">
                  <w:pPr>
                    <w:pStyle w:val="154"/>
                    <w:rPr>
                      <w:sz w:val="21"/>
                      <w:szCs w:val="21"/>
                    </w:rPr>
                  </w:pPr>
                  <w:r>
                    <w:rPr>
                      <w:sz w:val="21"/>
                      <w:szCs w:val="21"/>
                    </w:rPr>
                    <w:t>制鞋业 195</w:t>
                  </w:r>
                </w:p>
              </w:tc>
              <w:tc>
                <w:tcPr>
                  <w:tcW w:w="694" w:type="pct"/>
                  <w:tcBorders>
                    <w:top w:val="single" w:color="auto" w:sz="6" w:space="0"/>
                    <w:left w:val="single" w:color="auto" w:sz="6" w:space="0"/>
                    <w:bottom w:val="single" w:color="auto" w:sz="12" w:space="0"/>
                    <w:right w:val="single" w:color="auto" w:sz="6" w:space="0"/>
                  </w:tcBorders>
                  <w:shd w:val="clear" w:color="auto" w:fill="auto"/>
                  <w:vAlign w:val="center"/>
                </w:tcPr>
                <w:p w14:paraId="58E72426">
                  <w:pPr>
                    <w:pStyle w:val="154"/>
                    <w:rPr>
                      <w:sz w:val="21"/>
                      <w:szCs w:val="21"/>
                    </w:rPr>
                  </w:pPr>
                  <w:r>
                    <w:rPr>
                      <w:sz w:val="21"/>
                      <w:szCs w:val="21"/>
                    </w:rPr>
                    <w:t>/</w:t>
                  </w:r>
                </w:p>
              </w:tc>
              <w:tc>
                <w:tcPr>
                  <w:tcW w:w="2294" w:type="pct"/>
                  <w:tcBorders>
                    <w:top w:val="single" w:color="auto" w:sz="6" w:space="0"/>
                    <w:left w:val="single" w:color="auto" w:sz="6" w:space="0"/>
                    <w:bottom w:val="single" w:color="auto" w:sz="12" w:space="0"/>
                    <w:right w:val="single" w:color="auto" w:sz="6" w:space="0"/>
                  </w:tcBorders>
                </w:tcPr>
                <w:p w14:paraId="3B384065">
                  <w:pPr>
                    <w:pStyle w:val="154"/>
                    <w:jc w:val="left"/>
                    <w:rPr>
                      <w:sz w:val="21"/>
                      <w:szCs w:val="21"/>
                    </w:rPr>
                  </w:pPr>
                  <w:r>
                    <w:rPr>
                      <w:sz w:val="21"/>
                      <w:szCs w:val="21"/>
                    </w:rPr>
                    <w:t>有橡胶硫化工艺、塑料注塑工艺的；年用溶剂型胶粘剂10吨及以上的，或年用溶剂型处理剂3吨及以上的</w:t>
                  </w:r>
                </w:p>
              </w:tc>
              <w:tc>
                <w:tcPr>
                  <w:tcW w:w="753" w:type="pct"/>
                  <w:tcBorders>
                    <w:top w:val="single" w:color="auto" w:sz="6" w:space="0"/>
                    <w:left w:val="single" w:color="auto" w:sz="6" w:space="0"/>
                    <w:bottom w:val="single" w:color="auto" w:sz="12" w:space="0"/>
                    <w:right w:val="single" w:color="auto" w:sz="12" w:space="0"/>
                  </w:tcBorders>
                  <w:vAlign w:val="center"/>
                </w:tcPr>
                <w:p w14:paraId="50A20B08">
                  <w:pPr>
                    <w:pStyle w:val="154"/>
                    <w:rPr>
                      <w:sz w:val="21"/>
                      <w:szCs w:val="21"/>
                    </w:rPr>
                  </w:pPr>
                  <w:r>
                    <w:rPr>
                      <w:sz w:val="21"/>
                      <w:szCs w:val="21"/>
                    </w:rPr>
                    <w:t>/</w:t>
                  </w:r>
                </w:p>
              </w:tc>
            </w:tr>
          </w:tbl>
          <w:p w14:paraId="1849371A">
            <w:pPr>
              <w:pStyle w:val="156"/>
              <w:ind w:firstLine="480"/>
              <w:rPr>
                <w:rFonts w:eastAsia="宋体" w:cs="Times New Roman"/>
              </w:rPr>
            </w:pPr>
            <w:r>
              <w:rPr>
                <w:rFonts w:eastAsia="宋体" w:cs="Times New Roman"/>
              </w:rPr>
              <w:t>受</w:t>
            </w:r>
            <w:r>
              <w:rPr>
                <w:rFonts w:eastAsia="宋体" w:cs="Times New Roman"/>
                <w:szCs w:val="24"/>
              </w:rPr>
              <w:t>洛阳市迈威鞋业有限公司</w:t>
            </w:r>
            <w:r>
              <w:rPr>
                <w:rFonts w:eastAsia="宋体" w:cs="Times New Roman"/>
              </w:rPr>
              <w:t>委托，名辰环境工程有限公司承担了本项目的环境影响评价工作，为本项目在施工期及运营期完善环境管理，落实污染防治措施，减轻对环境的影响，改善和保护环境提供科学依据。我公司接受委托后，及时组织人员到项目现场进行调查和勘察，并在资料收集整理，环境质量现状调查的基础上，遵照国家及地区有关环保法律法规和评价技术导则的有关规定和要求，以污染控制为重点，贯彻执行</w:t>
            </w:r>
            <w:r>
              <w:rPr>
                <w:rFonts w:hint="eastAsia" w:eastAsia="宋体" w:cs="Times New Roman"/>
              </w:rPr>
              <w:t>“</w:t>
            </w:r>
            <w:r>
              <w:rPr>
                <w:rFonts w:eastAsia="宋体" w:cs="Times New Roman"/>
              </w:rPr>
              <w:t>达标排放、总量控制</w:t>
            </w:r>
            <w:r>
              <w:rPr>
                <w:rFonts w:hint="eastAsia" w:eastAsia="宋体" w:cs="Times New Roman"/>
              </w:rPr>
              <w:t>”</w:t>
            </w:r>
            <w:r>
              <w:rPr>
                <w:rFonts w:eastAsia="宋体" w:cs="Times New Roman"/>
              </w:rPr>
              <w:t>的原则，本着客观、公正、科学、规范的要求，编制完成了本项目的环境影响评价报告表。</w:t>
            </w:r>
          </w:p>
          <w:p w14:paraId="7E34A749">
            <w:pPr>
              <w:pStyle w:val="157"/>
            </w:pPr>
            <w:r>
              <w:rPr>
                <w:rFonts w:hint="eastAsia"/>
              </w:rPr>
              <w:t>2.主要建设内容</w:t>
            </w:r>
          </w:p>
          <w:p w14:paraId="60ABCD51">
            <w:pPr>
              <w:pStyle w:val="182"/>
              <w:ind w:firstLine="480"/>
            </w:pPr>
            <w:r>
              <w:t xml:space="preserve">表2- </w:t>
            </w:r>
            <w:r>
              <w:rPr>
                <w:rFonts w:hint="eastAsia"/>
              </w:rPr>
              <w:t>2</w:t>
            </w:r>
            <w:r>
              <w:t xml:space="preserve">                本项目工程组成</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400"/>
              <w:gridCol w:w="5809"/>
              <w:gridCol w:w="1120"/>
            </w:tblGrid>
            <w:tr w14:paraId="051E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112" w:type="dxa"/>
                  <w:gridSpan w:val="2"/>
                  <w:vAlign w:val="center"/>
                </w:tcPr>
                <w:p w14:paraId="0CF0AA2A">
                  <w:pPr>
                    <w:pStyle w:val="154"/>
                    <w:rPr>
                      <w:sz w:val="21"/>
                      <w:szCs w:val="21"/>
                    </w:rPr>
                  </w:pPr>
                  <w:r>
                    <w:rPr>
                      <w:sz w:val="21"/>
                      <w:szCs w:val="21"/>
                    </w:rPr>
                    <w:t>类别</w:t>
                  </w:r>
                </w:p>
              </w:tc>
              <w:tc>
                <w:tcPr>
                  <w:tcW w:w="5809" w:type="dxa"/>
                  <w:vAlign w:val="center"/>
                </w:tcPr>
                <w:p w14:paraId="49E30080">
                  <w:pPr>
                    <w:pStyle w:val="154"/>
                    <w:rPr>
                      <w:sz w:val="21"/>
                      <w:szCs w:val="21"/>
                    </w:rPr>
                  </w:pPr>
                  <w:r>
                    <w:rPr>
                      <w:sz w:val="21"/>
                      <w:szCs w:val="21"/>
                    </w:rPr>
                    <w:t>建设内容</w:t>
                  </w:r>
                </w:p>
              </w:tc>
              <w:tc>
                <w:tcPr>
                  <w:tcW w:w="1120" w:type="dxa"/>
                  <w:vAlign w:val="center"/>
                </w:tcPr>
                <w:p w14:paraId="49E09850">
                  <w:pPr>
                    <w:pStyle w:val="154"/>
                    <w:rPr>
                      <w:sz w:val="21"/>
                      <w:szCs w:val="21"/>
                    </w:rPr>
                  </w:pPr>
                  <w:r>
                    <w:rPr>
                      <w:sz w:val="21"/>
                      <w:szCs w:val="21"/>
                    </w:rPr>
                    <w:t>备注</w:t>
                  </w:r>
                </w:p>
              </w:tc>
            </w:tr>
            <w:tr w14:paraId="696EC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12" w:type="dxa"/>
                  <w:vAlign w:val="center"/>
                </w:tcPr>
                <w:p w14:paraId="301B3101">
                  <w:pPr>
                    <w:pStyle w:val="154"/>
                    <w:rPr>
                      <w:sz w:val="21"/>
                      <w:szCs w:val="21"/>
                    </w:rPr>
                  </w:pPr>
                  <w:r>
                    <w:rPr>
                      <w:sz w:val="21"/>
                      <w:szCs w:val="21"/>
                    </w:rPr>
                    <w:t>主体工程</w:t>
                  </w:r>
                </w:p>
              </w:tc>
              <w:tc>
                <w:tcPr>
                  <w:tcW w:w="1400" w:type="dxa"/>
                  <w:vAlign w:val="center"/>
                </w:tcPr>
                <w:p w14:paraId="1BC41061">
                  <w:pPr>
                    <w:pStyle w:val="154"/>
                    <w:rPr>
                      <w:sz w:val="21"/>
                      <w:szCs w:val="21"/>
                    </w:rPr>
                  </w:pPr>
                  <w:r>
                    <w:rPr>
                      <w:sz w:val="21"/>
                      <w:szCs w:val="21"/>
                    </w:rPr>
                    <w:t>生产车间</w:t>
                  </w:r>
                </w:p>
              </w:tc>
              <w:tc>
                <w:tcPr>
                  <w:tcW w:w="5809" w:type="dxa"/>
                  <w:vAlign w:val="center"/>
                </w:tcPr>
                <w:p w14:paraId="0E77C07A">
                  <w:pPr>
                    <w:pStyle w:val="154"/>
                    <w:jc w:val="left"/>
                    <w:rPr>
                      <w:sz w:val="21"/>
                      <w:szCs w:val="21"/>
                    </w:rPr>
                  </w:pPr>
                  <w:r>
                    <w:rPr>
                      <w:rFonts w:hint="eastAsia"/>
                      <w:sz w:val="21"/>
                      <w:szCs w:val="21"/>
                    </w:rPr>
                    <w:t>共三层，本项目租赁第一</w:t>
                  </w:r>
                  <w:r>
                    <w:rPr>
                      <w:sz w:val="21"/>
                      <w:szCs w:val="21"/>
                    </w:rPr>
                    <w:t>、</w:t>
                  </w:r>
                  <w:r>
                    <w:rPr>
                      <w:rFonts w:hint="eastAsia"/>
                      <w:sz w:val="21"/>
                      <w:szCs w:val="21"/>
                    </w:rPr>
                    <w:t>第二层房间的一半和第三层整层，钢混</w:t>
                  </w:r>
                  <w:r>
                    <w:rPr>
                      <w:sz w:val="21"/>
                      <w:szCs w:val="21"/>
                    </w:rPr>
                    <w:t>结构，H=</w:t>
                  </w:r>
                  <w:r>
                    <w:rPr>
                      <w:rFonts w:hint="eastAsia"/>
                      <w:sz w:val="21"/>
                      <w:szCs w:val="21"/>
                    </w:rPr>
                    <w:t>13</w:t>
                  </w:r>
                  <w:r>
                    <w:rPr>
                      <w:sz w:val="21"/>
                      <w:szCs w:val="21"/>
                    </w:rPr>
                    <w:t>m，</w:t>
                  </w:r>
                  <w:r>
                    <w:rPr>
                      <w:rFonts w:hint="eastAsia"/>
                      <w:sz w:val="21"/>
                      <w:szCs w:val="21"/>
                    </w:rPr>
                    <w:t>建筑</w:t>
                  </w:r>
                  <w:r>
                    <w:rPr>
                      <w:sz w:val="21"/>
                      <w:szCs w:val="21"/>
                    </w:rPr>
                    <w:t>面积</w:t>
                  </w:r>
                  <w:r>
                    <w:rPr>
                      <w:rFonts w:hint="eastAsia"/>
                      <w:sz w:val="21"/>
                      <w:szCs w:val="21"/>
                    </w:rPr>
                    <w:t>900</w:t>
                  </w:r>
                  <w:r>
                    <w:rPr>
                      <w:sz w:val="21"/>
                      <w:szCs w:val="21"/>
                    </w:rPr>
                    <w:t>m</w:t>
                  </w:r>
                  <w:r>
                    <w:rPr>
                      <w:sz w:val="21"/>
                      <w:szCs w:val="21"/>
                      <w:vertAlign w:val="superscript"/>
                    </w:rPr>
                    <w:t>2</w:t>
                  </w:r>
                  <w:r>
                    <w:rPr>
                      <w:sz w:val="21"/>
                      <w:szCs w:val="21"/>
                    </w:rPr>
                    <w:t>，</w:t>
                  </w:r>
                  <w:r>
                    <w:rPr>
                      <w:rFonts w:hint="eastAsia"/>
                      <w:sz w:val="21"/>
                      <w:szCs w:val="21"/>
                    </w:rPr>
                    <w:t>一层</w:t>
                  </w:r>
                  <w:r>
                    <w:rPr>
                      <w:sz w:val="21"/>
                      <w:szCs w:val="21"/>
                    </w:rPr>
                    <w:t>设置</w:t>
                  </w:r>
                  <w:r>
                    <w:rPr>
                      <w:rFonts w:hint="eastAsia"/>
                      <w:sz w:val="21"/>
                      <w:szCs w:val="21"/>
                    </w:rPr>
                    <w:t>5</w:t>
                  </w:r>
                  <w:r>
                    <w:rPr>
                      <w:sz w:val="21"/>
                      <w:szCs w:val="21"/>
                    </w:rPr>
                    <w:t>条注塑生产线</w:t>
                  </w:r>
                  <w:r>
                    <w:rPr>
                      <w:rFonts w:hint="eastAsia"/>
                      <w:sz w:val="21"/>
                      <w:szCs w:val="21"/>
                    </w:rPr>
                    <w:t>，二层设置2条聚氨酯生产线，三层安装6台激光切和12台绣花机。</w:t>
                  </w:r>
                </w:p>
              </w:tc>
              <w:tc>
                <w:tcPr>
                  <w:tcW w:w="1120" w:type="dxa"/>
                  <w:vAlign w:val="center"/>
                </w:tcPr>
                <w:p w14:paraId="25BE79E4">
                  <w:pPr>
                    <w:pStyle w:val="154"/>
                    <w:rPr>
                      <w:sz w:val="21"/>
                      <w:szCs w:val="21"/>
                    </w:rPr>
                  </w:pPr>
                  <w:r>
                    <w:rPr>
                      <w:sz w:val="21"/>
                      <w:szCs w:val="21"/>
                    </w:rPr>
                    <w:t>租赁现有</w:t>
                  </w:r>
                  <w:r>
                    <w:rPr>
                      <w:rFonts w:hint="eastAsia"/>
                      <w:sz w:val="21"/>
                      <w:szCs w:val="21"/>
                    </w:rPr>
                    <w:t>厂房</w:t>
                  </w:r>
                </w:p>
              </w:tc>
            </w:tr>
            <w:tr w14:paraId="3E949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12" w:type="dxa"/>
                  <w:vAlign w:val="center"/>
                </w:tcPr>
                <w:p w14:paraId="2C79606B">
                  <w:pPr>
                    <w:pStyle w:val="154"/>
                    <w:rPr>
                      <w:sz w:val="21"/>
                      <w:szCs w:val="21"/>
                    </w:rPr>
                  </w:pPr>
                  <w:r>
                    <w:rPr>
                      <w:sz w:val="21"/>
                      <w:szCs w:val="21"/>
                    </w:rPr>
                    <w:t>辅助工程</w:t>
                  </w:r>
                </w:p>
              </w:tc>
              <w:tc>
                <w:tcPr>
                  <w:tcW w:w="1400" w:type="dxa"/>
                  <w:vAlign w:val="center"/>
                </w:tcPr>
                <w:p w14:paraId="24E5E69C">
                  <w:pPr>
                    <w:pStyle w:val="154"/>
                    <w:rPr>
                      <w:sz w:val="21"/>
                      <w:szCs w:val="21"/>
                    </w:rPr>
                  </w:pPr>
                  <w:r>
                    <w:rPr>
                      <w:sz w:val="21"/>
                      <w:szCs w:val="21"/>
                    </w:rPr>
                    <w:t>办公</w:t>
                  </w:r>
                  <w:r>
                    <w:rPr>
                      <w:rFonts w:hint="eastAsia"/>
                      <w:sz w:val="21"/>
                      <w:szCs w:val="21"/>
                    </w:rPr>
                    <w:t>楼</w:t>
                  </w:r>
                </w:p>
              </w:tc>
              <w:tc>
                <w:tcPr>
                  <w:tcW w:w="5809" w:type="dxa"/>
                  <w:vAlign w:val="center"/>
                </w:tcPr>
                <w:p w14:paraId="62F76B88">
                  <w:pPr>
                    <w:pStyle w:val="154"/>
                    <w:jc w:val="left"/>
                    <w:rPr>
                      <w:sz w:val="21"/>
                      <w:szCs w:val="21"/>
                    </w:rPr>
                  </w:pPr>
                  <w:r>
                    <w:rPr>
                      <w:rFonts w:hint="eastAsia"/>
                      <w:sz w:val="21"/>
                      <w:szCs w:val="21"/>
                    </w:rPr>
                    <w:t>共四层，</w:t>
                  </w:r>
                  <w:r>
                    <w:rPr>
                      <w:sz w:val="21"/>
                      <w:szCs w:val="21"/>
                    </w:rPr>
                    <w:t>砖混结构，H=</w:t>
                  </w:r>
                  <w:r>
                    <w:rPr>
                      <w:rFonts w:hint="eastAsia"/>
                      <w:sz w:val="21"/>
                      <w:szCs w:val="21"/>
                    </w:rPr>
                    <w:t>13</w:t>
                  </w:r>
                  <w:r>
                    <w:rPr>
                      <w:sz w:val="21"/>
                      <w:szCs w:val="21"/>
                    </w:rPr>
                    <w:t>m</w:t>
                  </w:r>
                  <w:r>
                    <w:rPr>
                      <w:rFonts w:hint="eastAsia"/>
                      <w:sz w:val="21"/>
                      <w:szCs w:val="21"/>
                    </w:rPr>
                    <w:t>，建筑</w:t>
                  </w:r>
                  <w:r>
                    <w:rPr>
                      <w:sz w:val="21"/>
                      <w:szCs w:val="21"/>
                    </w:rPr>
                    <w:t>面积</w:t>
                  </w:r>
                  <w:r>
                    <w:rPr>
                      <w:rFonts w:hint="eastAsia"/>
                      <w:sz w:val="21"/>
                      <w:szCs w:val="21"/>
                    </w:rPr>
                    <w:t>800</w:t>
                  </w:r>
                  <w:r>
                    <w:rPr>
                      <w:sz w:val="21"/>
                      <w:szCs w:val="21"/>
                    </w:rPr>
                    <w:t>m</w:t>
                  </w:r>
                  <w:r>
                    <w:rPr>
                      <w:sz w:val="21"/>
                      <w:szCs w:val="21"/>
                      <w:vertAlign w:val="superscript"/>
                    </w:rPr>
                    <w:t>2</w:t>
                  </w:r>
                  <w:r>
                    <w:rPr>
                      <w:sz w:val="21"/>
                      <w:szCs w:val="21"/>
                    </w:rPr>
                    <w:t>，位于厂区</w:t>
                  </w:r>
                  <w:r>
                    <w:rPr>
                      <w:rFonts w:hint="eastAsia"/>
                      <w:sz w:val="21"/>
                      <w:szCs w:val="21"/>
                    </w:rPr>
                    <w:t>入口的东</w:t>
                  </w:r>
                  <w:r>
                    <w:rPr>
                      <w:sz w:val="21"/>
                      <w:szCs w:val="21"/>
                    </w:rPr>
                    <w:t>侧</w:t>
                  </w:r>
                  <w:r>
                    <w:rPr>
                      <w:rFonts w:hint="eastAsia"/>
                      <w:sz w:val="21"/>
                      <w:szCs w:val="21"/>
                    </w:rPr>
                    <w:t>和西侧。</w:t>
                  </w:r>
                </w:p>
              </w:tc>
              <w:tc>
                <w:tcPr>
                  <w:tcW w:w="1120" w:type="dxa"/>
                  <w:vAlign w:val="center"/>
                </w:tcPr>
                <w:p w14:paraId="38BB99DA">
                  <w:pPr>
                    <w:pStyle w:val="154"/>
                    <w:rPr>
                      <w:sz w:val="21"/>
                      <w:szCs w:val="21"/>
                    </w:rPr>
                  </w:pPr>
                  <w:r>
                    <w:rPr>
                      <w:sz w:val="21"/>
                      <w:szCs w:val="21"/>
                    </w:rPr>
                    <w:t>租赁现有</w:t>
                  </w:r>
                  <w:r>
                    <w:rPr>
                      <w:rFonts w:hint="eastAsia"/>
                      <w:sz w:val="21"/>
                      <w:szCs w:val="21"/>
                    </w:rPr>
                    <w:t>厂房</w:t>
                  </w:r>
                </w:p>
              </w:tc>
            </w:tr>
            <w:tr w14:paraId="0FC48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12" w:type="dxa"/>
                  <w:vMerge w:val="restart"/>
                  <w:vAlign w:val="center"/>
                </w:tcPr>
                <w:p w14:paraId="14DA5652">
                  <w:pPr>
                    <w:pStyle w:val="154"/>
                    <w:rPr>
                      <w:sz w:val="21"/>
                      <w:szCs w:val="21"/>
                    </w:rPr>
                  </w:pPr>
                  <w:r>
                    <w:rPr>
                      <w:sz w:val="21"/>
                      <w:szCs w:val="21"/>
                    </w:rPr>
                    <w:t>公用工程</w:t>
                  </w:r>
                </w:p>
              </w:tc>
              <w:tc>
                <w:tcPr>
                  <w:tcW w:w="1400" w:type="dxa"/>
                  <w:vAlign w:val="center"/>
                </w:tcPr>
                <w:p w14:paraId="3D9346F6">
                  <w:pPr>
                    <w:pStyle w:val="154"/>
                    <w:rPr>
                      <w:sz w:val="21"/>
                      <w:szCs w:val="21"/>
                    </w:rPr>
                  </w:pPr>
                  <w:r>
                    <w:rPr>
                      <w:sz w:val="21"/>
                      <w:szCs w:val="21"/>
                    </w:rPr>
                    <w:t>供水</w:t>
                  </w:r>
                </w:p>
              </w:tc>
              <w:tc>
                <w:tcPr>
                  <w:tcW w:w="5809" w:type="dxa"/>
                  <w:vAlign w:val="center"/>
                </w:tcPr>
                <w:p w14:paraId="3D8A4B8A">
                  <w:pPr>
                    <w:pStyle w:val="154"/>
                    <w:jc w:val="left"/>
                    <w:rPr>
                      <w:sz w:val="21"/>
                      <w:szCs w:val="21"/>
                    </w:rPr>
                  </w:pPr>
                  <w:r>
                    <w:rPr>
                      <w:sz w:val="21"/>
                      <w:szCs w:val="21"/>
                    </w:rPr>
                    <w:t>由山化镇东屯村自来水管网供给</w:t>
                  </w:r>
                  <w:r>
                    <w:rPr>
                      <w:rFonts w:hint="eastAsia"/>
                      <w:sz w:val="21"/>
                      <w:szCs w:val="21"/>
                    </w:rPr>
                    <w:t>。</w:t>
                  </w:r>
                </w:p>
              </w:tc>
              <w:tc>
                <w:tcPr>
                  <w:tcW w:w="1120" w:type="dxa"/>
                  <w:vAlign w:val="center"/>
                </w:tcPr>
                <w:p w14:paraId="29793F6C">
                  <w:pPr>
                    <w:pStyle w:val="154"/>
                    <w:rPr>
                      <w:sz w:val="21"/>
                      <w:szCs w:val="21"/>
                    </w:rPr>
                  </w:pPr>
                  <w:r>
                    <w:rPr>
                      <w:sz w:val="21"/>
                      <w:szCs w:val="21"/>
                    </w:rPr>
                    <w:t>依托厂区现有</w:t>
                  </w:r>
                </w:p>
              </w:tc>
            </w:tr>
            <w:tr w14:paraId="32277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12" w:type="dxa"/>
                  <w:vMerge w:val="continue"/>
                  <w:vAlign w:val="center"/>
                </w:tcPr>
                <w:p w14:paraId="79C892AF">
                  <w:pPr>
                    <w:pStyle w:val="154"/>
                    <w:rPr>
                      <w:sz w:val="21"/>
                      <w:szCs w:val="21"/>
                    </w:rPr>
                  </w:pPr>
                </w:p>
              </w:tc>
              <w:tc>
                <w:tcPr>
                  <w:tcW w:w="1400" w:type="dxa"/>
                  <w:vAlign w:val="center"/>
                </w:tcPr>
                <w:p w14:paraId="37652CEB">
                  <w:pPr>
                    <w:pStyle w:val="154"/>
                    <w:rPr>
                      <w:sz w:val="21"/>
                      <w:szCs w:val="21"/>
                    </w:rPr>
                  </w:pPr>
                  <w:r>
                    <w:rPr>
                      <w:sz w:val="21"/>
                      <w:szCs w:val="21"/>
                    </w:rPr>
                    <w:t>供电</w:t>
                  </w:r>
                </w:p>
              </w:tc>
              <w:tc>
                <w:tcPr>
                  <w:tcW w:w="5809" w:type="dxa"/>
                  <w:vAlign w:val="center"/>
                </w:tcPr>
                <w:p w14:paraId="41147FCD">
                  <w:pPr>
                    <w:pStyle w:val="154"/>
                    <w:jc w:val="left"/>
                    <w:rPr>
                      <w:sz w:val="21"/>
                      <w:szCs w:val="21"/>
                    </w:rPr>
                  </w:pPr>
                  <w:r>
                    <w:rPr>
                      <w:sz w:val="21"/>
                      <w:szCs w:val="21"/>
                    </w:rPr>
                    <w:t>由山化镇供电系统供给</w:t>
                  </w:r>
                  <w:r>
                    <w:rPr>
                      <w:rFonts w:hint="eastAsia"/>
                      <w:sz w:val="21"/>
                      <w:szCs w:val="21"/>
                    </w:rPr>
                    <w:t>。</w:t>
                  </w:r>
                </w:p>
              </w:tc>
              <w:tc>
                <w:tcPr>
                  <w:tcW w:w="1120" w:type="dxa"/>
                  <w:vAlign w:val="center"/>
                </w:tcPr>
                <w:p w14:paraId="36A192A0">
                  <w:pPr>
                    <w:pStyle w:val="154"/>
                    <w:rPr>
                      <w:sz w:val="21"/>
                      <w:szCs w:val="21"/>
                    </w:rPr>
                  </w:pPr>
                  <w:r>
                    <w:rPr>
                      <w:sz w:val="21"/>
                      <w:szCs w:val="21"/>
                    </w:rPr>
                    <w:t>依托厂区现有</w:t>
                  </w:r>
                </w:p>
              </w:tc>
            </w:tr>
            <w:tr w14:paraId="1CFAA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12" w:type="dxa"/>
                  <w:vMerge w:val="continue"/>
                  <w:vAlign w:val="center"/>
                </w:tcPr>
                <w:p w14:paraId="505ADE60">
                  <w:pPr>
                    <w:pStyle w:val="154"/>
                    <w:rPr>
                      <w:sz w:val="21"/>
                      <w:szCs w:val="21"/>
                    </w:rPr>
                  </w:pPr>
                </w:p>
              </w:tc>
              <w:tc>
                <w:tcPr>
                  <w:tcW w:w="1400" w:type="dxa"/>
                  <w:vAlign w:val="center"/>
                </w:tcPr>
                <w:p w14:paraId="4BA84241">
                  <w:pPr>
                    <w:pStyle w:val="154"/>
                    <w:rPr>
                      <w:sz w:val="21"/>
                      <w:szCs w:val="21"/>
                    </w:rPr>
                  </w:pPr>
                  <w:r>
                    <w:rPr>
                      <w:sz w:val="21"/>
                      <w:szCs w:val="21"/>
                    </w:rPr>
                    <w:t>排水</w:t>
                  </w:r>
                </w:p>
              </w:tc>
              <w:tc>
                <w:tcPr>
                  <w:tcW w:w="5809" w:type="dxa"/>
                  <w:vAlign w:val="center"/>
                </w:tcPr>
                <w:p w14:paraId="0402F88F">
                  <w:pPr>
                    <w:pStyle w:val="154"/>
                    <w:jc w:val="left"/>
                    <w:rPr>
                      <w:sz w:val="21"/>
                      <w:szCs w:val="21"/>
                    </w:rPr>
                  </w:pPr>
                  <w:r>
                    <w:rPr>
                      <w:rFonts w:hint="eastAsia"/>
                      <w:sz w:val="21"/>
                      <w:szCs w:val="21"/>
                    </w:rPr>
                    <w:t>本项目采取雨污分流方式，雨水通过雨水管网进入中州渠</w:t>
                  </w:r>
                  <w:r>
                    <w:rPr>
                      <w:sz w:val="21"/>
                      <w:szCs w:val="21"/>
                    </w:rPr>
                    <w:t>人工湿地</w:t>
                  </w:r>
                  <w:r>
                    <w:rPr>
                      <w:rFonts w:hint="eastAsia"/>
                      <w:sz w:val="21"/>
                      <w:szCs w:val="21"/>
                    </w:rPr>
                    <w:t>；</w:t>
                  </w:r>
                  <w:r>
                    <w:rPr>
                      <w:sz w:val="21"/>
                      <w:szCs w:val="21"/>
                    </w:rPr>
                    <w:t>循环冷却水每日补充损耗水量，循环使用，不排放；生活污水</w:t>
                  </w:r>
                  <w:r>
                    <w:rPr>
                      <w:rFonts w:hint="eastAsia"/>
                      <w:sz w:val="21"/>
                      <w:szCs w:val="21"/>
                    </w:rPr>
                    <w:t>经</w:t>
                  </w:r>
                  <w:r>
                    <w:rPr>
                      <w:sz w:val="21"/>
                      <w:szCs w:val="21"/>
                    </w:rPr>
                    <w:t>厂区现有化粪池处理，由总排口外排经市政污水管网排入洛阳市中州渠人工湿地。</w:t>
                  </w:r>
                </w:p>
              </w:tc>
              <w:tc>
                <w:tcPr>
                  <w:tcW w:w="1120" w:type="dxa"/>
                  <w:vAlign w:val="center"/>
                </w:tcPr>
                <w:p w14:paraId="49EFD7B9">
                  <w:pPr>
                    <w:pStyle w:val="154"/>
                    <w:rPr>
                      <w:sz w:val="21"/>
                      <w:szCs w:val="21"/>
                    </w:rPr>
                  </w:pPr>
                  <w:r>
                    <w:rPr>
                      <w:sz w:val="21"/>
                      <w:szCs w:val="21"/>
                    </w:rPr>
                    <w:t>依托厂区现有</w:t>
                  </w:r>
                </w:p>
              </w:tc>
            </w:tr>
            <w:tr w14:paraId="3338D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2" w:type="dxa"/>
                  <w:vMerge w:val="restart"/>
                  <w:vAlign w:val="center"/>
                </w:tcPr>
                <w:p w14:paraId="6B449616">
                  <w:pPr>
                    <w:pStyle w:val="154"/>
                    <w:rPr>
                      <w:sz w:val="21"/>
                      <w:szCs w:val="21"/>
                    </w:rPr>
                  </w:pPr>
                  <w:r>
                    <w:rPr>
                      <w:sz w:val="21"/>
                      <w:szCs w:val="21"/>
                    </w:rPr>
                    <w:t>环保工程</w:t>
                  </w:r>
                </w:p>
              </w:tc>
              <w:tc>
                <w:tcPr>
                  <w:tcW w:w="1400" w:type="dxa"/>
                  <w:vAlign w:val="center"/>
                </w:tcPr>
                <w:p w14:paraId="6F890535">
                  <w:pPr>
                    <w:pStyle w:val="154"/>
                    <w:rPr>
                      <w:sz w:val="21"/>
                      <w:szCs w:val="21"/>
                    </w:rPr>
                  </w:pPr>
                  <w:r>
                    <w:rPr>
                      <w:sz w:val="21"/>
                      <w:szCs w:val="21"/>
                    </w:rPr>
                    <w:t>废气治理</w:t>
                  </w:r>
                </w:p>
              </w:tc>
              <w:tc>
                <w:tcPr>
                  <w:tcW w:w="5809" w:type="dxa"/>
                  <w:vAlign w:val="center"/>
                </w:tcPr>
                <w:p w14:paraId="3F6001F4">
                  <w:pPr>
                    <w:pStyle w:val="154"/>
                    <w:jc w:val="both"/>
                    <w:rPr>
                      <w:b/>
                      <w:sz w:val="21"/>
                      <w:szCs w:val="21"/>
                      <w:u w:val="single"/>
                    </w:rPr>
                  </w:pPr>
                  <w:r>
                    <w:rPr>
                      <w:b/>
                      <w:sz w:val="21"/>
                      <w:szCs w:val="21"/>
                      <w:u w:val="single"/>
                    </w:rPr>
                    <w:t>注</w:t>
                  </w:r>
                  <w:r>
                    <w:rPr>
                      <w:rFonts w:hint="eastAsia"/>
                      <w:b/>
                      <w:sz w:val="21"/>
                      <w:szCs w:val="21"/>
                      <w:u w:val="single"/>
                    </w:rPr>
                    <w:t>塑工艺生产线混合搅拌、破碎过程中产生的含尘、VOCs废气</w:t>
                  </w:r>
                  <w:r>
                    <w:rPr>
                      <w:b/>
                      <w:sz w:val="21"/>
                      <w:szCs w:val="21"/>
                      <w:u w:val="single"/>
                    </w:rPr>
                    <w:t>通过1套</w:t>
                  </w:r>
                  <w:r>
                    <w:rPr>
                      <w:rFonts w:hint="eastAsia"/>
                      <w:b/>
                      <w:sz w:val="21"/>
                      <w:szCs w:val="21"/>
                      <w:u w:val="single"/>
                    </w:rPr>
                    <w:t>覆膜</w:t>
                  </w:r>
                  <w:r>
                    <w:rPr>
                      <w:b/>
                      <w:sz w:val="21"/>
                      <w:szCs w:val="21"/>
                      <w:u w:val="single"/>
                    </w:rPr>
                    <w:t>袋式除尘器</w:t>
                  </w:r>
                  <w:r>
                    <w:rPr>
                      <w:rFonts w:hint="eastAsia"/>
                      <w:b/>
                      <w:sz w:val="21"/>
                      <w:szCs w:val="21"/>
                      <w:u w:val="single"/>
                    </w:rPr>
                    <w:t>处理后，与注塑过程中产生的废气共同</w:t>
                  </w:r>
                  <w:r>
                    <w:rPr>
                      <w:b/>
                      <w:sz w:val="21"/>
                      <w:szCs w:val="21"/>
                      <w:u w:val="single"/>
                    </w:rPr>
                    <w:t>进入</w:t>
                  </w:r>
                  <w:r>
                    <w:rPr>
                      <w:rFonts w:hint="eastAsia"/>
                      <w:b/>
                      <w:sz w:val="21"/>
                      <w:szCs w:val="21"/>
                      <w:u w:val="single"/>
                    </w:rPr>
                    <w:t>主管道；聚氨酯工艺生产线过程中产生的废气进入主管道；鞋面布激光切割产生废气进入主管道；三者合并后经过1套两级活性炭吸附工艺处理通过18m高排气筒（DA001）排放。</w:t>
                  </w:r>
                </w:p>
              </w:tc>
              <w:tc>
                <w:tcPr>
                  <w:tcW w:w="1120" w:type="dxa"/>
                  <w:vAlign w:val="center"/>
                </w:tcPr>
                <w:p w14:paraId="5FD29379">
                  <w:pPr>
                    <w:pStyle w:val="154"/>
                    <w:rPr>
                      <w:sz w:val="21"/>
                      <w:szCs w:val="21"/>
                    </w:rPr>
                  </w:pPr>
                  <w:r>
                    <w:rPr>
                      <w:sz w:val="21"/>
                      <w:szCs w:val="21"/>
                    </w:rPr>
                    <w:t>新建</w:t>
                  </w:r>
                </w:p>
              </w:tc>
            </w:tr>
            <w:tr w14:paraId="6DD0C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2" w:type="dxa"/>
                  <w:vMerge w:val="continue"/>
                  <w:vAlign w:val="center"/>
                </w:tcPr>
                <w:p w14:paraId="322921F3">
                  <w:pPr>
                    <w:pStyle w:val="154"/>
                    <w:rPr>
                      <w:sz w:val="21"/>
                      <w:szCs w:val="21"/>
                    </w:rPr>
                  </w:pPr>
                </w:p>
              </w:tc>
              <w:tc>
                <w:tcPr>
                  <w:tcW w:w="1400" w:type="dxa"/>
                  <w:vAlign w:val="center"/>
                </w:tcPr>
                <w:p w14:paraId="1A20AC18">
                  <w:pPr>
                    <w:pStyle w:val="154"/>
                    <w:rPr>
                      <w:sz w:val="21"/>
                      <w:szCs w:val="21"/>
                    </w:rPr>
                  </w:pPr>
                  <w:r>
                    <w:rPr>
                      <w:sz w:val="21"/>
                      <w:szCs w:val="21"/>
                    </w:rPr>
                    <w:t>噪声治理</w:t>
                  </w:r>
                </w:p>
              </w:tc>
              <w:tc>
                <w:tcPr>
                  <w:tcW w:w="5809" w:type="dxa"/>
                  <w:vAlign w:val="center"/>
                </w:tcPr>
                <w:p w14:paraId="17A06BC5">
                  <w:pPr>
                    <w:pStyle w:val="154"/>
                    <w:jc w:val="left"/>
                    <w:rPr>
                      <w:sz w:val="21"/>
                      <w:szCs w:val="21"/>
                    </w:rPr>
                  </w:pPr>
                  <w:r>
                    <w:rPr>
                      <w:sz w:val="21"/>
                      <w:szCs w:val="21"/>
                    </w:rPr>
                    <w:t>基础减振、厂房隔声</w:t>
                  </w:r>
                  <w:r>
                    <w:rPr>
                      <w:rFonts w:hint="eastAsia"/>
                      <w:sz w:val="21"/>
                      <w:szCs w:val="21"/>
                    </w:rPr>
                    <w:t>。</w:t>
                  </w:r>
                </w:p>
              </w:tc>
              <w:tc>
                <w:tcPr>
                  <w:tcW w:w="1120" w:type="dxa"/>
                  <w:vAlign w:val="center"/>
                </w:tcPr>
                <w:p w14:paraId="531ECB52">
                  <w:pPr>
                    <w:pStyle w:val="154"/>
                    <w:rPr>
                      <w:sz w:val="21"/>
                      <w:szCs w:val="21"/>
                    </w:rPr>
                  </w:pPr>
                  <w:r>
                    <w:rPr>
                      <w:sz w:val="21"/>
                      <w:szCs w:val="21"/>
                    </w:rPr>
                    <w:t>依托现有</w:t>
                  </w:r>
                </w:p>
              </w:tc>
            </w:tr>
            <w:tr w14:paraId="71B5F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12" w:type="dxa"/>
                  <w:vMerge w:val="continue"/>
                  <w:vAlign w:val="center"/>
                </w:tcPr>
                <w:p w14:paraId="665EE32F">
                  <w:pPr>
                    <w:pStyle w:val="154"/>
                    <w:rPr>
                      <w:sz w:val="21"/>
                      <w:szCs w:val="21"/>
                    </w:rPr>
                  </w:pPr>
                </w:p>
              </w:tc>
              <w:tc>
                <w:tcPr>
                  <w:tcW w:w="1400" w:type="dxa"/>
                  <w:vAlign w:val="center"/>
                </w:tcPr>
                <w:p w14:paraId="21480A6B">
                  <w:pPr>
                    <w:pStyle w:val="154"/>
                    <w:rPr>
                      <w:sz w:val="21"/>
                      <w:szCs w:val="21"/>
                    </w:rPr>
                  </w:pPr>
                  <w:r>
                    <w:rPr>
                      <w:sz w:val="21"/>
                      <w:szCs w:val="21"/>
                    </w:rPr>
                    <w:t>固废治理</w:t>
                  </w:r>
                </w:p>
              </w:tc>
              <w:tc>
                <w:tcPr>
                  <w:tcW w:w="5809" w:type="dxa"/>
                </w:tcPr>
                <w:p w14:paraId="366980A0">
                  <w:pPr>
                    <w:pStyle w:val="154"/>
                    <w:jc w:val="left"/>
                    <w:rPr>
                      <w:sz w:val="21"/>
                      <w:szCs w:val="21"/>
                    </w:rPr>
                  </w:pPr>
                  <w:r>
                    <w:rPr>
                      <w:sz w:val="21"/>
                      <w:szCs w:val="21"/>
                    </w:rPr>
                    <w:t>（1）一般固废</w:t>
                  </w:r>
                </w:p>
                <w:p w14:paraId="15D241DB">
                  <w:pPr>
                    <w:pStyle w:val="154"/>
                    <w:jc w:val="left"/>
                    <w:rPr>
                      <w:sz w:val="21"/>
                      <w:szCs w:val="21"/>
                    </w:rPr>
                  </w:pPr>
                  <w:r>
                    <w:rPr>
                      <w:sz w:val="21"/>
                      <w:szCs w:val="21"/>
                    </w:rPr>
                    <w:t>废包装材料</w:t>
                  </w:r>
                  <w:r>
                    <w:rPr>
                      <w:rFonts w:hint="eastAsia"/>
                      <w:sz w:val="21"/>
                      <w:szCs w:val="21"/>
                    </w:rPr>
                    <w:t>、废包装桶（A料、C料）、废PU边角料、废滤袋</w:t>
                  </w:r>
                  <w:r>
                    <w:rPr>
                      <w:sz w:val="21"/>
                      <w:szCs w:val="21"/>
                    </w:rPr>
                    <w:t>：收集后集中暂存于一般固废暂存区，定期外售给回收企业。</w:t>
                  </w:r>
                </w:p>
                <w:p w14:paraId="03CABDE1">
                  <w:pPr>
                    <w:pStyle w:val="154"/>
                    <w:jc w:val="left"/>
                    <w:rPr>
                      <w:sz w:val="21"/>
                      <w:szCs w:val="21"/>
                    </w:rPr>
                  </w:pPr>
                  <w:r>
                    <w:rPr>
                      <w:sz w:val="21"/>
                      <w:szCs w:val="21"/>
                    </w:rPr>
                    <w:t>生活垃圾：集中收集后交由环卫部门统一清运。</w:t>
                  </w:r>
                </w:p>
                <w:p w14:paraId="5FC0D868">
                  <w:pPr>
                    <w:pStyle w:val="154"/>
                    <w:jc w:val="left"/>
                    <w:rPr>
                      <w:sz w:val="21"/>
                      <w:szCs w:val="21"/>
                    </w:rPr>
                  </w:pPr>
                  <w:r>
                    <w:rPr>
                      <w:sz w:val="21"/>
                      <w:szCs w:val="21"/>
                    </w:rPr>
                    <w:t>（2）危险废物</w:t>
                  </w:r>
                </w:p>
                <w:p w14:paraId="6EBF7740">
                  <w:pPr>
                    <w:pStyle w:val="154"/>
                    <w:jc w:val="left"/>
                    <w:rPr>
                      <w:sz w:val="21"/>
                      <w:szCs w:val="21"/>
                    </w:rPr>
                  </w:pPr>
                  <w:r>
                    <w:rPr>
                      <w:rFonts w:hint="eastAsia"/>
                      <w:sz w:val="21"/>
                      <w:szCs w:val="21"/>
                    </w:rPr>
                    <w:t>设置一间危险废物暂存间（占地10</w:t>
                  </w:r>
                  <w:r>
                    <w:rPr>
                      <w:sz w:val="21"/>
                      <w:szCs w:val="21"/>
                    </w:rPr>
                    <w:t>m</w:t>
                  </w:r>
                  <w:r>
                    <w:rPr>
                      <w:sz w:val="21"/>
                      <w:szCs w:val="21"/>
                      <w:vertAlign w:val="superscript"/>
                    </w:rPr>
                    <w:t>2</w:t>
                  </w:r>
                  <w:r>
                    <w:rPr>
                      <w:rFonts w:hint="eastAsia"/>
                      <w:sz w:val="21"/>
                      <w:szCs w:val="21"/>
                    </w:rPr>
                    <w:t>、位于厂区东北角），危险废物集中收集暂存，定期委托有资质单位进行处置。</w:t>
                  </w:r>
                </w:p>
              </w:tc>
              <w:tc>
                <w:tcPr>
                  <w:tcW w:w="1120" w:type="dxa"/>
                  <w:vAlign w:val="center"/>
                </w:tcPr>
                <w:p w14:paraId="5B5F445D">
                  <w:pPr>
                    <w:pStyle w:val="154"/>
                    <w:rPr>
                      <w:sz w:val="21"/>
                      <w:szCs w:val="21"/>
                    </w:rPr>
                  </w:pPr>
                  <w:r>
                    <w:rPr>
                      <w:sz w:val="21"/>
                      <w:szCs w:val="21"/>
                    </w:rPr>
                    <w:t>新建</w:t>
                  </w:r>
                </w:p>
              </w:tc>
            </w:tr>
            <w:tr w14:paraId="64E5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12" w:type="dxa"/>
                  <w:vAlign w:val="center"/>
                </w:tcPr>
                <w:p w14:paraId="2DFF2462">
                  <w:pPr>
                    <w:pStyle w:val="154"/>
                    <w:rPr>
                      <w:sz w:val="21"/>
                      <w:szCs w:val="21"/>
                    </w:rPr>
                  </w:pPr>
                  <w:r>
                    <w:rPr>
                      <w:sz w:val="21"/>
                      <w:szCs w:val="21"/>
                    </w:rPr>
                    <w:t>其它</w:t>
                  </w:r>
                </w:p>
              </w:tc>
              <w:tc>
                <w:tcPr>
                  <w:tcW w:w="1400" w:type="dxa"/>
                  <w:vAlign w:val="center"/>
                </w:tcPr>
                <w:p w14:paraId="34212D1A">
                  <w:pPr>
                    <w:pStyle w:val="154"/>
                    <w:rPr>
                      <w:sz w:val="21"/>
                      <w:szCs w:val="21"/>
                    </w:rPr>
                  </w:pPr>
                  <w:r>
                    <w:rPr>
                      <w:sz w:val="21"/>
                      <w:szCs w:val="21"/>
                    </w:rPr>
                    <w:t>风险</w:t>
                  </w:r>
                </w:p>
              </w:tc>
              <w:tc>
                <w:tcPr>
                  <w:tcW w:w="5809" w:type="dxa"/>
                </w:tcPr>
                <w:p w14:paraId="47E09AA9">
                  <w:pPr>
                    <w:pStyle w:val="154"/>
                    <w:jc w:val="left"/>
                    <w:rPr>
                      <w:sz w:val="21"/>
                      <w:szCs w:val="21"/>
                    </w:rPr>
                  </w:pPr>
                  <w:r>
                    <w:rPr>
                      <w:rFonts w:hint="eastAsia" w:ascii="宋体" w:hAnsi="宋体" w:cs="宋体"/>
                      <w:sz w:val="21"/>
                      <w:szCs w:val="21"/>
                    </w:rPr>
                    <w:t>①</w:t>
                  </w:r>
                  <w:r>
                    <w:rPr>
                      <w:sz w:val="21"/>
                      <w:szCs w:val="21"/>
                    </w:rPr>
                    <w:t>原料进厂前须进行严格检验数量、质量、包装情况、是否泄漏；对设备、管线、泵等定期检查、保养、维修；遵守各项规章制度和操作规程，严格执行岗位责任制，加强培训教育和考核工作。</w:t>
                  </w:r>
                </w:p>
                <w:p w14:paraId="20E72437">
                  <w:pPr>
                    <w:pStyle w:val="154"/>
                    <w:jc w:val="left"/>
                    <w:rPr>
                      <w:sz w:val="21"/>
                      <w:szCs w:val="21"/>
                    </w:rPr>
                  </w:pPr>
                  <w:r>
                    <w:rPr>
                      <w:rFonts w:hint="eastAsia" w:ascii="宋体" w:hAnsi="宋体" w:cs="宋体"/>
                      <w:sz w:val="21"/>
                      <w:szCs w:val="21"/>
                    </w:rPr>
                    <w:t>②</w:t>
                  </w:r>
                  <w:r>
                    <w:rPr>
                      <w:sz w:val="21"/>
                      <w:szCs w:val="21"/>
                    </w:rPr>
                    <w:t>危废暂存间内涂刷防渗层，四周设置围堰（围堰高20cm）。</w:t>
                  </w:r>
                </w:p>
                <w:p w14:paraId="428C0411">
                  <w:pPr>
                    <w:pStyle w:val="154"/>
                    <w:jc w:val="left"/>
                    <w:rPr>
                      <w:sz w:val="21"/>
                      <w:szCs w:val="21"/>
                    </w:rPr>
                  </w:pPr>
                  <w:r>
                    <w:rPr>
                      <w:rFonts w:hint="eastAsia"/>
                      <w:sz w:val="21"/>
                      <w:szCs w:val="21"/>
                    </w:rPr>
                    <w:t>③生产车间内单独设置液体料库，专用于储存二丁酯，液体料库内设置围堰（20cm），并进行防渗处理。</w:t>
                  </w:r>
                </w:p>
                <w:p w14:paraId="49204C75">
                  <w:pPr>
                    <w:pStyle w:val="154"/>
                    <w:jc w:val="left"/>
                    <w:rPr>
                      <w:sz w:val="21"/>
                      <w:szCs w:val="21"/>
                    </w:rPr>
                  </w:pPr>
                  <w:r>
                    <w:rPr>
                      <w:rFonts w:hint="eastAsia" w:cs="宋体"/>
                      <w:sz w:val="21"/>
                      <w:szCs w:val="21"/>
                    </w:rPr>
                    <w:t>④</w:t>
                  </w:r>
                  <w:r>
                    <w:rPr>
                      <w:sz w:val="21"/>
                      <w:szCs w:val="21"/>
                    </w:rPr>
                    <w:t>厂区内严禁明火，应配置足量的相应灭火设备，定期检查灭火状态及其有效期等。</w:t>
                  </w:r>
                </w:p>
                <w:p w14:paraId="701E713B">
                  <w:pPr>
                    <w:pStyle w:val="154"/>
                    <w:jc w:val="left"/>
                    <w:rPr>
                      <w:sz w:val="21"/>
                      <w:szCs w:val="21"/>
                    </w:rPr>
                  </w:pPr>
                  <w:r>
                    <w:rPr>
                      <w:rFonts w:hint="eastAsia" w:cs="宋体"/>
                      <w:sz w:val="21"/>
                      <w:szCs w:val="21"/>
                    </w:rPr>
                    <w:t>⑤</w:t>
                  </w:r>
                  <w:r>
                    <w:rPr>
                      <w:sz w:val="21"/>
                      <w:szCs w:val="21"/>
                    </w:rPr>
                    <w:t>厂区还应配备应急桶、防护口罩、防毒面具、防护手套等应急物资。</w:t>
                  </w:r>
                </w:p>
              </w:tc>
              <w:tc>
                <w:tcPr>
                  <w:tcW w:w="1120" w:type="dxa"/>
                  <w:vAlign w:val="center"/>
                </w:tcPr>
                <w:p w14:paraId="38F837E7">
                  <w:pPr>
                    <w:pStyle w:val="154"/>
                    <w:rPr>
                      <w:sz w:val="21"/>
                      <w:szCs w:val="21"/>
                    </w:rPr>
                  </w:pPr>
                  <w:r>
                    <w:rPr>
                      <w:sz w:val="21"/>
                      <w:szCs w:val="21"/>
                    </w:rPr>
                    <w:t>新建</w:t>
                  </w:r>
                </w:p>
              </w:tc>
            </w:tr>
          </w:tbl>
          <w:p w14:paraId="7BC2DBC5">
            <w:pPr>
              <w:pStyle w:val="157"/>
            </w:pPr>
            <w:r>
              <w:t>3、产品方案及规模</w:t>
            </w:r>
          </w:p>
          <w:p w14:paraId="422D3626">
            <w:pPr>
              <w:pStyle w:val="182"/>
              <w:ind w:firstLine="480"/>
            </w:pPr>
            <w:r>
              <w:t xml:space="preserve">表2- </w:t>
            </w:r>
            <w:r>
              <w:rPr>
                <w:rFonts w:hint="eastAsia"/>
              </w:rPr>
              <w:t>3</w:t>
            </w:r>
            <w:r>
              <w:t xml:space="preserve">                本项目产品方案</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246"/>
              <w:gridCol w:w="1309"/>
              <w:gridCol w:w="1674"/>
              <w:gridCol w:w="3812"/>
            </w:tblGrid>
            <w:tr w14:paraId="15CCF5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1242" w:type="pct"/>
                  <w:vAlign w:val="center"/>
                </w:tcPr>
                <w:p w14:paraId="4D1E24EE">
                  <w:pPr>
                    <w:pStyle w:val="154"/>
                    <w:rPr>
                      <w:sz w:val="21"/>
                      <w:szCs w:val="21"/>
                    </w:rPr>
                  </w:pPr>
                  <w:r>
                    <w:rPr>
                      <w:sz w:val="21"/>
                      <w:szCs w:val="21"/>
                    </w:rPr>
                    <w:t>产品名称</w:t>
                  </w:r>
                </w:p>
              </w:tc>
              <w:tc>
                <w:tcPr>
                  <w:tcW w:w="724" w:type="pct"/>
                  <w:vAlign w:val="center"/>
                </w:tcPr>
                <w:p w14:paraId="00D9E40B">
                  <w:pPr>
                    <w:pStyle w:val="154"/>
                    <w:rPr>
                      <w:sz w:val="21"/>
                      <w:szCs w:val="21"/>
                    </w:rPr>
                  </w:pPr>
                  <w:r>
                    <w:rPr>
                      <w:sz w:val="21"/>
                      <w:szCs w:val="21"/>
                    </w:rPr>
                    <w:t>产量</w:t>
                  </w:r>
                </w:p>
              </w:tc>
              <w:tc>
                <w:tcPr>
                  <w:tcW w:w="926" w:type="pct"/>
                </w:tcPr>
                <w:p w14:paraId="1034A089">
                  <w:pPr>
                    <w:pStyle w:val="154"/>
                    <w:rPr>
                      <w:sz w:val="21"/>
                      <w:szCs w:val="21"/>
                    </w:rPr>
                  </w:pPr>
                  <w:r>
                    <w:rPr>
                      <w:sz w:val="21"/>
                      <w:szCs w:val="21"/>
                    </w:rPr>
                    <w:t>规格型号</w:t>
                  </w:r>
                </w:p>
              </w:tc>
              <w:tc>
                <w:tcPr>
                  <w:tcW w:w="2108" w:type="pct"/>
                </w:tcPr>
                <w:p w14:paraId="7A4C88E9">
                  <w:pPr>
                    <w:pStyle w:val="154"/>
                    <w:rPr>
                      <w:sz w:val="21"/>
                      <w:szCs w:val="21"/>
                    </w:rPr>
                  </w:pPr>
                  <w:r>
                    <w:rPr>
                      <w:sz w:val="21"/>
                      <w:szCs w:val="21"/>
                    </w:rPr>
                    <w:t>备注</w:t>
                  </w:r>
                </w:p>
              </w:tc>
            </w:tr>
            <w:tr w14:paraId="09B4F2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 w:hRule="atLeast"/>
                <w:jc w:val="center"/>
              </w:trPr>
              <w:tc>
                <w:tcPr>
                  <w:tcW w:w="1242" w:type="pct"/>
                  <w:vAlign w:val="center"/>
                </w:tcPr>
                <w:p w14:paraId="23325791">
                  <w:pPr>
                    <w:pStyle w:val="154"/>
                    <w:rPr>
                      <w:sz w:val="21"/>
                      <w:szCs w:val="21"/>
                    </w:rPr>
                  </w:pPr>
                  <w:r>
                    <w:rPr>
                      <w:sz w:val="21"/>
                      <w:szCs w:val="21"/>
                    </w:rPr>
                    <w:t>注塑工艺鞋底片</w:t>
                  </w:r>
                </w:p>
              </w:tc>
              <w:tc>
                <w:tcPr>
                  <w:tcW w:w="724" w:type="pct"/>
                  <w:vAlign w:val="center"/>
                </w:tcPr>
                <w:p w14:paraId="48FF842C">
                  <w:pPr>
                    <w:pStyle w:val="154"/>
                    <w:rPr>
                      <w:sz w:val="21"/>
                      <w:szCs w:val="21"/>
                    </w:rPr>
                  </w:pPr>
                  <w:r>
                    <w:rPr>
                      <w:rFonts w:hint="eastAsia"/>
                      <w:sz w:val="21"/>
                      <w:szCs w:val="21"/>
                    </w:rPr>
                    <w:t>100</w:t>
                  </w:r>
                  <w:r>
                    <w:rPr>
                      <w:sz w:val="21"/>
                      <w:szCs w:val="21"/>
                    </w:rPr>
                    <w:t>万双/a</w:t>
                  </w:r>
                </w:p>
              </w:tc>
              <w:tc>
                <w:tcPr>
                  <w:tcW w:w="926" w:type="pct"/>
                  <w:vAlign w:val="center"/>
                </w:tcPr>
                <w:p w14:paraId="0F3570F8">
                  <w:pPr>
                    <w:pStyle w:val="154"/>
                    <w:rPr>
                      <w:sz w:val="21"/>
                      <w:szCs w:val="21"/>
                    </w:rPr>
                  </w:pPr>
                  <w:r>
                    <w:rPr>
                      <w:sz w:val="21"/>
                      <w:szCs w:val="21"/>
                    </w:rPr>
                    <w:t>35~46码</w:t>
                  </w:r>
                </w:p>
              </w:tc>
              <w:tc>
                <w:tcPr>
                  <w:tcW w:w="2108" w:type="pct"/>
                </w:tcPr>
                <w:p w14:paraId="73026587">
                  <w:pPr>
                    <w:pStyle w:val="154"/>
                    <w:rPr>
                      <w:sz w:val="21"/>
                      <w:szCs w:val="21"/>
                    </w:rPr>
                  </w:pPr>
                  <w:r>
                    <w:rPr>
                      <w:sz w:val="21"/>
                      <w:szCs w:val="21"/>
                    </w:rPr>
                    <w:t>全部外售企业，作为注塑鞋的防滑鞋底</w:t>
                  </w:r>
                </w:p>
              </w:tc>
            </w:tr>
            <w:tr w14:paraId="686A20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 w:hRule="atLeast"/>
                <w:jc w:val="center"/>
              </w:trPr>
              <w:tc>
                <w:tcPr>
                  <w:tcW w:w="1242" w:type="pct"/>
                  <w:vAlign w:val="center"/>
                </w:tcPr>
                <w:p w14:paraId="5478F3C4">
                  <w:pPr>
                    <w:pStyle w:val="154"/>
                    <w:rPr>
                      <w:sz w:val="21"/>
                      <w:szCs w:val="21"/>
                    </w:rPr>
                  </w:pPr>
                  <w:r>
                    <w:rPr>
                      <w:rFonts w:hint="eastAsia"/>
                      <w:sz w:val="21"/>
                      <w:szCs w:val="21"/>
                    </w:rPr>
                    <w:t>聚氨酯浇注工艺布鞋</w:t>
                  </w:r>
                </w:p>
              </w:tc>
              <w:tc>
                <w:tcPr>
                  <w:tcW w:w="724" w:type="pct"/>
                  <w:vAlign w:val="center"/>
                </w:tcPr>
                <w:p w14:paraId="1AE96253">
                  <w:pPr>
                    <w:pStyle w:val="154"/>
                    <w:rPr>
                      <w:sz w:val="21"/>
                      <w:szCs w:val="21"/>
                    </w:rPr>
                  </w:pPr>
                  <w:r>
                    <w:rPr>
                      <w:rFonts w:hint="eastAsia"/>
                      <w:sz w:val="21"/>
                      <w:szCs w:val="21"/>
                    </w:rPr>
                    <w:t>50</w:t>
                  </w:r>
                  <w:r>
                    <w:rPr>
                      <w:sz w:val="21"/>
                      <w:szCs w:val="21"/>
                    </w:rPr>
                    <w:t>万双/a</w:t>
                  </w:r>
                </w:p>
              </w:tc>
              <w:tc>
                <w:tcPr>
                  <w:tcW w:w="926" w:type="pct"/>
                  <w:vAlign w:val="center"/>
                </w:tcPr>
                <w:p w14:paraId="02461272">
                  <w:pPr>
                    <w:pStyle w:val="154"/>
                    <w:rPr>
                      <w:sz w:val="21"/>
                      <w:szCs w:val="21"/>
                    </w:rPr>
                  </w:pPr>
                  <w:r>
                    <w:rPr>
                      <w:sz w:val="21"/>
                      <w:szCs w:val="21"/>
                    </w:rPr>
                    <w:t>35~46码</w:t>
                  </w:r>
                </w:p>
              </w:tc>
              <w:tc>
                <w:tcPr>
                  <w:tcW w:w="2108" w:type="pct"/>
                </w:tcPr>
                <w:p w14:paraId="4D3D21AD">
                  <w:pPr>
                    <w:pStyle w:val="154"/>
                    <w:rPr>
                      <w:sz w:val="21"/>
                      <w:szCs w:val="21"/>
                    </w:rPr>
                  </w:pPr>
                  <w:r>
                    <w:rPr>
                      <w:sz w:val="21"/>
                      <w:szCs w:val="21"/>
                    </w:rPr>
                    <w:t>成品聚氨酯鞋底布鞋</w:t>
                  </w:r>
                </w:p>
              </w:tc>
            </w:tr>
          </w:tbl>
          <w:p w14:paraId="68F1E2BB">
            <w:pPr>
              <w:pStyle w:val="157"/>
            </w:pPr>
            <w:r>
              <w:t>4、主要原辅料及能源消耗</w:t>
            </w:r>
          </w:p>
          <w:p w14:paraId="4248861B">
            <w:pPr>
              <w:pStyle w:val="156"/>
              <w:tabs>
                <w:tab w:val="left" w:pos="2490"/>
              </w:tabs>
              <w:ind w:firstLine="480"/>
              <w:rPr>
                <w:rFonts w:eastAsia="宋体" w:cs="Times New Roman"/>
              </w:rPr>
            </w:pPr>
            <w:r>
              <w:rPr>
                <w:rFonts w:eastAsia="宋体" w:cs="Times New Roman"/>
              </w:rPr>
              <w:t>（1）主要原辅料</w:t>
            </w:r>
            <w:r>
              <w:rPr>
                <w:rFonts w:eastAsia="宋体" w:cs="Times New Roman"/>
              </w:rPr>
              <w:tab/>
            </w:r>
          </w:p>
          <w:p w14:paraId="1EA8D060">
            <w:pPr>
              <w:pStyle w:val="182"/>
              <w:ind w:firstLine="480"/>
            </w:pPr>
            <w:r>
              <w:t xml:space="preserve">表2- </w:t>
            </w:r>
            <w:r>
              <w:rPr>
                <w:rFonts w:hint="eastAsia"/>
              </w:rPr>
              <w:t>4</w:t>
            </w:r>
            <w:r>
              <w:t xml:space="preserve">            本项目主要原辅料用量表</w:t>
            </w:r>
          </w:p>
          <w:tbl>
            <w:tblPr>
              <w:tblStyle w:val="88"/>
              <w:tblW w:w="902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16"/>
              <w:gridCol w:w="1012"/>
              <w:gridCol w:w="1612"/>
              <w:gridCol w:w="1133"/>
              <w:gridCol w:w="4651"/>
            </w:tblGrid>
            <w:tr w14:paraId="5E8CEE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6E55F2F6">
                  <w:pPr>
                    <w:pStyle w:val="154"/>
                    <w:rPr>
                      <w:sz w:val="21"/>
                      <w:szCs w:val="21"/>
                    </w:rPr>
                  </w:pPr>
                  <w:r>
                    <w:rPr>
                      <w:sz w:val="21"/>
                      <w:szCs w:val="21"/>
                    </w:rPr>
                    <w:t>序号</w:t>
                  </w:r>
                </w:p>
              </w:tc>
              <w:tc>
                <w:tcPr>
                  <w:tcW w:w="561" w:type="pct"/>
                  <w:tcBorders>
                    <w:right w:val="single" w:color="auto" w:sz="6" w:space="0"/>
                  </w:tcBorders>
                  <w:vAlign w:val="center"/>
                </w:tcPr>
                <w:p w14:paraId="5B49E800">
                  <w:pPr>
                    <w:pStyle w:val="154"/>
                    <w:rPr>
                      <w:sz w:val="21"/>
                      <w:szCs w:val="21"/>
                    </w:rPr>
                  </w:pPr>
                  <w:r>
                    <w:rPr>
                      <w:sz w:val="21"/>
                      <w:szCs w:val="21"/>
                    </w:rPr>
                    <w:t>产品</w:t>
                  </w:r>
                </w:p>
              </w:tc>
              <w:tc>
                <w:tcPr>
                  <w:tcW w:w="893" w:type="pct"/>
                  <w:tcBorders>
                    <w:left w:val="single" w:color="auto" w:sz="6" w:space="0"/>
                  </w:tcBorders>
                  <w:vAlign w:val="center"/>
                </w:tcPr>
                <w:p w14:paraId="061C2AAC">
                  <w:pPr>
                    <w:pStyle w:val="154"/>
                    <w:rPr>
                      <w:sz w:val="21"/>
                      <w:szCs w:val="21"/>
                    </w:rPr>
                  </w:pPr>
                  <w:r>
                    <w:rPr>
                      <w:sz w:val="21"/>
                      <w:szCs w:val="21"/>
                    </w:rPr>
                    <w:t>原料名称</w:t>
                  </w:r>
                </w:p>
              </w:tc>
              <w:tc>
                <w:tcPr>
                  <w:tcW w:w="628" w:type="pct"/>
                  <w:tcBorders>
                    <w:right w:val="single" w:color="auto" w:sz="6" w:space="0"/>
                  </w:tcBorders>
                  <w:vAlign w:val="center"/>
                </w:tcPr>
                <w:p w14:paraId="17CCB0F5">
                  <w:pPr>
                    <w:pStyle w:val="154"/>
                    <w:rPr>
                      <w:sz w:val="21"/>
                      <w:szCs w:val="21"/>
                    </w:rPr>
                  </w:pPr>
                  <w:r>
                    <w:rPr>
                      <w:sz w:val="21"/>
                      <w:szCs w:val="21"/>
                    </w:rPr>
                    <w:t>年用量</w:t>
                  </w:r>
                </w:p>
              </w:tc>
              <w:tc>
                <w:tcPr>
                  <w:tcW w:w="2578" w:type="pct"/>
                  <w:vAlign w:val="center"/>
                </w:tcPr>
                <w:p w14:paraId="37BFBE31">
                  <w:pPr>
                    <w:pStyle w:val="154"/>
                    <w:rPr>
                      <w:sz w:val="21"/>
                      <w:szCs w:val="21"/>
                    </w:rPr>
                  </w:pPr>
                  <w:r>
                    <w:rPr>
                      <w:sz w:val="21"/>
                      <w:szCs w:val="21"/>
                    </w:rPr>
                    <w:t>备注</w:t>
                  </w:r>
                </w:p>
              </w:tc>
            </w:tr>
            <w:tr w14:paraId="6E307B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8" w:hRule="atLeast"/>
                <w:jc w:val="center"/>
              </w:trPr>
              <w:tc>
                <w:tcPr>
                  <w:tcW w:w="341" w:type="pct"/>
                  <w:vAlign w:val="center"/>
                </w:tcPr>
                <w:p w14:paraId="02BC4AD5">
                  <w:pPr>
                    <w:pStyle w:val="154"/>
                    <w:rPr>
                      <w:sz w:val="21"/>
                      <w:szCs w:val="21"/>
                    </w:rPr>
                  </w:pPr>
                  <w:r>
                    <w:rPr>
                      <w:sz w:val="21"/>
                      <w:szCs w:val="21"/>
                    </w:rPr>
                    <w:t>1</w:t>
                  </w:r>
                </w:p>
              </w:tc>
              <w:tc>
                <w:tcPr>
                  <w:tcW w:w="561" w:type="pct"/>
                  <w:vMerge w:val="restart"/>
                  <w:tcBorders>
                    <w:right w:val="single" w:color="auto" w:sz="6" w:space="0"/>
                  </w:tcBorders>
                  <w:vAlign w:val="center"/>
                </w:tcPr>
                <w:p w14:paraId="290D1199">
                  <w:pPr>
                    <w:pStyle w:val="154"/>
                    <w:rPr>
                      <w:sz w:val="21"/>
                      <w:szCs w:val="21"/>
                    </w:rPr>
                  </w:pPr>
                  <w:r>
                    <w:rPr>
                      <w:sz w:val="21"/>
                      <w:szCs w:val="21"/>
                    </w:rPr>
                    <w:t>注塑工艺</w:t>
                  </w:r>
                  <w:r>
                    <w:rPr>
                      <w:rFonts w:hint="eastAsia"/>
                      <w:color w:val="000000" w:themeColor="text1"/>
                      <w:sz w:val="21"/>
                      <w:szCs w:val="21"/>
                    </w:rPr>
                    <w:t>鞋底片</w:t>
                  </w:r>
                </w:p>
              </w:tc>
              <w:tc>
                <w:tcPr>
                  <w:tcW w:w="893" w:type="pct"/>
                  <w:tcBorders>
                    <w:left w:val="single" w:color="auto" w:sz="6" w:space="0"/>
                    <w:right w:val="single" w:color="auto" w:sz="4" w:space="0"/>
                  </w:tcBorders>
                  <w:vAlign w:val="center"/>
                </w:tcPr>
                <w:p w14:paraId="76F3192B">
                  <w:pPr>
                    <w:pStyle w:val="154"/>
                    <w:rPr>
                      <w:sz w:val="21"/>
                      <w:szCs w:val="21"/>
                    </w:rPr>
                  </w:pPr>
                  <w:r>
                    <w:rPr>
                      <w:sz w:val="21"/>
                      <w:szCs w:val="21"/>
                    </w:rPr>
                    <w:t>PVC树脂</w:t>
                  </w:r>
                </w:p>
              </w:tc>
              <w:tc>
                <w:tcPr>
                  <w:tcW w:w="628" w:type="pct"/>
                  <w:tcBorders>
                    <w:left w:val="single" w:color="auto" w:sz="4" w:space="0"/>
                    <w:right w:val="single" w:color="auto" w:sz="6" w:space="0"/>
                  </w:tcBorders>
                  <w:vAlign w:val="center"/>
                </w:tcPr>
                <w:p w14:paraId="7E477D37">
                  <w:pPr>
                    <w:pStyle w:val="154"/>
                    <w:rPr>
                      <w:sz w:val="21"/>
                      <w:szCs w:val="21"/>
                    </w:rPr>
                  </w:pPr>
                  <w:r>
                    <w:rPr>
                      <w:rFonts w:hint="eastAsia"/>
                      <w:sz w:val="21"/>
                      <w:szCs w:val="21"/>
                    </w:rPr>
                    <w:t>52</w:t>
                  </w:r>
                  <w:r>
                    <w:rPr>
                      <w:sz w:val="21"/>
                      <w:szCs w:val="21"/>
                    </w:rPr>
                    <w:t>t/a</w:t>
                  </w:r>
                </w:p>
              </w:tc>
              <w:tc>
                <w:tcPr>
                  <w:tcW w:w="2578" w:type="pct"/>
                  <w:tcBorders>
                    <w:left w:val="single" w:color="auto" w:sz="6" w:space="0"/>
                  </w:tcBorders>
                  <w:vAlign w:val="center"/>
                </w:tcPr>
                <w:p w14:paraId="5EDB130E">
                  <w:pPr>
                    <w:pStyle w:val="154"/>
                    <w:rPr>
                      <w:sz w:val="21"/>
                      <w:szCs w:val="21"/>
                    </w:rPr>
                  </w:pPr>
                  <w:r>
                    <w:rPr>
                      <w:sz w:val="21"/>
                      <w:szCs w:val="21"/>
                    </w:rPr>
                    <w:t>/</w:t>
                  </w:r>
                </w:p>
              </w:tc>
            </w:tr>
            <w:tr w14:paraId="02EA42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21B1E4DB">
                  <w:pPr>
                    <w:pStyle w:val="154"/>
                    <w:rPr>
                      <w:sz w:val="21"/>
                      <w:szCs w:val="21"/>
                    </w:rPr>
                  </w:pPr>
                  <w:r>
                    <w:rPr>
                      <w:sz w:val="21"/>
                      <w:szCs w:val="21"/>
                    </w:rPr>
                    <w:t>2</w:t>
                  </w:r>
                </w:p>
              </w:tc>
              <w:tc>
                <w:tcPr>
                  <w:tcW w:w="561" w:type="pct"/>
                  <w:vMerge w:val="continue"/>
                  <w:tcBorders>
                    <w:right w:val="single" w:color="auto" w:sz="6" w:space="0"/>
                  </w:tcBorders>
                  <w:vAlign w:val="center"/>
                </w:tcPr>
                <w:p w14:paraId="6ED9AC4C">
                  <w:pPr>
                    <w:pStyle w:val="154"/>
                    <w:rPr>
                      <w:sz w:val="21"/>
                      <w:szCs w:val="21"/>
                    </w:rPr>
                  </w:pPr>
                </w:p>
              </w:tc>
              <w:tc>
                <w:tcPr>
                  <w:tcW w:w="893" w:type="pct"/>
                  <w:tcBorders>
                    <w:left w:val="single" w:color="auto" w:sz="6" w:space="0"/>
                    <w:right w:val="single" w:color="auto" w:sz="4" w:space="0"/>
                  </w:tcBorders>
                  <w:vAlign w:val="center"/>
                </w:tcPr>
                <w:p w14:paraId="48591EF6">
                  <w:pPr>
                    <w:pStyle w:val="154"/>
                    <w:rPr>
                      <w:sz w:val="21"/>
                      <w:szCs w:val="21"/>
                    </w:rPr>
                  </w:pPr>
                  <w:r>
                    <w:rPr>
                      <w:sz w:val="21"/>
                      <w:szCs w:val="21"/>
                    </w:rPr>
                    <w:t>二丁酯（DBP）</w:t>
                  </w:r>
                </w:p>
              </w:tc>
              <w:tc>
                <w:tcPr>
                  <w:tcW w:w="628" w:type="pct"/>
                  <w:tcBorders>
                    <w:left w:val="single" w:color="auto" w:sz="4" w:space="0"/>
                    <w:right w:val="single" w:color="auto" w:sz="6" w:space="0"/>
                  </w:tcBorders>
                  <w:vAlign w:val="center"/>
                </w:tcPr>
                <w:p w14:paraId="78816F49">
                  <w:pPr>
                    <w:pStyle w:val="154"/>
                    <w:rPr>
                      <w:sz w:val="21"/>
                      <w:szCs w:val="21"/>
                    </w:rPr>
                  </w:pPr>
                  <w:r>
                    <w:rPr>
                      <w:rFonts w:hint="eastAsia"/>
                      <w:sz w:val="21"/>
                      <w:szCs w:val="21"/>
                    </w:rPr>
                    <w:t>13.3t</w:t>
                  </w:r>
                  <w:r>
                    <w:rPr>
                      <w:sz w:val="21"/>
                      <w:szCs w:val="21"/>
                    </w:rPr>
                    <w:t>/a</w:t>
                  </w:r>
                </w:p>
              </w:tc>
              <w:tc>
                <w:tcPr>
                  <w:tcW w:w="2578" w:type="pct"/>
                  <w:tcBorders>
                    <w:left w:val="single" w:color="auto" w:sz="6" w:space="0"/>
                  </w:tcBorders>
                  <w:vAlign w:val="center"/>
                </w:tcPr>
                <w:p w14:paraId="0E8F31E8">
                  <w:pPr>
                    <w:pStyle w:val="154"/>
                    <w:rPr>
                      <w:sz w:val="21"/>
                      <w:szCs w:val="21"/>
                    </w:rPr>
                  </w:pPr>
                  <w:r>
                    <w:rPr>
                      <w:sz w:val="21"/>
                      <w:szCs w:val="21"/>
                    </w:rPr>
                    <w:t>液体，桶装，200kg/桶</w:t>
                  </w:r>
                </w:p>
              </w:tc>
            </w:tr>
            <w:tr w14:paraId="4F592E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37307323">
                  <w:pPr>
                    <w:pStyle w:val="154"/>
                    <w:rPr>
                      <w:sz w:val="21"/>
                      <w:szCs w:val="21"/>
                    </w:rPr>
                  </w:pPr>
                  <w:r>
                    <w:rPr>
                      <w:sz w:val="21"/>
                      <w:szCs w:val="21"/>
                    </w:rPr>
                    <w:t>3</w:t>
                  </w:r>
                </w:p>
              </w:tc>
              <w:tc>
                <w:tcPr>
                  <w:tcW w:w="561" w:type="pct"/>
                  <w:vMerge w:val="continue"/>
                  <w:tcBorders>
                    <w:right w:val="single" w:color="auto" w:sz="6" w:space="0"/>
                  </w:tcBorders>
                  <w:vAlign w:val="center"/>
                </w:tcPr>
                <w:p w14:paraId="59626924">
                  <w:pPr>
                    <w:pStyle w:val="154"/>
                    <w:rPr>
                      <w:sz w:val="21"/>
                      <w:szCs w:val="21"/>
                    </w:rPr>
                  </w:pPr>
                </w:p>
              </w:tc>
              <w:tc>
                <w:tcPr>
                  <w:tcW w:w="893" w:type="pct"/>
                  <w:tcBorders>
                    <w:left w:val="single" w:color="auto" w:sz="6" w:space="0"/>
                    <w:right w:val="single" w:color="auto" w:sz="4" w:space="0"/>
                  </w:tcBorders>
                  <w:vAlign w:val="center"/>
                </w:tcPr>
                <w:p w14:paraId="62C6B98A">
                  <w:pPr>
                    <w:pStyle w:val="154"/>
                    <w:rPr>
                      <w:sz w:val="21"/>
                      <w:szCs w:val="21"/>
                    </w:rPr>
                  </w:pPr>
                  <w:r>
                    <w:rPr>
                      <w:sz w:val="21"/>
                      <w:szCs w:val="21"/>
                    </w:rPr>
                    <w:t>钙粉</w:t>
                  </w:r>
                </w:p>
              </w:tc>
              <w:tc>
                <w:tcPr>
                  <w:tcW w:w="628" w:type="pct"/>
                  <w:tcBorders>
                    <w:left w:val="single" w:color="auto" w:sz="4" w:space="0"/>
                    <w:right w:val="single" w:color="auto" w:sz="6" w:space="0"/>
                  </w:tcBorders>
                  <w:vAlign w:val="center"/>
                </w:tcPr>
                <w:p w14:paraId="17BBA8CD">
                  <w:pPr>
                    <w:pStyle w:val="154"/>
                    <w:rPr>
                      <w:sz w:val="21"/>
                      <w:szCs w:val="21"/>
                    </w:rPr>
                  </w:pPr>
                  <w:r>
                    <w:rPr>
                      <w:rFonts w:hint="eastAsia"/>
                      <w:sz w:val="21"/>
                      <w:szCs w:val="21"/>
                    </w:rPr>
                    <w:t>28t/a</w:t>
                  </w:r>
                </w:p>
              </w:tc>
              <w:tc>
                <w:tcPr>
                  <w:tcW w:w="2578" w:type="pct"/>
                  <w:tcBorders>
                    <w:left w:val="single" w:color="auto" w:sz="6" w:space="0"/>
                  </w:tcBorders>
                  <w:vAlign w:val="center"/>
                </w:tcPr>
                <w:p w14:paraId="7CA48025">
                  <w:pPr>
                    <w:pStyle w:val="154"/>
                    <w:rPr>
                      <w:sz w:val="21"/>
                      <w:szCs w:val="21"/>
                    </w:rPr>
                  </w:pPr>
                  <w:r>
                    <w:rPr>
                      <w:sz w:val="21"/>
                      <w:szCs w:val="21"/>
                    </w:rPr>
                    <w:t>粉状，袋装，25kg/袋</w:t>
                  </w:r>
                </w:p>
              </w:tc>
            </w:tr>
            <w:tr w14:paraId="493B7E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4B0D8E1B">
                  <w:pPr>
                    <w:pStyle w:val="154"/>
                    <w:rPr>
                      <w:sz w:val="21"/>
                      <w:szCs w:val="21"/>
                    </w:rPr>
                  </w:pPr>
                  <w:r>
                    <w:rPr>
                      <w:sz w:val="21"/>
                      <w:szCs w:val="21"/>
                    </w:rPr>
                    <w:t>4</w:t>
                  </w:r>
                </w:p>
              </w:tc>
              <w:tc>
                <w:tcPr>
                  <w:tcW w:w="561" w:type="pct"/>
                  <w:vMerge w:val="continue"/>
                  <w:tcBorders>
                    <w:right w:val="single" w:color="auto" w:sz="6" w:space="0"/>
                  </w:tcBorders>
                  <w:vAlign w:val="center"/>
                </w:tcPr>
                <w:p w14:paraId="6E928589">
                  <w:pPr>
                    <w:pStyle w:val="154"/>
                    <w:rPr>
                      <w:sz w:val="21"/>
                      <w:szCs w:val="21"/>
                    </w:rPr>
                  </w:pPr>
                </w:p>
              </w:tc>
              <w:tc>
                <w:tcPr>
                  <w:tcW w:w="893" w:type="pct"/>
                  <w:tcBorders>
                    <w:left w:val="single" w:color="auto" w:sz="6" w:space="0"/>
                    <w:right w:val="single" w:color="auto" w:sz="4" w:space="0"/>
                  </w:tcBorders>
                  <w:vAlign w:val="center"/>
                </w:tcPr>
                <w:p w14:paraId="26415E2D">
                  <w:pPr>
                    <w:pStyle w:val="154"/>
                    <w:rPr>
                      <w:sz w:val="21"/>
                      <w:szCs w:val="21"/>
                    </w:rPr>
                  </w:pPr>
                  <w:r>
                    <w:rPr>
                      <w:sz w:val="21"/>
                      <w:szCs w:val="21"/>
                    </w:rPr>
                    <w:t>硬脂酸</w:t>
                  </w:r>
                </w:p>
              </w:tc>
              <w:tc>
                <w:tcPr>
                  <w:tcW w:w="628" w:type="pct"/>
                  <w:tcBorders>
                    <w:left w:val="single" w:color="auto" w:sz="4" w:space="0"/>
                    <w:right w:val="single" w:color="auto" w:sz="6" w:space="0"/>
                  </w:tcBorders>
                  <w:vAlign w:val="center"/>
                </w:tcPr>
                <w:p w14:paraId="7F6E628F">
                  <w:pPr>
                    <w:pStyle w:val="154"/>
                    <w:rPr>
                      <w:sz w:val="21"/>
                      <w:szCs w:val="21"/>
                    </w:rPr>
                  </w:pPr>
                  <w:r>
                    <w:rPr>
                      <w:rFonts w:hint="eastAsia"/>
                      <w:sz w:val="21"/>
                      <w:szCs w:val="21"/>
                    </w:rPr>
                    <w:t>4.7</w:t>
                  </w:r>
                  <w:r>
                    <w:rPr>
                      <w:sz w:val="21"/>
                      <w:szCs w:val="21"/>
                    </w:rPr>
                    <w:t>t/a</w:t>
                  </w:r>
                </w:p>
              </w:tc>
              <w:tc>
                <w:tcPr>
                  <w:tcW w:w="2578" w:type="pct"/>
                  <w:tcBorders>
                    <w:left w:val="single" w:color="auto" w:sz="6" w:space="0"/>
                  </w:tcBorders>
                  <w:vAlign w:val="center"/>
                </w:tcPr>
                <w:p w14:paraId="2E1689F8">
                  <w:pPr>
                    <w:pStyle w:val="154"/>
                    <w:rPr>
                      <w:sz w:val="21"/>
                      <w:szCs w:val="21"/>
                    </w:rPr>
                  </w:pPr>
                  <w:r>
                    <w:rPr>
                      <w:sz w:val="21"/>
                      <w:szCs w:val="21"/>
                    </w:rPr>
                    <w:t>颗粒，袋装，25kg/袋</w:t>
                  </w:r>
                </w:p>
              </w:tc>
            </w:tr>
            <w:tr w14:paraId="6B28D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78FCB06F">
                  <w:pPr>
                    <w:pStyle w:val="154"/>
                    <w:rPr>
                      <w:sz w:val="21"/>
                      <w:szCs w:val="21"/>
                    </w:rPr>
                  </w:pPr>
                  <w:r>
                    <w:rPr>
                      <w:sz w:val="21"/>
                      <w:szCs w:val="21"/>
                    </w:rPr>
                    <w:t>5</w:t>
                  </w:r>
                </w:p>
              </w:tc>
              <w:tc>
                <w:tcPr>
                  <w:tcW w:w="561" w:type="pct"/>
                  <w:vMerge w:val="continue"/>
                  <w:tcBorders>
                    <w:right w:val="single" w:color="auto" w:sz="6" w:space="0"/>
                  </w:tcBorders>
                  <w:vAlign w:val="center"/>
                </w:tcPr>
                <w:p w14:paraId="6E547160">
                  <w:pPr>
                    <w:pStyle w:val="154"/>
                    <w:rPr>
                      <w:sz w:val="21"/>
                      <w:szCs w:val="21"/>
                    </w:rPr>
                  </w:pPr>
                </w:p>
              </w:tc>
              <w:tc>
                <w:tcPr>
                  <w:tcW w:w="893" w:type="pct"/>
                  <w:tcBorders>
                    <w:left w:val="single" w:color="auto" w:sz="6" w:space="0"/>
                    <w:right w:val="single" w:color="auto" w:sz="4" w:space="0"/>
                  </w:tcBorders>
                  <w:vAlign w:val="center"/>
                </w:tcPr>
                <w:p w14:paraId="5695267F">
                  <w:pPr>
                    <w:pStyle w:val="154"/>
                    <w:rPr>
                      <w:sz w:val="21"/>
                      <w:szCs w:val="21"/>
                    </w:rPr>
                  </w:pPr>
                  <w:r>
                    <w:rPr>
                      <w:sz w:val="21"/>
                      <w:szCs w:val="21"/>
                    </w:rPr>
                    <w:t>钛白粉</w:t>
                  </w:r>
                </w:p>
              </w:tc>
              <w:tc>
                <w:tcPr>
                  <w:tcW w:w="628" w:type="pct"/>
                  <w:tcBorders>
                    <w:left w:val="single" w:color="auto" w:sz="4" w:space="0"/>
                    <w:right w:val="single" w:color="auto" w:sz="6" w:space="0"/>
                  </w:tcBorders>
                  <w:vAlign w:val="center"/>
                </w:tcPr>
                <w:p w14:paraId="61EBA263">
                  <w:pPr>
                    <w:pStyle w:val="154"/>
                    <w:rPr>
                      <w:sz w:val="21"/>
                      <w:szCs w:val="21"/>
                    </w:rPr>
                  </w:pPr>
                  <w:r>
                    <w:rPr>
                      <w:rFonts w:hint="eastAsia"/>
                      <w:sz w:val="21"/>
                      <w:szCs w:val="21"/>
                    </w:rPr>
                    <w:t>1.3</w:t>
                  </w:r>
                  <w:r>
                    <w:rPr>
                      <w:sz w:val="21"/>
                      <w:szCs w:val="21"/>
                    </w:rPr>
                    <w:t>t/a</w:t>
                  </w:r>
                </w:p>
              </w:tc>
              <w:tc>
                <w:tcPr>
                  <w:tcW w:w="2578" w:type="pct"/>
                  <w:tcBorders>
                    <w:left w:val="single" w:color="auto" w:sz="6" w:space="0"/>
                  </w:tcBorders>
                  <w:vAlign w:val="center"/>
                </w:tcPr>
                <w:p w14:paraId="208808DF">
                  <w:pPr>
                    <w:pStyle w:val="154"/>
                    <w:rPr>
                      <w:sz w:val="21"/>
                      <w:szCs w:val="21"/>
                    </w:rPr>
                  </w:pPr>
                  <w:r>
                    <w:rPr>
                      <w:sz w:val="21"/>
                      <w:szCs w:val="21"/>
                    </w:rPr>
                    <w:t>粉状，袋装，25kg/袋</w:t>
                  </w:r>
                </w:p>
              </w:tc>
            </w:tr>
            <w:tr w14:paraId="5AB01F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2271C088">
                  <w:pPr>
                    <w:pStyle w:val="154"/>
                    <w:rPr>
                      <w:sz w:val="21"/>
                      <w:szCs w:val="21"/>
                    </w:rPr>
                  </w:pPr>
                  <w:r>
                    <w:rPr>
                      <w:sz w:val="21"/>
                      <w:szCs w:val="21"/>
                    </w:rPr>
                    <w:t>6</w:t>
                  </w:r>
                </w:p>
              </w:tc>
              <w:tc>
                <w:tcPr>
                  <w:tcW w:w="561" w:type="pct"/>
                  <w:vMerge w:val="continue"/>
                  <w:tcBorders>
                    <w:right w:val="single" w:color="auto" w:sz="6" w:space="0"/>
                  </w:tcBorders>
                  <w:vAlign w:val="center"/>
                </w:tcPr>
                <w:p w14:paraId="5AB83CA1">
                  <w:pPr>
                    <w:pStyle w:val="154"/>
                    <w:rPr>
                      <w:sz w:val="21"/>
                      <w:szCs w:val="21"/>
                    </w:rPr>
                  </w:pPr>
                </w:p>
              </w:tc>
              <w:tc>
                <w:tcPr>
                  <w:tcW w:w="893" w:type="pct"/>
                  <w:tcBorders>
                    <w:left w:val="single" w:color="auto" w:sz="6" w:space="0"/>
                    <w:right w:val="single" w:color="auto" w:sz="4" w:space="0"/>
                  </w:tcBorders>
                  <w:vAlign w:val="center"/>
                </w:tcPr>
                <w:p w14:paraId="6CF85C87">
                  <w:pPr>
                    <w:pStyle w:val="154"/>
                    <w:rPr>
                      <w:sz w:val="21"/>
                      <w:szCs w:val="21"/>
                    </w:rPr>
                  </w:pPr>
                  <w:r>
                    <w:rPr>
                      <w:sz w:val="21"/>
                      <w:szCs w:val="21"/>
                    </w:rPr>
                    <w:t>色粉</w:t>
                  </w:r>
                </w:p>
              </w:tc>
              <w:tc>
                <w:tcPr>
                  <w:tcW w:w="628" w:type="pct"/>
                  <w:tcBorders>
                    <w:left w:val="single" w:color="auto" w:sz="4" w:space="0"/>
                    <w:right w:val="single" w:color="auto" w:sz="6" w:space="0"/>
                  </w:tcBorders>
                  <w:vAlign w:val="center"/>
                </w:tcPr>
                <w:p w14:paraId="3CBC57CD">
                  <w:pPr>
                    <w:pStyle w:val="154"/>
                    <w:rPr>
                      <w:sz w:val="21"/>
                      <w:szCs w:val="21"/>
                    </w:rPr>
                  </w:pPr>
                  <w:r>
                    <w:rPr>
                      <w:rFonts w:hint="eastAsia"/>
                      <w:sz w:val="21"/>
                      <w:szCs w:val="21"/>
                    </w:rPr>
                    <w:t>0.7</w:t>
                  </w:r>
                  <w:r>
                    <w:rPr>
                      <w:sz w:val="21"/>
                      <w:szCs w:val="21"/>
                    </w:rPr>
                    <w:t>t/a</w:t>
                  </w:r>
                </w:p>
              </w:tc>
              <w:tc>
                <w:tcPr>
                  <w:tcW w:w="2578" w:type="pct"/>
                  <w:tcBorders>
                    <w:left w:val="single" w:color="auto" w:sz="6" w:space="0"/>
                  </w:tcBorders>
                  <w:vAlign w:val="center"/>
                </w:tcPr>
                <w:p w14:paraId="3B2104DB">
                  <w:pPr>
                    <w:pStyle w:val="154"/>
                    <w:rPr>
                      <w:sz w:val="21"/>
                      <w:szCs w:val="21"/>
                    </w:rPr>
                  </w:pPr>
                  <w:r>
                    <w:rPr>
                      <w:sz w:val="21"/>
                      <w:szCs w:val="21"/>
                    </w:rPr>
                    <w:t>/</w:t>
                  </w:r>
                </w:p>
              </w:tc>
            </w:tr>
            <w:tr w14:paraId="384BAA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37767C91">
                  <w:pPr>
                    <w:pStyle w:val="154"/>
                    <w:rPr>
                      <w:sz w:val="21"/>
                      <w:szCs w:val="21"/>
                    </w:rPr>
                  </w:pPr>
                  <w:r>
                    <w:rPr>
                      <w:rFonts w:hint="eastAsia"/>
                      <w:sz w:val="21"/>
                      <w:szCs w:val="21"/>
                    </w:rPr>
                    <w:t>7</w:t>
                  </w:r>
                </w:p>
              </w:tc>
              <w:tc>
                <w:tcPr>
                  <w:tcW w:w="561" w:type="pct"/>
                  <w:vMerge w:val="restart"/>
                  <w:tcBorders>
                    <w:right w:val="single" w:color="auto" w:sz="6" w:space="0"/>
                  </w:tcBorders>
                  <w:vAlign w:val="center"/>
                </w:tcPr>
                <w:p w14:paraId="089E7CAA">
                  <w:pPr>
                    <w:pStyle w:val="154"/>
                    <w:rPr>
                      <w:sz w:val="21"/>
                      <w:szCs w:val="21"/>
                    </w:rPr>
                  </w:pPr>
                  <w:r>
                    <w:rPr>
                      <w:rFonts w:hint="eastAsia"/>
                      <w:sz w:val="21"/>
                      <w:szCs w:val="21"/>
                    </w:rPr>
                    <w:t>聚氨酯工艺布鞋</w:t>
                  </w:r>
                </w:p>
              </w:tc>
              <w:tc>
                <w:tcPr>
                  <w:tcW w:w="893" w:type="pct"/>
                  <w:tcBorders>
                    <w:left w:val="single" w:color="auto" w:sz="6" w:space="0"/>
                    <w:right w:val="single" w:color="auto" w:sz="4" w:space="0"/>
                  </w:tcBorders>
                  <w:vAlign w:val="center"/>
                </w:tcPr>
                <w:p w14:paraId="2E6FC188">
                  <w:pPr>
                    <w:pStyle w:val="154"/>
                    <w:rPr>
                      <w:sz w:val="21"/>
                      <w:szCs w:val="21"/>
                    </w:rPr>
                  </w:pPr>
                  <w:r>
                    <w:rPr>
                      <w:rFonts w:hint="eastAsia"/>
                      <w:sz w:val="21"/>
                      <w:szCs w:val="21"/>
                    </w:rPr>
                    <w:t>聚氨酯A料</w:t>
                  </w:r>
                </w:p>
              </w:tc>
              <w:tc>
                <w:tcPr>
                  <w:tcW w:w="628" w:type="pct"/>
                  <w:tcBorders>
                    <w:left w:val="single" w:color="auto" w:sz="4" w:space="0"/>
                    <w:right w:val="single" w:color="auto" w:sz="6" w:space="0"/>
                  </w:tcBorders>
                  <w:vAlign w:val="center"/>
                </w:tcPr>
                <w:p w14:paraId="0FB5F9F0">
                  <w:pPr>
                    <w:pStyle w:val="154"/>
                    <w:rPr>
                      <w:sz w:val="21"/>
                      <w:szCs w:val="21"/>
                    </w:rPr>
                  </w:pPr>
                  <w:r>
                    <w:rPr>
                      <w:rFonts w:hint="eastAsia"/>
                      <w:sz w:val="21"/>
                      <w:szCs w:val="21"/>
                    </w:rPr>
                    <w:t>50</w:t>
                  </w:r>
                  <w:r>
                    <w:rPr>
                      <w:sz w:val="21"/>
                      <w:szCs w:val="21"/>
                    </w:rPr>
                    <w:t>t/a</w:t>
                  </w:r>
                </w:p>
              </w:tc>
              <w:tc>
                <w:tcPr>
                  <w:tcW w:w="2578" w:type="pct"/>
                  <w:vMerge w:val="restart"/>
                  <w:tcBorders>
                    <w:left w:val="single" w:color="auto" w:sz="6" w:space="0"/>
                  </w:tcBorders>
                  <w:vAlign w:val="center"/>
                </w:tcPr>
                <w:p w14:paraId="6BDA0953">
                  <w:pPr>
                    <w:pStyle w:val="154"/>
                    <w:rPr>
                      <w:sz w:val="21"/>
                      <w:szCs w:val="21"/>
                    </w:rPr>
                  </w:pPr>
                  <w:r>
                    <w:rPr>
                      <w:rFonts w:hint="eastAsia"/>
                      <w:sz w:val="21"/>
                      <w:szCs w:val="21"/>
                    </w:rPr>
                    <w:t>A料、B料、C料以1：1:0.02混合比例，20kg/桶</w:t>
                  </w:r>
                </w:p>
              </w:tc>
            </w:tr>
            <w:tr w14:paraId="4EF446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65AA25BD">
                  <w:pPr>
                    <w:pStyle w:val="154"/>
                    <w:rPr>
                      <w:sz w:val="21"/>
                      <w:szCs w:val="21"/>
                    </w:rPr>
                  </w:pPr>
                  <w:r>
                    <w:rPr>
                      <w:rFonts w:hint="eastAsia"/>
                      <w:sz w:val="21"/>
                      <w:szCs w:val="21"/>
                    </w:rPr>
                    <w:t>8</w:t>
                  </w:r>
                </w:p>
              </w:tc>
              <w:tc>
                <w:tcPr>
                  <w:tcW w:w="561" w:type="pct"/>
                  <w:vMerge w:val="continue"/>
                  <w:tcBorders>
                    <w:right w:val="single" w:color="auto" w:sz="6" w:space="0"/>
                  </w:tcBorders>
                  <w:vAlign w:val="center"/>
                </w:tcPr>
                <w:p w14:paraId="0AFEE8FE">
                  <w:pPr>
                    <w:pStyle w:val="154"/>
                    <w:rPr>
                      <w:sz w:val="21"/>
                      <w:szCs w:val="21"/>
                    </w:rPr>
                  </w:pPr>
                </w:p>
              </w:tc>
              <w:tc>
                <w:tcPr>
                  <w:tcW w:w="893" w:type="pct"/>
                  <w:tcBorders>
                    <w:left w:val="single" w:color="auto" w:sz="6" w:space="0"/>
                    <w:right w:val="single" w:color="auto" w:sz="4" w:space="0"/>
                  </w:tcBorders>
                  <w:vAlign w:val="center"/>
                </w:tcPr>
                <w:p w14:paraId="5742CF5E">
                  <w:pPr>
                    <w:pStyle w:val="154"/>
                    <w:rPr>
                      <w:sz w:val="21"/>
                      <w:szCs w:val="21"/>
                    </w:rPr>
                  </w:pPr>
                  <w:r>
                    <w:rPr>
                      <w:rFonts w:hint="eastAsia"/>
                      <w:sz w:val="21"/>
                      <w:szCs w:val="21"/>
                    </w:rPr>
                    <w:t>聚氨酯B料</w:t>
                  </w:r>
                </w:p>
              </w:tc>
              <w:tc>
                <w:tcPr>
                  <w:tcW w:w="628" w:type="pct"/>
                  <w:tcBorders>
                    <w:left w:val="single" w:color="auto" w:sz="4" w:space="0"/>
                    <w:right w:val="single" w:color="auto" w:sz="6" w:space="0"/>
                  </w:tcBorders>
                  <w:vAlign w:val="center"/>
                </w:tcPr>
                <w:p w14:paraId="3D3BCA3E">
                  <w:pPr>
                    <w:pStyle w:val="154"/>
                    <w:rPr>
                      <w:sz w:val="21"/>
                      <w:szCs w:val="21"/>
                    </w:rPr>
                  </w:pPr>
                  <w:r>
                    <w:rPr>
                      <w:rFonts w:hint="eastAsia"/>
                      <w:sz w:val="21"/>
                      <w:szCs w:val="21"/>
                    </w:rPr>
                    <w:t>50</w:t>
                  </w:r>
                  <w:r>
                    <w:rPr>
                      <w:sz w:val="21"/>
                      <w:szCs w:val="21"/>
                    </w:rPr>
                    <w:t>t/a</w:t>
                  </w:r>
                </w:p>
              </w:tc>
              <w:tc>
                <w:tcPr>
                  <w:tcW w:w="2578" w:type="pct"/>
                  <w:vMerge w:val="continue"/>
                  <w:tcBorders>
                    <w:left w:val="single" w:color="auto" w:sz="6" w:space="0"/>
                  </w:tcBorders>
                  <w:vAlign w:val="center"/>
                </w:tcPr>
                <w:p w14:paraId="06208042">
                  <w:pPr>
                    <w:pStyle w:val="154"/>
                    <w:rPr>
                      <w:sz w:val="21"/>
                      <w:szCs w:val="21"/>
                    </w:rPr>
                  </w:pPr>
                </w:p>
              </w:tc>
            </w:tr>
            <w:tr w14:paraId="4D5BC7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11F3E66C">
                  <w:pPr>
                    <w:pStyle w:val="154"/>
                    <w:rPr>
                      <w:sz w:val="21"/>
                      <w:szCs w:val="21"/>
                    </w:rPr>
                  </w:pPr>
                  <w:r>
                    <w:rPr>
                      <w:rFonts w:hint="eastAsia"/>
                      <w:sz w:val="21"/>
                      <w:szCs w:val="21"/>
                    </w:rPr>
                    <w:t>9</w:t>
                  </w:r>
                </w:p>
              </w:tc>
              <w:tc>
                <w:tcPr>
                  <w:tcW w:w="561" w:type="pct"/>
                  <w:vMerge w:val="continue"/>
                  <w:tcBorders>
                    <w:right w:val="single" w:color="auto" w:sz="6" w:space="0"/>
                  </w:tcBorders>
                  <w:vAlign w:val="center"/>
                </w:tcPr>
                <w:p w14:paraId="60943D18">
                  <w:pPr>
                    <w:pStyle w:val="154"/>
                    <w:rPr>
                      <w:sz w:val="21"/>
                      <w:szCs w:val="21"/>
                    </w:rPr>
                  </w:pPr>
                </w:p>
              </w:tc>
              <w:tc>
                <w:tcPr>
                  <w:tcW w:w="893" w:type="pct"/>
                  <w:tcBorders>
                    <w:left w:val="single" w:color="auto" w:sz="6" w:space="0"/>
                    <w:right w:val="single" w:color="auto" w:sz="4" w:space="0"/>
                  </w:tcBorders>
                  <w:vAlign w:val="center"/>
                </w:tcPr>
                <w:p w14:paraId="54BDBEDF">
                  <w:pPr>
                    <w:pStyle w:val="154"/>
                    <w:rPr>
                      <w:sz w:val="21"/>
                      <w:szCs w:val="21"/>
                    </w:rPr>
                  </w:pPr>
                  <w:r>
                    <w:rPr>
                      <w:rFonts w:hint="eastAsia"/>
                      <w:sz w:val="21"/>
                      <w:szCs w:val="21"/>
                    </w:rPr>
                    <w:t>聚氨酯C料</w:t>
                  </w:r>
                </w:p>
              </w:tc>
              <w:tc>
                <w:tcPr>
                  <w:tcW w:w="628" w:type="pct"/>
                  <w:tcBorders>
                    <w:left w:val="single" w:color="auto" w:sz="4" w:space="0"/>
                    <w:right w:val="single" w:color="auto" w:sz="6" w:space="0"/>
                  </w:tcBorders>
                  <w:vAlign w:val="center"/>
                </w:tcPr>
                <w:p w14:paraId="4E3BCE8E">
                  <w:pPr>
                    <w:pStyle w:val="154"/>
                    <w:rPr>
                      <w:sz w:val="21"/>
                      <w:szCs w:val="21"/>
                    </w:rPr>
                  </w:pPr>
                  <w:r>
                    <w:rPr>
                      <w:rFonts w:hint="eastAsia"/>
                      <w:sz w:val="21"/>
                      <w:szCs w:val="21"/>
                    </w:rPr>
                    <w:t>1</w:t>
                  </w:r>
                  <w:r>
                    <w:rPr>
                      <w:sz w:val="21"/>
                      <w:szCs w:val="21"/>
                    </w:rPr>
                    <w:t>t/a</w:t>
                  </w:r>
                </w:p>
              </w:tc>
              <w:tc>
                <w:tcPr>
                  <w:tcW w:w="2578" w:type="pct"/>
                  <w:vMerge w:val="continue"/>
                  <w:tcBorders>
                    <w:left w:val="single" w:color="auto" w:sz="6" w:space="0"/>
                  </w:tcBorders>
                  <w:vAlign w:val="center"/>
                </w:tcPr>
                <w:p w14:paraId="5BD7812F">
                  <w:pPr>
                    <w:pStyle w:val="154"/>
                    <w:rPr>
                      <w:sz w:val="21"/>
                      <w:szCs w:val="21"/>
                    </w:rPr>
                  </w:pPr>
                </w:p>
              </w:tc>
            </w:tr>
            <w:tr w14:paraId="2192D9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2208335A">
                  <w:pPr>
                    <w:pStyle w:val="154"/>
                    <w:rPr>
                      <w:sz w:val="21"/>
                      <w:szCs w:val="21"/>
                    </w:rPr>
                  </w:pPr>
                  <w:r>
                    <w:rPr>
                      <w:rFonts w:hint="eastAsia"/>
                      <w:sz w:val="21"/>
                      <w:szCs w:val="21"/>
                    </w:rPr>
                    <w:t>10</w:t>
                  </w:r>
                </w:p>
              </w:tc>
              <w:tc>
                <w:tcPr>
                  <w:tcW w:w="561" w:type="pct"/>
                  <w:vMerge w:val="continue"/>
                  <w:tcBorders>
                    <w:right w:val="single" w:color="auto" w:sz="6" w:space="0"/>
                  </w:tcBorders>
                  <w:vAlign w:val="center"/>
                </w:tcPr>
                <w:p w14:paraId="2870428E">
                  <w:pPr>
                    <w:pStyle w:val="154"/>
                    <w:rPr>
                      <w:sz w:val="21"/>
                      <w:szCs w:val="21"/>
                    </w:rPr>
                  </w:pPr>
                </w:p>
              </w:tc>
              <w:tc>
                <w:tcPr>
                  <w:tcW w:w="893" w:type="pct"/>
                  <w:tcBorders>
                    <w:left w:val="single" w:color="auto" w:sz="6" w:space="0"/>
                    <w:right w:val="single" w:color="auto" w:sz="4" w:space="0"/>
                  </w:tcBorders>
                  <w:vAlign w:val="center"/>
                </w:tcPr>
                <w:p w14:paraId="5294AA7F">
                  <w:pPr>
                    <w:pStyle w:val="154"/>
                    <w:rPr>
                      <w:sz w:val="21"/>
                      <w:szCs w:val="21"/>
                    </w:rPr>
                  </w:pPr>
                  <w:r>
                    <w:rPr>
                      <w:rFonts w:hint="eastAsia"/>
                      <w:sz w:val="21"/>
                      <w:szCs w:val="21"/>
                    </w:rPr>
                    <w:t>色浆</w:t>
                  </w:r>
                </w:p>
              </w:tc>
              <w:tc>
                <w:tcPr>
                  <w:tcW w:w="628" w:type="pct"/>
                  <w:tcBorders>
                    <w:left w:val="single" w:color="auto" w:sz="4" w:space="0"/>
                    <w:right w:val="single" w:color="auto" w:sz="6" w:space="0"/>
                  </w:tcBorders>
                  <w:vAlign w:val="center"/>
                </w:tcPr>
                <w:p w14:paraId="1DB6C782">
                  <w:pPr>
                    <w:pStyle w:val="154"/>
                    <w:rPr>
                      <w:sz w:val="21"/>
                      <w:szCs w:val="21"/>
                    </w:rPr>
                  </w:pPr>
                  <w:r>
                    <w:rPr>
                      <w:rFonts w:hint="eastAsia"/>
                      <w:sz w:val="21"/>
                      <w:szCs w:val="21"/>
                    </w:rPr>
                    <w:t>3</w:t>
                  </w:r>
                  <w:r>
                    <w:rPr>
                      <w:sz w:val="21"/>
                      <w:szCs w:val="21"/>
                    </w:rPr>
                    <w:t>t/a</w:t>
                  </w:r>
                </w:p>
              </w:tc>
              <w:tc>
                <w:tcPr>
                  <w:tcW w:w="2578" w:type="pct"/>
                  <w:tcBorders>
                    <w:left w:val="single" w:color="auto" w:sz="6" w:space="0"/>
                  </w:tcBorders>
                  <w:vAlign w:val="center"/>
                </w:tcPr>
                <w:p w14:paraId="7DD8DBB6">
                  <w:pPr>
                    <w:pStyle w:val="154"/>
                    <w:rPr>
                      <w:sz w:val="21"/>
                      <w:szCs w:val="21"/>
                    </w:rPr>
                  </w:pPr>
                  <w:r>
                    <w:rPr>
                      <w:rFonts w:hint="eastAsia"/>
                      <w:sz w:val="21"/>
                      <w:szCs w:val="21"/>
                    </w:rPr>
                    <w:t>辅料，20kg/桶</w:t>
                  </w:r>
                </w:p>
              </w:tc>
            </w:tr>
            <w:tr w14:paraId="4F3F97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6110EAF3">
                  <w:pPr>
                    <w:pStyle w:val="154"/>
                    <w:rPr>
                      <w:sz w:val="21"/>
                      <w:szCs w:val="21"/>
                    </w:rPr>
                  </w:pPr>
                  <w:r>
                    <w:rPr>
                      <w:rFonts w:hint="eastAsia"/>
                      <w:sz w:val="21"/>
                      <w:szCs w:val="21"/>
                    </w:rPr>
                    <w:t>11</w:t>
                  </w:r>
                </w:p>
              </w:tc>
              <w:tc>
                <w:tcPr>
                  <w:tcW w:w="561" w:type="pct"/>
                  <w:vMerge w:val="continue"/>
                  <w:tcBorders>
                    <w:right w:val="single" w:color="auto" w:sz="6" w:space="0"/>
                  </w:tcBorders>
                  <w:vAlign w:val="center"/>
                </w:tcPr>
                <w:p w14:paraId="65D4466A">
                  <w:pPr>
                    <w:pStyle w:val="154"/>
                    <w:rPr>
                      <w:sz w:val="21"/>
                      <w:szCs w:val="21"/>
                    </w:rPr>
                  </w:pPr>
                </w:p>
              </w:tc>
              <w:tc>
                <w:tcPr>
                  <w:tcW w:w="893" w:type="pct"/>
                  <w:tcBorders>
                    <w:left w:val="single" w:color="auto" w:sz="6" w:space="0"/>
                    <w:bottom w:val="single" w:color="auto" w:sz="4" w:space="0"/>
                    <w:right w:val="single" w:color="auto" w:sz="4" w:space="0"/>
                  </w:tcBorders>
                  <w:vAlign w:val="center"/>
                </w:tcPr>
                <w:p w14:paraId="0DB2766D">
                  <w:pPr>
                    <w:pStyle w:val="154"/>
                    <w:rPr>
                      <w:sz w:val="21"/>
                      <w:szCs w:val="21"/>
                    </w:rPr>
                  </w:pPr>
                  <w:r>
                    <w:rPr>
                      <w:rFonts w:hint="eastAsia"/>
                      <w:sz w:val="21"/>
                      <w:szCs w:val="21"/>
                    </w:rPr>
                    <w:t>水性脱模剂</w:t>
                  </w:r>
                </w:p>
              </w:tc>
              <w:tc>
                <w:tcPr>
                  <w:tcW w:w="628" w:type="pct"/>
                  <w:tcBorders>
                    <w:left w:val="single" w:color="auto" w:sz="4" w:space="0"/>
                    <w:right w:val="single" w:color="auto" w:sz="6" w:space="0"/>
                  </w:tcBorders>
                  <w:vAlign w:val="center"/>
                </w:tcPr>
                <w:p w14:paraId="637E2E56">
                  <w:pPr>
                    <w:pStyle w:val="154"/>
                    <w:rPr>
                      <w:sz w:val="21"/>
                      <w:szCs w:val="21"/>
                    </w:rPr>
                  </w:pPr>
                  <w:r>
                    <w:rPr>
                      <w:rFonts w:hint="eastAsia"/>
                      <w:sz w:val="21"/>
                      <w:szCs w:val="21"/>
                    </w:rPr>
                    <w:t>0.50</w:t>
                  </w:r>
                  <w:r>
                    <w:rPr>
                      <w:sz w:val="21"/>
                      <w:szCs w:val="21"/>
                    </w:rPr>
                    <w:t>t/a</w:t>
                  </w:r>
                </w:p>
              </w:tc>
              <w:tc>
                <w:tcPr>
                  <w:tcW w:w="2578" w:type="pct"/>
                  <w:tcBorders>
                    <w:left w:val="single" w:color="auto" w:sz="6" w:space="0"/>
                  </w:tcBorders>
                  <w:vAlign w:val="center"/>
                </w:tcPr>
                <w:p w14:paraId="739BB156">
                  <w:pPr>
                    <w:pStyle w:val="154"/>
                    <w:rPr>
                      <w:sz w:val="21"/>
                      <w:szCs w:val="21"/>
                    </w:rPr>
                  </w:pPr>
                  <w:r>
                    <w:rPr>
                      <w:rFonts w:hint="eastAsia"/>
                      <w:sz w:val="21"/>
                      <w:szCs w:val="21"/>
                    </w:rPr>
                    <w:t>主要成分为水和硅油，5kg/桶</w:t>
                  </w:r>
                </w:p>
              </w:tc>
            </w:tr>
            <w:tr w14:paraId="562B07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1EBAB1D6">
                  <w:pPr>
                    <w:pStyle w:val="154"/>
                    <w:rPr>
                      <w:sz w:val="21"/>
                      <w:szCs w:val="21"/>
                    </w:rPr>
                  </w:pPr>
                  <w:r>
                    <w:rPr>
                      <w:rFonts w:hint="eastAsia"/>
                      <w:sz w:val="21"/>
                      <w:szCs w:val="21"/>
                    </w:rPr>
                    <w:t>12</w:t>
                  </w:r>
                </w:p>
              </w:tc>
              <w:tc>
                <w:tcPr>
                  <w:tcW w:w="561" w:type="pct"/>
                  <w:vMerge w:val="continue"/>
                  <w:tcBorders>
                    <w:bottom w:val="single" w:color="auto" w:sz="4" w:space="0"/>
                    <w:right w:val="single" w:color="auto" w:sz="6" w:space="0"/>
                  </w:tcBorders>
                  <w:vAlign w:val="center"/>
                </w:tcPr>
                <w:p w14:paraId="0868202C">
                  <w:pPr>
                    <w:pStyle w:val="154"/>
                    <w:rPr>
                      <w:sz w:val="21"/>
                      <w:szCs w:val="21"/>
                    </w:rPr>
                  </w:pPr>
                </w:p>
              </w:tc>
              <w:tc>
                <w:tcPr>
                  <w:tcW w:w="893" w:type="pct"/>
                  <w:tcBorders>
                    <w:left w:val="single" w:color="auto" w:sz="6" w:space="0"/>
                    <w:bottom w:val="single" w:color="auto" w:sz="4" w:space="0"/>
                    <w:right w:val="single" w:color="auto" w:sz="4" w:space="0"/>
                  </w:tcBorders>
                  <w:vAlign w:val="center"/>
                </w:tcPr>
                <w:p w14:paraId="66F3B688">
                  <w:pPr>
                    <w:pStyle w:val="154"/>
                    <w:rPr>
                      <w:sz w:val="21"/>
                      <w:szCs w:val="21"/>
                    </w:rPr>
                  </w:pPr>
                  <w:r>
                    <w:rPr>
                      <w:rFonts w:hint="eastAsia"/>
                      <w:sz w:val="21"/>
                      <w:szCs w:val="21"/>
                    </w:rPr>
                    <w:t>水性清洗剂</w:t>
                  </w:r>
                </w:p>
              </w:tc>
              <w:tc>
                <w:tcPr>
                  <w:tcW w:w="628" w:type="pct"/>
                  <w:tcBorders>
                    <w:left w:val="single" w:color="auto" w:sz="4" w:space="0"/>
                    <w:right w:val="single" w:color="auto" w:sz="6" w:space="0"/>
                  </w:tcBorders>
                  <w:vAlign w:val="center"/>
                </w:tcPr>
                <w:p w14:paraId="657C0CB3">
                  <w:pPr>
                    <w:pStyle w:val="154"/>
                    <w:rPr>
                      <w:sz w:val="21"/>
                      <w:szCs w:val="21"/>
                    </w:rPr>
                  </w:pPr>
                  <w:r>
                    <w:rPr>
                      <w:rFonts w:hint="eastAsia"/>
                      <w:sz w:val="21"/>
                      <w:szCs w:val="21"/>
                    </w:rPr>
                    <w:t>0.35</w:t>
                  </w:r>
                  <w:r>
                    <w:rPr>
                      <w:sz w:val="21"/>
                      <w:szCs w:val="21"/>
                    </w:rPr>
                    <w:t>t/a</w:t>
                  </w:r>
                </w:p>
              </w:tc>
              <w:tc>
                <w:tcPr>
                  <w:tcW w:w="2578" w:type="pct"/>
                  <w:tcBorders>
                    <w:left w:val="single" w:color="auto" w:sz="6" w:space="0"/>
                  </w:tcBorders>
                  <w:vAlign w:val="center"/>
                </w:tcPr>
                <w:p w14:paraId="49BB1674">
                  <w:pPr>
                    <w:pStyle w:val="154"/>
                    <w:rPr>
                      <w:sz w:val="21"/>
                      <w:szCs w:val="21"/>
                    </w:rPr>
                  </w:pPr>
                  <w:r>
                    <w:rPr>
                      <w:rFonts w:hint="eastAsia"/>
                      <w:sz w:val="21"/>
                      <w:szCs w:val="21"/>
                    </w:rPr>
                    <w:t>用于清洗浇注机头，5kg/桶</w:t>
                  </w:r>
                </w:p>
              </w:tc>
            </w:tr>
            <w:tr w14:paraId="6BC56F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69B11270">
                  <w:pPr>
                    <w:pStyle w:val="154"/>
                    <w:rPr>
                      <w:sz w:val="21"/>
                      <w:szCs w:val="21"/>
                    </w:rPr>
                  </w:pPr>
                  <w:r>
                    <w:rPr>
                      <w:rFonts w:hint="eastAsia"/>
                      <w:sz w:val="21"/>
                      <w:szCs w:val="21"/>
                    </w:rPr>
                    <w:t>13</w:t>
                  </w:r>
                </w:p>
              </w:tc>
              <w:tc>
                <w:tcPr>
                  <w:tcW w:w="561" w:type="pct"/>
                  <w:vMerge w:val="restart"/>
                  <w:tcBorders>
                    <w:top w:val="single" w:color="auto" w:sz="4" w:space="0"/>
                    <w:right w:val="single" w:color="auto" w:sz="6" w:space="0"/>
                  </w:tcBorders>
                  <w:vAlign w:val="center"/>
                </w:tcPr>
                <w:p w14:paraId="4885A6C3">
                  <w:pPr>
                    <w:pStyle w:val="154"/>
                    <w:rPr>
                      <w:sz w:val="21"/>
                      <w:szCs w:val="21"/>
                    </w:rPr>
                  </w:pPr>
                  <w:r>
                    <w:rPr>
                      <w:sz w:val="21"/>
                      <w:szCs w:val="21"/>
                    </w:rPr>
                    <w:t>公用</w:t>
                  </w:r>
                </w:p>
              </w:tc>
              <w:tc>
                <w:tcPr>
                  <w:tcW w:w="893" w:type="pct"/>
                  <w:tcBorders>
                    <w:top w:val="single" w:color="auto" w:sz="4" w:space="0"/>
                    <w:left w:val="single" w:color="auto" w:sz="6" w:space="0"/>
                    <w:right w:val="single" w:color="auto" w:sz="4" w:space="0"/>
                  </w:tcBorders>
                  <w:vAlign w:val="center"/>
                </w:tcPr>
                <w:p w14:paraId="26D32A3A">
                  <w:pPr>
                    <w:pStyle w:val="154"/>
                    <w:rPr>
                      <w:sz w:val="21"/>
                      <w:szCs w:val="21"/>
                    </w:rPr>
                  </w:pPr>
                  <w:r>
                    <w:rPr>
                      <w:sz w:val="21"/>
                      <w:szCs w:val="21"/>
                    </w:rPr>
                    <w:t>成品鞋面</w:t>
                  </w:r>
                </w:p>
              </w:tc>
              <w:tc>
                <w:tcPr>
                  <w:tcW w:w="628" w:type="pct"/>
                  <w:tcBorders>
                    <w:left w:val="single" w:color="auto" w:sz="4" w:space="0"/>
                    <w:right w:val="single" w:color="auto" w:sz="6" w:space="0"/>
                  </w:tcBorders>
                  <w:vAlign w:val="center"/>
                </w:tcPr>
                <w:p w14:paraId="6F27DB90">
                  <w:pPr>
                    <w:pStyle w:val="154"/>
                    <w:rPr>
                      <w:sz w:val="21"/>
                      <w:szCs w:val="21"/>
                    </w:rPr>
                  </w:pPr>
                  <w:r>
                    <w:rPr>
                      <w:rFonts w:hint="eastAsia"/>
                      <w:sz w:val="21"/>
                      <w:szCs w:val="21"/>
                    </w:rPr>
                    <w:t>17.5</w:t>
                  </w:r>
                  <w:r>
                    <w:rPr>
                      <w:sz w:val="21"/>
                      <w:szCs w:val="21"/>
                    </w:rPr>
                    <w:t>t/a</w:t>
                  </w:r>
                </w:p>
              </w:tc>
              <w:tc>
                <w:tcPr>
                  <w:tcW w:w="2578" w:type="pct"/>
                  <w:tcBorders>
                    <w:left w:val="single" w:color="auto" w:sz="6" w:space="0"/>
                  </w:tcBorders>
                  <w:vAlign w:val="center"/>
                </w:tcPr>
                <w:p w14:paraId="77AED96C">
                  <w:pPr>
                    <w:pStyle w:val="154"/>
                    <w:rPr>
                      <w:sz w:val="21"/>
                      <w:szCs w:val="21"/>
                    </w:rPr>
                  </w:pPr>
                  <w:r>
                    <w:rPr>
                      <w:sz w:val="21"/>
                      <w:szCs w:val="21"/>
                    </w:rPr>
                    <w:t>/</w:t>
                  </w:r>
                </w:p>
              </w:tc>
            </w:tr>
            <w:tr w14:paraId="67DBD0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5FE132E6">
                  <w:pPr>
                    <w:pStyle w:val="154"/>
                    <w:rPr>
                      <w:sz w:val="21"/>
                      <w:szCs w:val="21"/>
                    </w:rPr>
                  </w:pPr>
                  <w:r>
                    <w:rPr>
                      <w:rFonts w:hint="eastAsia"/>
                      <w:sz w:val="21"/>
                      <w:szCs w:val="21"/>
                    </w:rPr>
                    <w:t>14</w:t>
                  </w:r>
                </w:p>
              </w:tc>
              <w:tc>
                <w:tcPr>
                  <w:tcW w:w="561" w:type="pct"/>
                  <w:vMerge w:val="continue"/>
                  <w:tcBorders>
                    <w:right w:val="single" w:color="auto" w:sz="6" w:space="0"/>
                  </w:tcBorders>
                  <w:vAlign w:val="center"/>
                </w:tcPr>
                <w:p w14:paraId="3EB7B2DE">
                  <w:pPr>
                    <w:pStyle w:val="154"/>
                    <w:rPr>
                      <w:sz w:val="21"/>
                      <w:szCs w:val="21"/>
                    </w:rPr>
                  </w:pPr>
                </w:p>
              </w:tc>
              <w:tc>
                <w:tcPr>
                  <w:tcW w:w="893" w:type="pct"/>
                  <w:tcBorders>
                    <w:left w:val="single" w:color="auto" w:sz="6" w:space="0"/>
                    <w:right w:val="single" w:color="auto" w:sz="4" w:space="0"/>
                  </w:tcBorders>
                  <w:vAlign w:val="center"/>
                </w:tcPr>
                <w:p w14:paraId="6EDB950D">
                  <w:pPr>
                    <w:pStyle w:val="154"/>
                    <w:rPr>
                      <w:sz w:val="21"/>
                      <w:szCs w:val="21"/>
                    </w:rPr>
                  </w:pPr>
                  <w:r>
                    <w:rPr>
                      <w:sz w:val="21"/>
                      <w:szCs w:val="21"/>
                    </w:rPr>
                    <w:t>鞋垫</w:t>
                  </w:r>
                </w:p>
              </w:tc>
              <w:tc>
                <w:tcPr>
                  <w:tcW w:w="628" w:type="pct"/>
                  <w:tcBorders>
                    <w:left w:val="single" w:color="auto" w:sz="4" w:space="0"/>
                    <w:right w:val="single" w:color="auto" w:sz="6" w:space="0"/>
                  </w:tcBorders>
                  <w:vAlign w:val="center"/>
                </w:tcPr>
                <w:p w14:paraId="40C90A6F">
                  <w:pPr>
                    <w:pStyle w:val="154"/>
                    <w:rPr>
                      <w:sz w:val="21"/>
                      <w:szCs w:val="21"/>
                    </w:rPr>
                  </w:pPr>
                  <w:r>
                    <w:rPr>
                      <w:rFonts w:hint="eastAsia"/>
                      <w:sz w:val="21"/>
                      <w:szCs w:val="21"/>
                    </w:rPr>
                    <w:t>50</w:t>
                  </w:r>
                  <w:r>
                    <w:rPr>
                      <w:sz w:val="21"/>
                      <w:szCs w:val="21"/>
                    </w:rPr>
                    <w:t>万双</w:t>
                  </w:r>
                </w:p>
              </w:tc>
              <w:tc>
                <w:tcPr>
                  <w:tcW w:w="2578" w:type="pct"/>
                  <w:tcBorders>
                    <w:left w:val="single" w:color="auto" w:sz="6" w:space="0"/>
                  </w:tcBorders>
                  <w:vAlign w:val="center"/>
                </w:tcPr>
                <w:p w14:paraId="3B0A7741">
                  <w:pPr>
                    <w:pStyle w:val="154"/>
                    <w:rPr>
                      <w:sz w:val="21"/>
                      <w:szCs w:val="21"/>
                    </w:rPr>
                  </w:pPr>
                  <w:r>
                    <w:rPr>
                      <w:sz w:val="21"/>
                      <w:szCs w:val="21"/>
                    </w:rPr>
                    <w:t>/</w:t>
                  </w:r>
                </w:p>
              </w:tc>
            </w:tr>
            <w:tr w14:paraId="7F4399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13237352">
                  <w:pPr>
                    <w:pStyle w:val="154"/>
                    <w:rPr>
                      <w:sz w:val="21"/>
                      <w:szCs w:val="21"/>
                    </w:rPr>
                  </w:pPr>
                  <w:r>
                    <w:rPr>
                      <w:rFonts w:hint="eastAsia"/>
                      <w:sz w:val="21"/>
                      <w:szCs w:val="21"/>
                    </w:rPr>
                    <w:t>15</w:t>
                  </w:r>
                </w:p>
              </w:tc>
              <w:tc>
                <w:tcPr>
                  <w:tcW w:w="561" w:type="pct"/>
                  <w:vMerge w:val="continue"/>
                  <w:tcBorders>
                    <w:right w:val="single" w:color="auto" w:sz="6" w:space="0"/>
                  </w:tcBorders>
                  <w:vAlign w:val="center"/>
                </w:tcPr>
                <w:p w14:paraId="0728F661">
                  <w:pPr>
                    <w:pStyle w:val="154"/>
                    <w:rPr>
                      <w:sz w:val="21"/>
                      <w:szCs w:val="21"/>
                    </w:rPr>
                  </w:pPr>
                </w:p>
              </w:tc>
              <w:tc>
                <w:tcPr>
                  <w:tcW w:w="893" w:type="pct"/>
                  <w:tcBorders>
                    <w:left w:val="single" w:color="auto" w:sz="6" w:space="0"/>
                    <w:right w:val="single" w:color="auto" w:sz="4" w:space="0"/>
                  </w:tcBorders>
                  <w:vAlign w:val="center"/>
                </w:tcPr>
                <w:p w14:paraId="7253C0D8">
                  <w:pPr>
                    <w:pStyle w:val="154"/>
                    <w:rPr>
                      <w:sz w:val="21"/>
                      <w:szCs w:val="21"/>
                    </w:rPr>
                  </w:pPr>
                  <w:r>
                    <w:rPr>
                      <w:sz w:val="21"/>
                      <w:szCs w:val="21"/>
                    </w:rPr>
                    <w:t>鞋盒</w:t>
                  </w:r>
                </w:p>
              </w:tc>
              <w:tc>
                <w:tcPr>
                  <w:tcW w:w="628" w:type="pct"/>
                  <w:tcBorders>
                    <w:left w:val="single" w:color="auto" w:sz="4" w:space="0"/>
                    <w:right w:val="single" w:color="auto" w:sz="6" w:space="0"/>
                  </w:tcBorders>
                  <w:vAlign w:val="center"/>
                </w:tcPr>
                <w:p w14:paraId="0AC8CE33">
                  <w:pPr>
                    <w:pStyle w:val="154"/>
                    <w:rPr>
                      <w:sz w:val="21"/>
                      <w:szCs w:val="21"/>
                    </w:rPr>
                  </w:pPr>
                  <w:r>
                    <w:rPr>
                      <w:rFonts w:hint="eastAsia"/>
                      <w:sz w:val="21"/>
                      <w:szCs w:val="21"/>
                    </w:rPr>
                    <w:t>50</w:t>
                  </w:r>
                  <w:r>
                    <w:rPr>
                      <w:sz w:val="21"/>
                      <w:szCs w:val="21"/>
                    </w:rPr>
                    <w:t>万个</w:t>
                  </w:r>
                </w:p>
              </w:tc>
              <w:tc>
                <w:tcPr>
                  <w:tcW w:w="2578" w:type="pct"/>
                  <w:tcBorders>
                    <w:left w:val="single" w:color="auto" w:sz="6" w:space="0"/>
                  </w:tcBorders>
                  <w:vAlign w:val="center"/>
                </w:tcPr>
                <w:p w14:paraId="1CF2C14F">
                  <w:pPr>
                    <w:pStyle w:val="154"/>
                    <w:rPr>
                      <w:sz w:val="21"/>
                      <w:szCs w:val="21"/>
                    </w:rPr>
                  </w:pPr>
                  <w:r>
                    <w:rPr>
                      <w:sz w:val="21"/>
                      <w:szCs w:val="21"/>
                    </w:rPr>
                    <w:t>/</w:t>
                  </w:r>
                </w:p>
              </w:tc>
            </w:tr>
            <w:tr w14:paraId="1CCFF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1FF18760">
                  <w:pPr>
                    <w:pStyle w:val="154"/>
                    <w:rPr>
                      <w:sz w:val="21"/>
                      <w:szCs w:val="21"/>
                    </w:rPr>
                  </w:pPr>
                  <w:r>
                    <w:rPr>
                      <w:sz w:val="21"/>
                      <w:szCs w:val="21"/>
                    </w:rPr>
                    <w:t>1</w:t>
                  </w:r>
                  <w:r>
                    <w:rPr>
                      <w:rFonts w:hint="eastAsia"/>
                      <w:sz w:val="21"/>
                      <w:szCs w:val="21"/>
                    </w:rPr>
                    <w:t>6</w:t>
                  </w:r>
                </w:p>
              </w:tc>
              <w:tc>
                <w:tcPr>
                  <w:tcW w:w="561" w:type="pct"/>
                  <w:vMerge w:val="continue"/>
                  <w:tcBorders>
                    <w:right w:val="single" w:color="auto" w:sz="6" w:space="0"/>
                  </w:tcBorders>
                  <w:vAlign w:val="center"/>
                </w:tcPr>
                <w:p w14:paraId="5506D9A5">
                  <w:pPr>
                    <w:pStyle w:val="154"/>
                    <w:rPr>
                      <w:sz w:val="21"/>
                      <w:szCs w:val="21"/>
                    </w:rPr>
                  </w:pPr>
                </w:p>
              </w:tc>
              <w:tc>
                <w:tcPr>
                  <w:tcW w:w="893" w:type="pct"/>
                  <w:tcBorders>
                    <w:left w:val="single" w:color="auto" w:sz="6" w:space="0"/>
                    <w:right w:val="single" w:color="auto" w:sz="4" w:space="0"/>
                  </w:tcBorders>
                  <w:vAlign w:val="center"/>
                </w:tcPr>
                <w:p w14:paraId="03539727">
                  <w:pPr>
                    <w:pStyle w:val="154"/>
                    <w:rPr>
                      <w:sz w:val="21"/>
                      <w:szCs w:val="21"/>
                    </w:rPr>
                  </w:pPr>
                  <w:r>
                    <w:rPr>
                      <w:sz w:val="21"/>
                      <w:szCs w:val="21"/>
                    </w:rPr>
                    <w:t>包装箱</w:t>
                  </w:r>
                </w:p>
              </w:tc>
              <w:tc>
                <w:tcPr>
                  <w:tcW w:w="628" w:type="pct"/>
                  <w:tcBorders>
                    <w:left w:val="single" w:color="auto" w:sz="4" w:space="0"/>
                    <w:right w:val="single" w:color="auto" w:sz="6" w:space="0"/>
                  </w:tcBorders>
                  <w:vAlign w:val="center"/>
                </w:tcPr>
                <w:p w14:paraId="0DD49B10">
                  <w:pPr>
                    <w:pStyle w:val="154"/>
                    <w:rPr>
                      <w:sz w:val="21"/>
                      <w:szCs w:val="21"/>
                    </w:rPr>
                  </w:pPr>
                  <w:r>
                    <w:rPr>
                      <w:rFonts w:hint="eastAsia"/>
                      <w:sz w:val="21"/>
                      <w:szCs w:val="21"/>
                    </w:rPr>
                    <w:t>5</w:t>
                  </w:r>
                  <w:r>
                    <w:rPr>
                      <w:sz w:val="21"/>
                      <w:szCs w:val="21"/>
                    </w:rPr>
                    <w:t>000个</w:t>
                  </w:r>
                </w:p>
              </w:tc>
              <w:tc>
                <w:tcPr>
                  <w:tcW w:w="2578" w:type="pct"/>
                  <w:tcBorders>
                    <w:left w:val="single" w:color="auto" w:sz="6" w:space="0"/>
                  </w:tcBorders>
                  <w:vAlign w:val="center"/>
                </w:tcPr>
                <w:p w14:paraId="33D48D46">
                  <w:pPr>
                    <w:pStyle w:val="154"/>
                    <w:rPr>
                      <w:sz w:val="21"/>
                      <w:szCs w:val="21"/>
                    </w:rPr>
                  </w:pPr>
                  <w:r>
                    <w:rPr>
                      <w:sz w:val="21"/>
                      <w:szCs w:val="21"/>
                    </w:rPr>
                    <w:t>纸箱</w:t>
                  </w:r>
                </w:p>
              </w:tc>
            </w:tr>
            <w:tr w14:paraId="20136B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726EB60D">
                  <w:pPr>
                    <w:pStyle w:val="154"/>
                    <w:rPr>
                      <w:sz w:val="21"/>
                      <w:szCs w:val="21"/>
                    </w:rPr>
                  </w:pPr>
                  <w:r>
                    <w:rPr>
                      <w:sz w:val="21"/>
                      <w:szCs w:val="21"/>
                    </w:rPr>
                    <w:t>1</w:t>
                  </w:r>
                  <w:r>
                    <w:rPr>
                      <w:rFonts w:hint="eastAsia"/>
                      <w:sz w:val="21"/>
                      <w:szCs w:val="21"/>
                    </w:rPr>
                    <w:t>7</w:t>
                  </w:r>
                </w:p>
              </w:tc>
              <w:tc>
                <w:tcPr>
                  <w:tcW w:w="561" w:type="pct"/>
                  <w:vMerge w:val="continue"/>
                  <w:tcBorders>
                    <w:right w:val="single" w:color="auto" w:sz="6" w:space="0"/>
                  </w:tcBorders>
                  <w:vAlign w:val="center"/>
                </w:tcPr>
                <w:p w14:paraId="49D08E38">
                  <w:pPr>
                    <w:pStyle w:val="154"/>
                    <w:rPr>
                      <w:sz w:val="21"/>
                      <w:szCs w:val="21"/>
                    </w:rPr>
                  </w:pPr>
                </w:p>
              </w:tc>
              <w:tc>
                <w:tcPr>
                  <w:tcW w:w="893" w:type="pct"/>
                  <w:tcBorders>
                    <w:left w:val="single" w:color="auto" w:sz="6" w:space="0"/>
                    <w:right w:val="single" w:color="auto" w:sz="4" w:space="0"/>
                  </w:tcBorders>
                  <w:vAlign w:val="center"/>
                </w:tcPr>
                <w:p w14:paraId="4D47950D">
                  <w:pPr>
                    <w:pStyle w:val="154"/>
                    <w:rPr>
                      <w:sz w:val="21"/>
                      <w:szCs w:val="21"/>
                    </w:rPr>
                  </w:pPr>
                  <w:r>
                    <w:rPr>
                      <w:sz w:val="21"/>
                      <w:szCs w:val="21"/>
                    </w:rPr>
                    <w:t>润滑油</w:t>
                  </w:r>
                </w:p>
              </w:tc>
              <w:tc>
                <w:tcPr>
                  <w:tcW w:w="628" w:type="pct"/>
                  <w:tcBorders>
                    <w:left w:val="single" w:color="auto" w:sz="4" w:space="0"/>
                    <w:right w:val="single" w:color="auto" w:sz="6" w:space="0"/>
                  </w:tcBorders>
                  <w:vAlign w:val="center"/>
                </w:tcPr>
                <w:p w14:paraId="5A251174">
                  <w:pPr>
                    <w:pStyle w:val="154"/>
                    <w:rPr>
                      <w:sz w:val="21"/>
                      <w:szCs w:val="21"/>
                    </w:rPr>
                  </w:pPr>
                  <w:r>
                    <w:rPr>
                      <w:sz w:val="21"/>
                      <w:szCs w:val="21"/>
                    </w:rPr>
                    <w:t>0.0</w:t>
                  </w:r>
                  <w:r>
                    <w:rPr>
                      <w:rFonts w:hint="eastAsia"/>
                      <w:sz w:val="21"/>
                      <w:szCs w:val="21"/>
                    </w:rPr>
                    <w:t>6</w:t>
                  </w:r>
                  <w:r>
                    <w:rPr>
                      <w:sz w:val="21"/>
                      <w:szCs w:val="21"/>
                    </w:rPr>
                    <w:t>t/a</w:t>
                  </w:r>
                </w:p>
              </w:tc>
              <w:tc>
                <w:tcPr>
                  <w:tcW w:w="2578" w:type="pct"/>
                  <w:tcBorders>
                    <w:left w:val="single" w:color="auto" w:sz="6" w:space="0"/>
                  </w:tcBorders>
                  <w:vAlign w:val="center"/>
                </w:tcPr>
                <w:p w14:paraId="396D8FAA">
                  <w:pPr>
                    <w:pStyle w:val="154"/>
                    <w:rPr>
                      <w:sz w:val="21"/>
                      <w:szCs w:val="21"/>
                    </w:rPr>
                  </w:pPr>
                  <w:r>
                    <w:rPr>
                      <w:sz w:val="21"/>
                      <w:szCs w:val="21"/>
                    </w:rPr>
                    <w:t>用于设备维护</w:t>
                  </w:r>
                </w:p>
              </w:tc>
            </w:tr>
            <w:tr w14:paraId="08EB0C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41" w:type="pct"/>
                  <w:vAlign w:val="center"/>
                </w:tcPr>
                <w:p w14:paraId="0854B749">
                  <w:pPr>
                    <w:pStyle w:val="154"/>
                    <w:rPr>
                      <w:sz w:val="21"/>
                      <w:szCs w:val="21"/>
                    </w:rPr>
                  </w:pPr>
                  <w:r>
                    <w:rPr>
                      <w:sz w:val="21"/>
                      <w:szCs w:val="21"/>
                    </w:rPr>
                    <w:t>1</w:t>
                  </w:r>
                  <w:r>
                    <w:rPr>
                      <w:rFonts w:hint="eastAsia"/>
                      <w:sz w:val="21"/>
                      <w:szCs w:val="21"/>
                    </w:rPr>
                    <w:t>8</w:t>
                  </w:r>
                </w:p>
              </w:tc>
              <w:tc>
                <w:tcPr>
                  <w:tcW w:w="561" w:type="pct"/>
                  <w:vMerge w:val="continue"/>
                  <w:tcBorders>
                    <w:right w:val="single" w:color="auto" w:sz="6" w:space="0"/>
                  </w:tcBorders>
                  <w:vAlign w:val="center"/>
                </w:tcPr>
                <w:p w14:paraId="1C5FDAA4">
                  <w:pPr>
                    <w:pStyle w:val="154"/>
                    <w:rPr>
                      <w:sz w:val="21"/>
                      <w:szCs w:val="21"/>
                    </w:rPr>
                  </w:pPr>
                </w:p>
              </w:tc>
              <w:tc>
                <w:tcPr>
                  <w:tcW w:w="893" w:type="pct"/>
                  <w:tcBorders>
                    <w:left w:val="single" w:color="auto" w:sz="6" w:space="0"/>
                    <w:right w:val="single" w:color="auto" w:sz="4" w:space="0"/>
                  </w:tcBorders>
                  <w:vAlign w:val="center"/>
                </w:tcPr>
                <w:p w14:paraId="1250D239">
                  <w:pPr>
                    <w:pStyle w:val="154"/>
                    <w:rPr>
                      <w:sz w:val="21"/>
                      <w:szCs w:val="21"/>
                    </w:rPr>
                  </w:pPr>
                  <w:r>
                    <w:rPr>
                      <w:sz w:val="21"/>
                      <w:szCs w:val="21"/>
                    </w:rPr>
                    <w:t>液压油</w:t>
                  </w:r>
                </w:p>
              </w:tc>
              <w:tc>
                <w:tcPr>
                  <w:tcW w:w="628" w:type="pct"/>
                  <w:tcBorders>
                    <w:left w:val="single" w:color="auto" w:sz="4" w:space="0"/>
                    <w:right w:val="single" w:color="auto" w:sz="6" w:space="0"/>
                  </w:tcBorders>
                  <w:vAlign w:val="center"/>
                </w:tcPr>
                <w:p w14:paraId="412FC626">
                  <w:pPr>
                    <w:pStyle w:val="154"/>
                    <w:rPr>
                      <w:sz w:val="21"/>
                      <w:szCs w:val="21"/>
                    </w:rPr>
                  </w:pPr>
                  <w:r>
                    <w:rPr>
                      <w:sz w:val="21"/>
                      <w:szCs w:val="21"/>
                    </w:rPr>
                    <w:t>0.0</w:t>
                  </w:r>
                  <w:r>
                    <w:rPr>
                      <w:rFonts w:hint="eastAsia"/>
                      <w:sz w:val="21"/>
                      <w:szCs w:val="21"/>
                    </w:rPr>
                    <w:t>5</w:t>
                  </w:r>
                  <w:r>
                    <w:rPr>
                      <w:sz w:val="21"/>
                      <w:szCs w:val="21"/>
                    </w:rPr>
                    <w:t>t/a</w:t>
                  </w:r>
                </w:p>
              </w:tc>
              <w:tc>
                <w:tcPr>
                  <w:tcW w:w="2578" w:type="pct"/>
                  <w:tcBorders>
                    <w:left w:val="single" w:color="auto" w:sz="6" w:space="0"/>
                  </w:tcBorders>
                  <w:vAlign w:val="center"/>
                </w:tcPr>
                <w:p w14:paraId="72AE5CA4">
                  <w:pPr>
                    <w:pStyle w:val="154"/>
                    <w:rPr>
                      <w:sz w:val="21"/>
                      <w:szCs w:val="21"/>
                    </w:rPr>
                  </w:pPr>
                  <w:r>
                    <w:rPr>
                      <w:sz w:val="21"/>
                      <w:szCs w:val="21"/>
                    </w:rPr>
                    <w:t>用于液压设备维护维修</w:t>
                  </w:r>
                </w:p>
              </w:tc>
            </w:tr>
          </w:tbl>
          <w:p w14:paraId="120ECDB4">
            <w:pPr>
              <w:rPr>
                <w:rFonts w:ascii="Times New Roman" w:hAnsi="Times New Roman"/>
              </w:rPr>
            </w:pPr>
          </w:p>
          <w:p w14:paraId="218FE42F">
            <w:pPr>
              <w:pStyle w:val="182"/>
              <w:ind w:firstLine="480"/>
            </w:pPr>
            <w:r>
              <w:t xml:space="preserve">表2- </w:t>
            </w:r>
            <w:r>
              <w:rPr>
                <w:rFonts w:hint="eastAsia"/>
              </w:rPr>
              <w:t>5</w:t>
            </w:r>
            <w:r>
              <w:t xml:space="preserve">                  主要物料组成成份</w:t>
            </w:r>
          </w:p>
          <w:tbl>
            <w:tblPr>
              <w:tblStyle w:val="88"/>
              <w:tblW w:w="496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16"/>
              <w:gridCol w:w="1511"/>
              <w:gridCol w:w="6049"/>
            </w:tblGrid>
            <w:tr w14:paraId="55354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927" w:type="dxa"/>
                  <w:gridSpan w:val="2"/>
                  <w:vAlign w:val="center"/>
                </w:tcPr>
                <w:p w14:paraId="08836AC7">
                  <w:pPr>
                    <w:pStyle w:val="154"/>
                    <w:rPr>
                      <w:sz w:val="21"/>
                      <w:szCs w:val="21"/>
                    </w:rPr>
                  </w:pPr>
                  <w:r>
                    <w:rPr>
                      <w:sz w:val="21"/>
                      <w:szCs w:val="21"/>
                    </w:rPr>
                    <w:t>名称</w:t>
                  </w:r>
                </w:p>
              </w:tc>
              <w:tc>
                <w:tcPr>
                  <w:tcW w:w="6049" w:type="dxa"/>
                  <w:vAlign w:val="center"/>
                </w:tcPr>
                <w:p w14:paraId="52FE60B4">
                  <w:pPr>
                    <w:pStyle w:val="154"/>
                    <w:rPr>
                      <w:sz w:val="21"/>
                      <w:szCs w:val="21"/>
                    </w:rPr>
                  </w:pPr>
                  <w:r>
                    <w:rPr>
                      <w:sz w:val="21"/>
                      <w:szCs w:val="21"/>
                    </w:rPr>
                    <w:t>成分组成</w:t>
                  </w:r>
                </w:p>
              </w:tc>
            </w:tr>
            <w:tr w14:paraId="26459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restart"/>
                  <w:tcBorders>
                    <w:right w:val="single" w:color="000000" w:sz="6" w:space="0"/>
                  </w:tcBorders>
                  <w:vAlign w:val="center"/>
                </w:tcPr>
                <w:p w14:paraId="00C90B46">
                  <w:pPr>
                    <w:pStyle w:val="154"/>
                    <w:rPr>
                      <w:sz w:val="21"/>
                      <w:szCs w:val="21"/>
                    </w:rPr>
                  </w:pPr>
                  <w:r>
                    <w:rPr>
                      <w:sz w:val="21"/>
                      <w:szCs w:val="21"/>
                    </w:rPr>
                    <w:t>注塑工艺鞋底片</w:t>
                  </w:r>
                </w:p>
              </w:tc>
              <w:tc>
                <w:tcPr>
                  <w:tcW w:w="1511" w:type="dxa"/>
                  <w:tcBorders>
                    <w:left w:val="single" w:color="000000" w:sz="6" w:space="0"/>
                  </w:tcBorders>
                  <w:vAlign w:val="center"/>
                </w:tcPr>
                <w:p w14:paraId="389006F1">
                  <w:pPr>
                    <w:pStyle w:val="154"/>
                    <w:rPr>
                      <w:sz w:val="21"/>
                      <w:szCs w:val="21"/>
                    </w:rPr>
                  </w:pPr>
                  <w:r>
                    <w:rPr>
                      <w:sz w:val="21"/>
                      <w:szCs w:val="21"/>
                    </w:rPr>
                    <w:t>PVC树脂</w:t>
                  </w:r>
                </w:p>
              </w:tc>
              <w:tc>
                <w:tcPr>
                  <w:tcW w:w="6049" w:type="dxa"/>
                </w:tcPr>
                <w:p w14:paraId="2F069588">
                  <w:pPr>
                    <w:pStyle w:val="154"/>
                    <w:rPr>
                      <w:sz w:val="21"/>
                      <w:szCs w:val="21"/>
                    </w:rPr>
                  </w:pPr>
                  <w:r>
                    <w:rPr>
                      <w:sz w:val="21"/>
                      <w:szCs w:val="21"/>
                    </w:rPr>
                    <w:t>氯乙烯的均聚物。</w:t>
                  </w:r>
                </w:p>
              </w:tc>
            </w:tr>
            <w:tr w14:paraId="48722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330AB11C">
                  <w:pPr>
                    <w:pStyle w:val="154"/>
                    <w:rPr>
                      <w:sz w:val="21"/>
                      <w:szCs w:val="21"/>
                    </w:rPr>
                  </w:pPr>
                </w:p>
              </w:tc>
              <w:tc>
                <w:tcPr>
                  <w:tcW w:w="1511" w:type="dxa"/>
                  <w:tcBorders>
                    <w:left w:val="single" w:color="000000" w:sz="6" w:space="0"/>
                  </w:tcBorders>
                  <w:vAlign w:val="center"/>
                </w:tcPr>
                <w:p w14:paraId="4031DD01">
                  <w:pPr>
                    <w:pStyle w:val="154"/>
                    <w:rPr>
                      <w:sz w:val="21"/>
                      <w:szCs w:val="21"/>
                    </w:rPr>
                  </w:pPr>
                  <w:r>
                    <w:rPr>
                      <w:sz w:val="21"/>
                      <w:szCs w:val="21"/>
                    </w:rPr>
                    <w:t>二丁酯（DBP）</w:t>
                  </w:r>
                </w:p>
              </w:tc>
              <w:tc>
                <w:tcPr>
                  <w:tcW w:w="6049" w:type="dxa"/>
                </w:tcPr>
                <w:p w14:paraId="0E5D54FD">
                  <w:pPr>
                    <w:pStyle w:val="154"/>
                    <w:rPr>
                      <w:sz w:val="21"/>
                      <w:szCs w:val="21"/>
                    </w:rPr>
                  </w:pPr>
                  <w:r>
                    <w:rPr>
                      <w:sz w:val="21"/>
                      <w:szCs w:val="21"/>
                    </w:rPr>
                    <w:t>邻苯二甲酸二丁酯，简称二丁酯（DBP），分子式C</w:t>
                  </w:r>
                  <w:r>
                    <w:rPr>
                      <w:sz w:val="21"/>
                      <w:szCs w:val="21"/>
                      <w:vertAlign w:val="subscript"/>
                    </w:rPr>
                    <w:t>16</w:t>
                  </w:r>
                  <w:r>
                    <w:rPr>
                      <w:sz w:val="21"/>
                      <w:szCs w:val="21"/>
                    </w:rPr>
                    <w:t>H</w:t>
                  </w:r>
                  <w:r>
                    <w:rPr>
                      <w:sz w:val="21"/>
                      <w:szCs w:val="21"/>
                      <w:vertAlign w:val="subscript"/>
                    </w:rPr>
                    <w:t>22</w:t>
                  </w:r>
                  <w:r>
                    <w:rPr>
                      <w:sz w:val="21"/>
                      <w:szCs w:val="21"/>
                    </w:rPr>
                    <w:t>O</w:t>
                  </w:r>
                  <w:r>
                    <w:rPr>
                      <w:sz w:val="21"/>
                      <w:szCs w:val="21"/>
                      <w:vertAlign w:val="subscript"/>
                    </w:rPr>
                    <w:t>4</w:t>
                  </w:r>
                  <w:r>
                    <w:rPr>
                      <w:sz w:val="21"/>
                      <w:szCs w:val="21"/>
                    </w:rPr>
                    <w:t>。</w:t>
                  </w:r>
                </w:p>
              </w:tc>
            </w:tr>
            <w:tr w14:paraId="6327A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5A7FA565">
                  <w:pPr>
                    <w:pStyle w:val="154"/>
                    <w:rPr>
                      <w:sz w:val="21"/>
                      <w:szCs w:val="21"/>
                    </w:rPr>
                  </w:pPr>
                </w:p>
              </w:tc>
              <w:tc>
                <w:tcPr>
                  <w:tcW w:w="1511" w:type="dxa"/>
                  <w:tcBorders>
                    <w:left w:val="single" w:color="000000" w:sz="6" w:space="0"/>
                  </w:tcBorders>
                  <w:vAlign w:val="center"/>
                </w:tcPr>
                <w:p w14:paraId="11E91768">
                  <w:pPr>
                    <w:pStyle w:val="154"/>
                    <w:rPr>
                      <w:sz w:val="21"/>
                      <w:szCs w:val="21"/>
                    </w:rPr>
                  </w:pPr>
                  <w:r>
                    <w:rPr>
                      <w:sz w:val="21"/>
                      <w:szCs w:val="21"/>
                    </w:rPr>
                    <w:t>钙粉</w:t>
                  </w:r>
                </w:p>
              </w:tc>
              <w:tc>
                <w:tcPr>
                  <w:tcW w:w="6049" w:type="dxa"/>
                </w:tcPr>
                <w:p w14:paraId="2893FA4E">
                  <w:pPr>
                    <w:pStyle w:val="154"/>
                    <w:rPr>
                      <w:sz w:val="21"/>
                      <w:szCs w:val="21"/>
                    </w:rPr>
                  </w:pPr>
                  <w:r>
                    <w:rPr>
                      <w:sz w:val="21"/>
                      <w:szCs w:val="21"/>
                    </w:rPr>
                    <w:t>主要成分：方解石，是一种化合物，化学式是CaCO</w:t>
                  </w:r>
                  <w:r>
                    <w:rPr>
                      <w:sz w:val="21"/>
                      <w:szCs w:val="21"/>
                      <w:vertAlign w:val="subscript"/>
                    </w:rPr>
                    <w:t>3</w:t>
                  </w:r>
                  <w:r>
                    <w:rPr>
                      <w:sz w:val="21"/>
                      <w:szCs w:val="21"/>
                    </w:rPr>
                    <w:t>。</w:t>
                  </w:r>
                </w:p>
              </w:tc>
            </w:tr>
            <w:tr w14:paraId="58C8E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65D1DEF8">
                  <w:pPr>
                    <w:pStyle w:val="154"/>
                    <w:rPr>
                      <w:sz w:val="21"/>
                      <w:szCs w:val="21"/>
                    </w:rPr>
                  </w:pPr>
                </w:p>
              </w:tc>
              <w:tc>
                <w:tcPr>
                  <w:tcW w:w="1511" w:type="dxa"/>
                  <w:tcBorders>
                    <w:left w:val="single" w:color="000000" w:sz="6" w:space="0"/>
                  </w:tcBorders>
                  <w:vAlign w:val="center"/>
                </w:tcPr>
                <w:p w14:paraId="17AF0357">
                  <w:pPr>
                    <w:pStyle w:val="154"/>
                    <w:rPr>
                      <w:sz w:val="21"/>
                      <w:szCs w:val="21"/>
                    </w:rPr>
                  </w:pPr>
                  <w:r>
                    <w:rPr>
                      <w:sz w:val="21"/>
                      <w:szCs w:val="21"/>
                    </w:rPr>
                    <w:t>硬脂酸</w:t>
                  </w:r>
                </w:p>
              </w:tc>
              <w:tc>
                <w:tcPr>
                  <w:tcW w:w="6049" w:type="dxa"/>
                </w:tcPr>
                <w:p w14:paraId="4CFA642C">
                  <w:pPr>
                    <w:pStyle w:val="154"/>
                    <w:rPr>
                      <w:sz w:val="21"/>
                      <w:szCs w:val="21"/>
                    </w:rPr>
                  </w:pPr>
                  <w:r>
                    <w:rPr>
                      <w:sz w:val="21"/>
                      <w:szCs w:val="21"/>
                    </w:rPr>
                    <w:t>十八烷酸，分子式C</w:t>
                  </w:r>
                  <w:r>
                    <w:rPr>
                      <w:sz w:val="21"/>
                      <w:szCs w:val="21"/>
                      <w:vertAlign w:val="subscript"/>
                    </w:rPr>
                    <w:t>18</w:t>
                  </w:r>
                  <w:r>
                    <w:rPr>
                      <w:sz w:val="21"/>
                      <w:szCs w:val="21"/>
                    </w:rPr>
                    <w:t>H</w:t>
                  </w:r>
                  <w:r>
                    <w:rPr>
                      <w:sz w:val="21"/>
                      <w:szCs w:val="21"/>
                      <w:vertAlign w:val="subscript"/>
                    </w:rPr>
                    <w:t>36</w:t>
                  </w:r>
                  <w:r>
                    <w:rPr>
                      <w:sz w:val="21"/>
                      <w:szCs w:val="21"/>
                    </w:rPr>
                    <w:t>O</w:t>
                  </w:r>
                  <w:r>
                    <w:rPr>
                      <w:sz w:val="21"/>
                      <w:szCs w:val="21"/>
                      <w:vertAlign w:val="subscript"/>
                    </w:rPr>
                    <w:t>2</w:t>
                  </w:r>
                  <w:r>
                    <w:rPr>
                      <w:sz w:val="21"/>
                      <w:szCs w:val="21"/>
                    </w:rPr>
                    <w:t>，由油脂水解生产。</w:t>
                  </w:r>
                </w:p>
              </w:tc>
            </w:tr>
            <w:tr w14:paraId="79235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47909E6A">
                  <w:pPr>
                    <w:pStyle w:val="154"/>
                    <w:rPr>
                      <w:sz w:val="21"/>
                      <w:szCs w:val="21"/>
                    </w:rPr>
                  </w:pPr>
                </w:p>
              </w:tc>
              <w:tc>
                <w:tcPr>
                  <w:tcW w:w="1511" w:type="dxa"/>
                  <w:tcBorders>
                    <w:left w:val="single" w:color="000000" w:sz="6" w:space="0"/>
                  </w:tcBorders>
                  <w:vAlign w:val="center"/>
                </w:tcPr>
                <w:p w14:paraId="7771E0E4">
                  <w:pPr>
                    <w:pStyle w:val="154"/>
                    <w:rPr>
                      <w:sz w:val="21"/>
                      <w:szCs w:val="21"/>
                    </w:rPr>
                  </w:pPr>
                  <w:r>
                    <w:rPr>
                      <w:sz w:val="21"/>
                      <w:szCs w:val="21"/>
                    </w:rPr>
                    <w:t>钛白粉</w:t>
                  </w:r>
                </w:p>
              </w:tc>
              <w:tc>
                <w:tcPr>
                  <w:tcW w:w="6049" w:type="dxa"/>
                </w:tcPr>
                <w:p w14:paraId="38DE122B">
                  <w:pPr>
                    <w:pStyle w:val="154"/>
                    <w:rPr>
                      <w:sz w:val="21"/>
                      <w:szCs w:val="21"/>
                    </w:rPr>
                  </w:pPr>
                  <w:r>
                    <w:rPr>
                      <w:sz w:val="21"/>
                      <w:szCs w:val="21"/>
                    </w:rPr>
                    <w:t>二氧化钛，分子式TiO</w:t>
                  </w:r>
                  <w:r>
                    <w:rPr>
                      <w:sz w:val="21"/>
                      <w:szCs w:val="21"/>
                      <w:vertAlign w:val="subscript"/>
                    </w:rPr>
                    <w:t>2</w:t>
                  </w:r>
                  <w:r>
                    <w:rPr>
                      <w:sz w:val="21"/>
                      <w:szCs w:val="21"/>
                    </w:rPr>
                    <w:t>。</w:t>
                  </w:r>
                </w:p>
              </w:tc>
            </w:tr>
            <w:tr w14:paraId="6CCB2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restart"/>
                  <w:tcBorders>
                    <w:right w:val="single" w:color="000000" w:sz="6" w:space="0"/>
                  </w:tcBorders>
                  <w:vAlign w:val="center"/>
                </w:tcPr>
                <w:p w14:paraId="65E7A5F4">
                  <w:pPr>
                    <w:pStyle w:val="154"/>
                    <w:rPr>
                      <w:sz w:val="21"/>
                      <w:szCs w:val="21"/>
                    </w:rPr>
                  </w:pPr>
                  <w:r>
                    <w:rPr>
                      <w:rFonts w:hint="eastAsia"/>
                      <w:sz w:val="21"/>
                      <w:szCs w:val="21"/>
                    </w:rPr>
                    <w:t>聚氨酯工艺布鞋</w:t>
                  </w:r>
                </w:p>
              </w:tc>
              <w:tc>
                <w:tcPr>
                  <w:tcW w:w="1511" w:type="dxa"/>
                  <w:tcBorders>
                    <w:left w:val="single" w:color="000000" w:sz="6" w:space="0"/>
                  </w:tcBorders>
                  <w:vAlign w:val="center"/>
                </w:tcPr>
                <w:p w14:paraId="2E4DA81E">
                  <w:pPr>
                    <w:pStyle w:val="154"/>
                    <w:rPr>
                      <w:sz w:val="21"/>
                      <w:szCs w:val="21"/>
                    </w:rPr>
                  </w:pPr>
                  <w:r>
                    <w:rPr>
                      <w:rFonts w:hint="eastAsia"/>
                      <w:sz w:val="21"/>
                      <w:szCs w:val="21"/>
                    </w:rPr>
                    <w:t>聚氨酯A料</w:t>
                  </w:r>
                </w:p>
              </w:tc>
              <w:tc>
                <w:tcPr>
                  <w:tcW w:w="6049" w:type="dxa"/>
                </w:tcPr>
                <w:p w14:paraId="5322A51B">
                  <w:pPr>
                    <w:pStyle w:val="154"/>
                    <w:rPr>
                      <w:sz w:val="21"/>
                      <w:szCs w:val="21"/>
                    </w:rPr>
                  </w:pPr>
                  <w:r>
                    <w:rPr>
                      <w:rFonts w:hint="eastAsia"/>
                      <w:sz w:val="21"/>
                      <w:szCs w:val="21"/>
                    </w:rPr>
                    <w:t>聚酯多元醇90-97%；硅油0.2-0.1%；水0.4-0.5%；</w:t>
                  </w:r>
                </w:p>
                <w:p w14:paraId="125426BE">
                  <w:pPr>
                    <w:pStyle w:val="154"/>
                    <w:rPr>
                      <w:sz w:val="21"/>
                      <w:szCs w:val="21"/>
                    </w:rPr>
                  </w:pPr>
                  <w:r>
                    <w:rPr>
                      <w:rFonts w:hint="eastAsia"/>
                      <w:sz w:val="21"/>
                      <w:szCs w:val="21"/>
                    </w:rPr>
                    <w:t>小分子二元醇3-5%</w:t>
                  </w:r>
                </w:p>
              </w:tc>
            </w:tr>
            <w:tr w14:paraId="5333F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62955FD1">
                  <w:pPr>
                    <w:pStyle w:val="154"/>
                    <w:rPr>
                      <w:sz w:val="21"/>
                      <w:szCs w:val="21"/>
                    </w:rPr>
                  </w:pPr>
                </w:p>
              </w:tc>
              <w:tc>
                <w:tcPr>
                  <w:tcW w:w="1511" w:type="dxa"/>
                  <w:tcBorders>
                    <w:left w:val="single" w:color="000000" w:sz="6" w:space="0"/>
                  </w:tcBorders>
                  <w:vAlign w:val="center"/>
                </w:tcPr>
                <w:p w14:paraId="09FA5F63">
                  <w:pPr>
                    <w:pStyle w:val="154"/>
                    <w:rPr>
                      <w:sz w:val="21"/>
                      <w:szCs w:val="21"/>
                    </w:rPr>
                  </w:pPr>
                  <w:r>
                    <w:rPr>
                      <w:rFonts w:hint="eastAsia"/>
                      <w:sz w:val="21"/>
                      <w:szCs w:val="21"/>
                    </w:rPr>
                    <w:t>聚氨酯B料</w:t>
                  </w:r>
                </w:p>
              </w:tc>
              <w:tc>
                <w:tcPr>
                  <w:tcW w:w="6049" w:type="dxa"/>
                </w:tcPr>
                <w:p w14:paraId="49951AD3">
                  <w:pPr>
                    <w:pStyle w:val="154"/>
                    <w:rPr>
                      <w:sz w:val="21"/>
                      <w:szCs w:val="21"/>
                    </w:rPr>
                  </w:pPr>
                  <w:r>
                    <w:rPr>
                      <w:rFonts w:hint="eastAsia"/>
                      <w:sz w:val="21"/>
                      <w:szCs w:val="21"/>
                    </w:rPr>
                    <w:t>聚酯多元醇40-50%；聚醚多元醇10~15%；</w:t>
                  </w:r>
                </w:p>
                <w:p w14:paraId="4C1B8040">
                  <w:pPr>
                    <w:pStyle w:val="154"/>
                    <w:rPr>
                      <w:sz w:val="21"/>
                      <w:szCs w:val="21"/>
                    </w:rPr>
                  </w:pPr>
                  <w:r>
                    <w:rPr>
                      <w:rFonts w:hint="eastAsia"/>
                      <w:sz w:val="21"/>
                      <w:szCs w:val="21"/>
                    </w:rPr>
                    <w:t>二苯基甲烷二异氰酸酯(MDI)40~50%磷酸50~80ppm</w:t>
                  </w:r>
                </w:p>
              </w:tc>
            </w:tr>
            <w:tr w14:paraId="535FB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32F7C273">
                  <w:pPr>
                    <w:pStyle w:val="154"/>
                    <w:rPr>
                      <w:sz w:val="21"/>
                      <w:szCs w:val="21"/>
                    </w:rPr>
                  </w:pPr>
                </w:p>
              </w:tc>
              <w:tc>
                <w:tcPr>
                  <w:tcW w:w="1511" w:type="dxa"/>
                  <w:tcBorders>
                    <w:left w:val="single" w:color="000000" w:sz="6" w:space="0"/>
                  </w:tcBorders>
                  <w:vAlign w:val="center"/>
                </w:tcPr>
                <w:p w14:paraId="4878456A">
                  <w:pPr>
                    <w:pStyle w:val="154"/>
                    <w:rPr>
                      <w:sz w:val="21"/>
                      <w:szCs w:val="21"/>
                    </w:rPr>
                  </w:pPr>
                  <w:r>
                    <w:rPr>
                      <w:rFonts w:hint="eastAsia"/>
                      <w:sz w:val="21"/>
                      <w:szCs w:val="21"/>
                    </w:rPr>
                    <w:t>聚氨酯C料</w:t>
                  </w:r>
                </w:p>
              </w:tc>
              <w:tc>
                <w:tcPr>
                  <w:tcW w:w="6049" w:type="dxa"/>
                </w:tcPr>
                <w:p w14:paraId="06C7B401">
                  <w:pPr>
                    <w:pStyle w:val="154"/>
                    <w:rPr>
                      <w:sz w:val="21"/>
                      <w:szCs w:val="21"/>
                    </w:rPr>
                  </w:pPr>
                  <w:r>
                    <w:rPr>
                      <w:rFonts w:hint="eastAsia"/>
                      <w:sz w:val="21"/>
                      <w:szCs w:val="21"/>
                    </w:rPr>
                    <w:t>乙二醇65-70%；三乙烯二胺30-35%</w:t>
                  </w:r>
                </w:p>
              </w:tc>
            </w:tr>
            <w:tr w14:paraId="08D1B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06F56783">
                  <w:pPr>
                    <w:pStyle w:val="154"/>
                    <w:rPr>
                      <w:sz w:val="21"/>
                      <w:szCs w:val="21"/>
                    </w:rPr>
                  </w:pPr>
                </w:p>
              </w:tc>
              <w:tc>
                <w:tcPr>
                  <w:tcW w:w="1511" w:type="dxa"/>
                  <w:tcBorders>
                    <w:left w:val="single" w:color="000000" w:sz="6" w:space="0"/>
                  </w:tcBorders>
                  <w:vAlign w:val="center"/>
                </w:tcPr>
                <w:p w14:paraId="54DBFFA0">
                  <w:pPr>
                    <w:pStyle w:val="154"/>
                    <w:rPr>
                      <w:sz w:val="21"/>
                      <w:szCs w:val="21"/>
                    </w:rPr>
                  </w:pPr>
                  <w:r>
                    <w:rPr>
                      <w:rFonts w:hint="eastAsia"/>
                      <w:sz w:val="21"/>
                      <w:szCs w:val="21"/>
                    </w:rPr>
                    <w:t>色浆</w:t>
                  </w:r>
                </w:p>
              </w:tc>
              <w:tc>
                <w:tcPr>
                  <w:tcW w:w="6049" w:type="dxa"/>
                </w:tcPr>
                <w:p w14:paraId="5FC65395">
                  <w:pPr>
                    <w:pStyle w:val="154"/>
                    <w:rPr>
                      <w:sz w:val="21"/>
                      <w:szCs w:val="21"/>
                    </w:rPr>
                  </w:pPr>
                  <w:r>
                    <w:rPr>
                      <w:rFonts w:hint="eastAsia"/>
                      <w:sz w:val="21"/>
                      <w:szCs w:val="21"/>
                    </w:rPr>
                    <w:t>丙烯酸树脂20%；丙二醇甲醚10%；去离子水34.2~39.5%，消泡剂(脂肪酸脂)0.5~0.8%；颜料30%~35%(其中白色颜料主要成分为钛白粉、黑色颜料主要成分为炭黑、红色颜料主要成分为氧化铁红)，添加不同色浆可用于改变聚氨酯的颜色。</w:t>
                  </w:r>
                </w:p>
              </w:tc>
            </w:tr>
            <w:tr w14:paraId="349B2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449B5A9A">
                  <w:pPr>
                    <w:pStyle w:val="154"/>
                    <w:rPr>
                      <w:sz w:val="21"/>
                      <w:szCs w:val="21"/>
                    </w:rPr>
                  </w:pPr>
                </w:p>
              </w:tc>
              <w:tc>
                <w:tcPr>
                  <w:tcW w:w="1511" w:type="dxa"/>
                  <w:tcBorders>
                    <w:left w:val="single" w:color="000000" w:sz="6" w:space="0"/>
                  </w:tcBorders>
                  <w:vAlign w:val="center"/>
                </w:tcPr>
                <w:p w14:paraId="00342B22">
                  <w:pPr>
                    <w:pStyle w:val="154"/>
                    <w:rPr>
                      <w:sz w:val="21"/>
                      <w:szCs w:val="21"/>
                    </w:rPr>
                  </w:pPr>
                  <w:r>
                    <w:rPr>
                      <w:rFonts w:hint="eastAsia"/>
                      <w:sz w:val="21"/>
                      <w:szCs w:val="21"/>
                    </w:rPr>
                    <w:t>水性脱模剂</w:t>
                  </w:r>
                </w:p>
              </w:tc>
              <w:tc>
                <w:tcPr>
                  <w:tcW w:w="6049" w:type="dxa"/>
                </w:tcPr>
                <w:p w14:paraId="06B7B1ED">
                  <w:pPr>
                    <w:pStyle w:val="154"/>
                    <w:rPr>
                      <w:sz w:val="21"/>
                      <w:szCs w:val="21"/>
                    </w:rPr>
                  </w:pPr>
                  <w:r>
                    <w:rPr>
                      <w:rFonts w:hint="eastAsia"/>
                      <w:sz w:val="21"/>
                      <w:szCs w:val="21"/>
                    </w:rPr>
                    <w:t>硅油15%；硅油树胎15%；乳化液(植物油、石油磺酸钠、硬胎酸铝)3%；水67%</w:t>
                  </w:r>
                </w:p>
              </w:tc>
            </w:tr>
            <w:tr w14:paraId="0992B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416" w:type="dxa"/>
                  <w:vMerge w:val="continue"/>
                  <w:tcBorders>
                    <w:right w:val="single" w:color="000000" w:sz="6" w:space="0"/>
                  </w:tcBorders>
                  <w:vAlign w:val="center"/>
                </w:tcPr>
                <w:p w14:paraId="2C4E86ED">
                  <w:pPr>
                    <w:pStyle w:val="154"/>
                    <w:rPr>
                      <w:sz w:val="21"/>
                      <w:szCs w:val="21"/>
                    </w:rPr>
                  </w:pPr>
                </w:p>
              </w:tc>
              <w:tc>
                <w:tcPr>
                  <w:tcW w:w="1511" w:type="dxa"/>
                  <w:tcBorders>
                    <w:left w:val="single" w:color="000000" w:sz="6" w:space="0"/>
                  </w:tcBorders>
                  <w:vAlign w:val="center"/>
                </w:tcPr>
                <w:p w14:paraId="08A0B47C">
                  <w:pPr>
                    <w:pStyle w:val="154"/>
                    <w:rPr>
                      <w:sz w:val="21"/>
                      <w:szCs w:val="21"/>
                    </w:rPr>
                  </w:pPr>
                  <w:r>
                    <w:rPr>
                      <w:rFonts w:hint="eastAsia"/>
                      <w:sz w:val="21"/>
                      <w:szCs w:val="21"/>
                    </w:rPr>
                    <w:t>水基清洗剂</w:t>
                  </w:r>
                </w:p>
              </w:tc>
              <w:tc>
                <w:tcPr>
                  <w:tcW w:w="6049" w:type="dxa"/>
                </w:tcPr>
                <w:p w14:paraId="6DB314A2">
                  <w:pPr>
                    <w:pStyle w:val="154"/>
                    <w:rPr>
                      <w:sz w:val="21"/>
                      <w:szCs w:val="21"/>
                    </w:rPr>
                  </w:pPr>
                  <w:r>
                    <w:rPr>
                      <w:rFonts w:hint="eastAsia"/>
                      <w:sz w:val="21"/>
                      <w:szCs w:val="21"/>
                    </w:rPr>
                    <w:t>非离子表面活性剂(胎肪酸聚氧乙烯酯)50%；阳离子表面活性剂(高级脂肪胺盐)10%；渗透(仲烷基硫酸酯钠)10%；防锈剂(六亚甲基四胺:氯化钠)5%；助剂(三聚磷酸钠)5%；消泡剂(脂肪酸脂)1%；缓蚀剂(膦羧酸:磺化木质素)1%；水18%。</w:t>
                  </w:r>
                </w:p>
              </w:tc>
            </w:tr>
          </w:tbl>
          <w:p w14:paraId="734AE6E5">
            <w:pPr>
              <w:pStyle w:val="179"/>
              <w:rPr>
                <w:b/>
                <w:u w:val="single"/>
              </w:rPr>
            </w:pPr>
            <w:r>
              <w:rPr>
                <w:rFonts w:hint="eastAsia"/>
                <w:b/>
                <w:u w:val="single"/>
              </w:rPr>
              <w:t>（2）低VOCs含量物料判定</w:t>
            </w:r>
          </w:p>
          <w:p w14:paraId="468E028C">
            <w:pPr>
              <w:pStyle w:val="156"/>
              <w:ind w:firstLine="482"/>
              <w:rPr>
                <w:b/>
                <w:u w:val="single"/>
              </w:rPr>
            </w:pPr>
            <w:r>
              <w:rPr>
                <w:rFonts w:hint="eastAsia"/>
                <w:b/>
                <w:u w:val="single"/>
              </w:rPr>
              <w:t>根据企业提供的水基清洗剂检验报告（附件7），水基清洗剂VOCs含量为0.8%，符合《清洗剂挥发性有机化合物含量限值》(GB38508-2020)要求，属于低VOCs含量的水基清洗剂。相关符合性分析如下表。（水基清洗剂密度取1.1g/ml）</w:t>
            </w:r>
          </w:p>
          <w:p w14:paraId="54B97002">
            <w:pPr>
              <w:pStyle w:val="182"/>
              <w:ind w:firstLine="482"/>
              <w:rPr>
                <w:b/>
                <w:u w:val="single"/>
              </w:rPr>
            </w:pPr>
            <w:r>
              <w:rPr>
                <w:rFonts w:hint="eastAsia"/>
                <w:b/>
                <w:u w:val="single"/>
              </w:rPr>
              <w:t>表2-6             低VOCs水基清洗剂判定情况一览表</w:t>
            </w:r>
          </w:p>
          <w:tbl>
            <w:tblPr>
              <w:tblStyle w:val="88"/>
              <w:tblW w:w="9277"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37"/>
              <w:gridCol w:w="780"/>
              <w:gridCol w:w="852"/>
              <w:gridCol w:w="850"/>
              <w:gridCol w:w="2978"/>
              <w:gridCol w:w="1277"/>
              <w:gridCol w:w="991"/>
              <w:gridCol w:w="1212"/>
            </w:tblGrid>
            <w:tr w14:paraId="6F07BA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82" w:type="pct"/>
                  <w:vMerge w:val="restart"/>
                  <w:vAlign w:val="center"/>
                </w:tcPr>
                <w:p w14:paraId="46754C63">
                  <w:pPr>
                    <w:pStyle w:val="154"/>
                    <w:rPr>
                      <w:rFonts w:eastAsia="宋体" w:cs="Times New Roman"/>
                      <w:b/>
                      <w:sz w:val="21"/>
                      <w:szCs w:val="21"/>
                      <w:u w:val="single"/>
                    </w:rPr>
                  </w:pPr>
                  <w:r>
                    <w:rPr>
                      <w:rFonts w:hint="eastAsia" w:eastAsia="宋体" w:cs="Times New Roman"/>
                      <w:b/>
                      <w:sz w:val="21"/>
                      <w:szCs w:val="21"/>
                      <w:u w:val="single"/>
                    </w:rPr>
                    <w:t>序号</w:t>
                  </w:r>
                </w:p>
              </w:tc>
              <w:tc>
                <w:tcPr>
                  <w:tcW w:w="1338" w:type="pct"/>
                  <w:gridSpan w:val="3"/>
                  <w:vAlign w:val="center"/>
                </w:tcPr>
                <w:p w14:paraId="15C2F7FE">
                  <w:pPr>
                    <w:pStyle w:val="154"/>
                    <w:rPr>
                      <w:rFonts w:eastAsia="宋体" w:cs="Times New Roman"/>
                      <w:b/>
                      <w:sz w:val="21"/>
                      <w:szCs w:val="21"/>
                      <w:u w:val="single"/>
                    </w:rPr>
                  </w:pPr>
                  <w:r>
                    <w:rPr>
                      <w:rFonts w:hint="eastAsia" w:eastAsia="宋体" w:cs="Times New Roman"/>
                      <w:b/>
                      <w:sz w:val="21"/>
                      <w:szCs w:val="21"/>
                      <w:u w:val="single"/>
                    </w:rPr>
                    <w:t>项目情况</w:t>
                  </w:r>
                </w:p>
              </w:tc>
              <w:tc>
                <w:tcPr>
                  <w:tcW w:w="2827" w:type="pct"/>
                  <w:gridSpan w:val="3"/>
                  <w:vAlign w:val="center"/>
                </w:tcPr>
                <w:p w14:paraId="6114DE2B">
                  <w:pPr>
                    <w:pStyle w:val="154"/>
                    <w:rPr>
                      <w:rFonts w:eastAsia="宋体" w:cs="Times New Roman"/>
                      <w:b/>
                      <w:sz w:val="21"/>
                      <w:szCs w:val="21"/>
                      <w:u w:val="single"/>
                    </w:rPr>
                  </w:pPr>
                  <w:r>
                    <w:rPr>
                      <w:rFonts w:hint="eastAsia" w:eastAsia="宋体" w:cs="Times New Roman"/>
                      <w:b/>
                      <w:sz w:val="21"/>
                      <w:szCs w:val="21"/>
                      <w:u w:val="single"/>
                    </w:rPr>
                    <w:t>标准要求</w:t>
                  </w:r>
                </w:p>
              </w:tc>
              <w:tc>
                <w:tcPr>
                  <w:tcW w:w="653" w:type="pct"/>
                  <w:vMerge w:val="restart"/>
                  <w:vAlign w:val="center"/>
                </w:tcPr>
                <w:p w14:paraId="6A2F3B24">
                  <w:pPr>
                    <w:pStyle w:val="154"/>
                    <w:rPr>
                      <w:rFonts w:eastAsia="宋体" w:cs="Times New Roman"/>
                      <w:b/>
                      <w:sz w:val="21"/>
                      <w:szCs w:val="21"/>
                      <w:u w:val="single"/>
                    </w:rPr>
                  </w:pPr>
                  <w:r>
                    <w:rPr>
                      <w:rFonts w:hint="eastAsia" w:eastAsia="宋体" w:cs="Times New Roman"/>
                      <w:b/>
                      <w:sz w:val="21"/>
                      <w:szCs w:val="21"/>
                      <w:u w:val="single"/>
                    </w:rPr>
                    <w:t>是否属于低VOCs物料</w:t>
                  </w:r>
                </w:p>
              </w:tc>
            </w:tr>
            <w:tr w14:paraId="3FD8EB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83" w:hRule="atLeast"/>
              </w:trPr>
              <w:tc>
                <w:tcPr>
                  <w:tcW w:w="182" w:type="pct"/>
                  <w:vMerge w:val="continue"/>
                  <w:vAlign w:val="center"/>
                </w:tcPr>
                <w:p w14:paraId="32207B8E">
                  <w:pPr>
                    <w:pStyle w:val="154"/>
                    <w:rPr>
                      <w:rFonts w:eastAsia="宋体" w:cs="Times New Roman"/>
                      <w:b/>
                      <w:sz w:val="21"/>
                      <w:szCs w:val="21"/>
                      <w:u w:val="single"/>
                    </w:rPr>
                  </w:pPr>
                </w:p>
              </w:tc>
              <w:tc>
                <w:tcPr>
                  <w:tcW w:w="421" w:type="pct"/>
                  <w:vAlign w:val="center"/>
                </w:tcPr>
                <w:p w14:paraId="66156C0D">
                  <w:pPr>
                    <w:pStyle w:val="154"/>
                    <w:rPr>
                      <w:rFonts w:eastAsia="宋体" w:cs="Times New Roman"/>
                      <w:b/>
                      <w:sz w:val="21"/>
                      <w:szCs w:val="21"/>
                      <w:u w:val="single"/>
                    </w:rPr>
                  </w:pPr>
                  <w:r>
                    <w:rPr>
                      <w:rFonts w:hint="eastAsia" w:eastAsia="宋体" w:cs="Times New Roman"/>
                      <w:b/>
                      <w:sz w:val="21"/>
                      <w:szCs w:val="21"/>
                      <w:u w:val="single"/>
                    </w:rPr>
                    <w:t>原料</w:t>
                  </w:r>
                </w:p>
                <w:p w14:paraId="7DCABAF7">
                  <w:pPr>
                    <w:pStyle w:val="154"/>
                    <w:rPr>
                      <w:rFonts w:eastAsia="宋体" w:cs="Times New Roman"/>
                      <w:b/>
                      <w:sz w:val="21"/>
                      <w:szCs w:val="21"/>
                      <w:u w:val="single"/>
                    </w:rPr>
                  </w:pPr>
                  <w:r>
                    <w:rPr>
                      <w:rFonts w:hint="eastAsia" w:eastAsia="宋体" w:cs="Times New Roman"/>
                      <w:b/>
                      <w:sz w:val="21"/>
                      <w:szCs w:val="21"/>
                      <w:u w:val="single"/>
                    </w:rPr>
                    <w:t>名称</w:t>
                  </w:r>
                </w:p>
              </w:tc>
              <w:tc>
                <w:tcPr>
                  <w:tcW w:w="459" w:type="pct"/>
                  <w:vAlign w:val="center"/>
                </w:tcPr>
                <w:p w14:paraId="70EF9C4A">
                  <w:pPr>
                    <w:pStyle w:val="154"/>
                    <w:rPr>
                      <w:rFonts w:eastAsia="宋体" w:cs="Times New Roman"/>
                      <w:b/>
                      <w:sz w:val="21"/>
                      <w:szCs w:val="21"/>
                      <w:u w:val="single"/>
                    </w:rPr>
                  </w:pPr>
                  <w:r>
                    <w:rPr>
                      <w:rFonts w:hint="eastAsia" w:eastAsia="宋体" w:cs="Times New Roman"/>
                      <w:b/>
                      <w:sz w:val="21"/>
                      <w:szCs w:val="21"/>
                      <w:u w:val="single"/>
                    </w:rPr>
                    <w:t>VOCs</w:t>
                  </w:r>
                </w:p>
                <w:p w14:paraId="1C04DD76">
                  <w:pPr>
                    <w:pStyle w:val="154"/>
                    <w:rPr>
                      <w:rFonts w:eastAsia="宋体" w:cs="Times New Roman"/>
                      <w:b/>
                      <w:sz w:val="21"/>
                      <w:szCs w:val="21"/>
                      <w:u w:val="single"/>
                    </w:rPr>
                  </w:pPr>
                  <w:r>
                    <w:rPr>
                      <w:rFonts w:hint="eastAsia" w:eastAsia="宋体" w:cs="Times New Roman"/>
                      <w:b/>
                      <w:sz w:val="21"/>
                      <w:szCs w:val="21"/>
                      <w:u w:val="single"/>
                    </w:rPr>
                    <w:t>含量%</w:t>
                  </w:r>
                </w:p>
              </w:tc>
              <w:tc>
                <w:tcPr>
                  <w:tcW w:w="457" w:type="pct"/>
                </w:tcPr>
                <w:p w14:paraId="56D0EE28">
                  <w:pPr>
                    <w:pStyle w:val="154"/>
                    <w:rPr>
                      <w:rFonts w:eastAsia="宋体" w:cs="Times New Roman"/>
                      <w:b/>
                      <w:sz w:val="21"/>
                      <w:szCs w:val="21"/>
                      <w:u w:val="single"/>
                    </w:rPr>
                  </w:pPr>
                  <w:r>
                    <w:rPr>
                      <w:rFonts w:hint="eastAsia" w:eastAsia="宋体" w:cs="Times New Roman"/>
                      <w:b/>
                      <w:sz w:val="21"/>
                      <w:szCs w:val="21"/>
                      <w:u w:val="single"/>
                    </w:rPr>
                    <w:t>VOCs</w:t>
                  </w:r>
                </w:p>
                <w:p w14:paraId="7DF183C6">
                  <w:pPr>
                    <w:pStyle w:val="45"/>
                    <w:jc w:val="center"/>
                  </w:pPr>
                  <w:r>
                    <w:rPr>
                      <w:rFonts w:hint="eastAsia" w:cs="Times New Roman"/>
                      <w:b/>
                      <w:sz w:val="21"/>
                      <w:u w:val="single"/>
                    </w:rPr>
                    <w:t>含量g/L</w:t>
                  </w:r>
                </w:p>
              </w:tc>
              <w:tc>
                <w:tcPr>
                  <w:tcW w:w="1605" w:type="pct"/>
                  <w:vAlign w:val="center"/>
                </w:tcPr>
                <w:p w14:paraId="6A200FEE">
                  <w:pPr>
                    <w:pStyle w:val="154"/>
                    <w:rPr>
                      <w:rFonts w:eastAsia="宋体" w:cs="Times New Roman"/>
                      <w:b/>
                      <w:sz w:val="21"/>
                      <w:szCs w:val="21"/>
                      <w:u w:val="single"/>
                    </w:rPr>
                  </w:pPr>
                  <w:r>
                    <w:rPr>
                      <w:rFonts w:hint="eastAsia" w:eastAsia="宋体" w:cs="Times New Roman"/>
                      <w:b/>
                      <w:sz w:val="21"/>
                      <w:szCs w:val="21"/>
                      <w:u w:val="single"/>
                    </w:rPr>
                    <w:t>标准名称</w:t>
                  </w:r>
                </w:p>
              </w:tc>
              <w:tc>
                <w:tcPr>
                  <w:tcW w:w="688" w:type="pct"/>
                  <w:vAlign w:val="center"/>
                </w:tcPr>
                <w:p w14:paraId="32F57E54">
                  <w:pPr>
                    <w:pStyle w:val="154"/>
                    <w:rPr>
                      <w:rFonts w:eastAsia="宋体" w:cs="Times New Roman"/>
                      <w:b/>
                      <w:sz w:val="21"/>
                      <w:szCs w:val="21"/>
                      <w:u w:val="single"/>
                    </w:rPr>
                  </w:pPr>
                  <w:r>
                    <w:rPr>
                      <w:rFonts w:hint="eastAsia" w:eastAsia="宋体" w:cs="Times New Roman"/>
                      <w:b/>
                      <w:sz w:val="21"/>
                      <w:szCs w:val="21"/>
                      <w:u w:val="single"/>
                    </w:rPr>
                    <w:t>类别</w:t>
                  </w:r>
                </w:p>
              </w:tc>
              <w:tc>
                <w:tcPr>
                  <w:tcW w:w="534" w:type="pct"/>
                  <w:vAlign w:val="center"/>
                </w:tcPr>
                <w:p w14:paraId="1431F21B">
                  <w:pPr>
                    <w:pStyle w:val="154"/>
                    <w:rPr>
                      <w:rFonts w:eastAsia="宋体" w:cs="Times New Roman"/>
                      <w:b/>
                      <w:sz w:val="21"/>
                      <w:szCs w:val="21"/>
                      <w:u w:val="single"/>
                    </w:rPr>
                  </w:pPr>
                  <w:r>
                    <w:rPr>
                      <w:rFonts w:hint="eastAsia" w:eastAsia="宋体" w:cs="Times New Roman"/>
                      <w:b/>
                      <w:sz w:val="21"/>
                      <w:szCs w:val="21"/>
                      <w:u w:val="single"/>
                    </w:rPr>
                    <w:t>VOCs</w:t>
                  </w:r>
                </w:p>
                <w:p w14:paraId="04425AB4">
                  <w:pPr>
                    <w:pStyle w:val="154"/>
                    <w:rPr>
                      <w:rFonts w:eastAsia="宋体" w:cs="Times New Roman"/>
                      <w:b/>
                      <w:sz w:val="21"/>
                      <w:szCs w:val="21"/>
                      <w:u w:val="single"/>
                    </w:rPr>
                  </w:pPr>
                  <w:r>
                    <w:rPr>
                      <w:rFonts w:hint="eastAsia" w:eastAsia="宋体" w:cs="Times New Roman"/>
                      <w:b/>
                      <w:sz w:val="21"/>
                      <w:szCs w:val="21"/>
                      <w:u w:val="single"/>
                    </w:rPr>
                    <w:t>限值g/L</w:t>
                  </w:r>
                </w:p>
              </w:tc>
              <w:tc>
                <w:tcPr>
                  <w:tcW w:w="653" w:type="pct"/>
                  <w:vMerge w:val="continue"/>
                  <w:vAlign w:val="center"/>
                </w:tcPr>
                <w:p w14:paraId="0BE72DB7">
                  <w:pPr>
                    <w:pStyle w:val="154"/>
                    <w:rPr>
                      <w:rFonts w:eastAsia="宋体" w:cs="Times New Roman"/>
                      <w:b/>
                      <w:sz w:val="21"/>
                      <w:szCs w:val="21"/>
                      <w:u w:val="single"/>
                    </w:rPr>
                  </w:pPr>
                </w:p>
              </w:tc>
            </w:tr>
            <w:tr w14:paraId="193D8F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56" w:hRule="atLeast"/>
              </w:trPr>
              <w:tc>
                <w:tcPr>
                  <w:tcW w:w="182" w:type="pct"/>
                  <w:vAlign w:val="center"/>
                </w:tcPr>
                <w:p w14:paraId="1A78B0FB">
                  <w:pPr>
                    <w:pStyle w:val="154"/>
                    <w:rPr>
                      <w:rFonts w:eastAsia="宋体" w:cs="Times New Roman"/>
                      <w:b/>
                      <w:sz w:val="21"/>
                      <w:szCs w:val="21"/>
                      <w:u w:val="single"/>
                    </w:rPr>
                  </w:pPr>
                  <w:r>
                    <w:rPr>
                      <w:rFonts w:hint="eastAsia" w:eastAsia="宋体" w:cs="Times New Roman"/>
                      <w:b/>
                      <w:sz w:val="21"/>
                      <w:szCs w:val="21"/>
                      <w:u w:val="single"/>
                    </w:rPr>
                    <w:t>1</w:t>
                  </w:r>
                </w:p>
              </w:tc>
              <w:tc>
                <w:tcPr>
                  <w:tcW w:w="421" w:type="pct"/>
                  <w:vAlign w:val="center"/>
                </w:tcPr>
                <w:p w14:paraId="2ED3DDF2">
                  <w:pPr>
                    <w:pStyle w:val="154"/>
                    <w:rPr>
                      <w:rFonts w:eastAsia="宋体" w:cs="Times New Roman"/>
                      <w:b/>
                      <w:sz w:val="21"/>
                      <w:szCs w:val="21"/>
                      <w:u w:val="single"/>
                    </w:rPr>
                  </w:pPr>
                  <w:r>
                    <w:rPr>
                      <w:rFonts w:hint="eastAsia" w:eastAsia="宋体" w:cs="Times New Roman"/>
                      <w:b/>
                      <w:sz w:val="21"/>
                      <w:szCs w:val="21"/>
                      <w:u w:val="single"/>
                    </w:rPr>
                    <w:t>水基清洗剂</w:t>
                  </w:r>
                </w:p>
              </w:tc>
              <w:tc>
                <w:tcPr>
                  <w:tcW w:w="459" w:type="pct"/>
                  <w:vAlign w:val="center"/>
                </w:tcPr>
                <w:p w14:paraId="341A25B7">
                  <w:pPr>
                    <w:pStyle w:val="154"/>
                    <w:rPr>
                      <w:rFonts w:eastAsia="宋体" w:cs="Times New Roman"/>
                      <w:b/>
                      <w:sz w:val="21"/>
                      <w:szCs w:val="21"/>
                      <w:u w:val="single"/>
                    </w:rPr>
                  </w:pPr>
                  <w:r>
                    <w:rPr>
                      <w:rFonts w:hint="eastAsia" w:eastAsia="宋体" w:cs="Times New Roman"/>
                      <w:b/>
                      <w:sz w:val="21"/>
                      <w:szCs w:val="21"/>
                      <w:u w:val="single"/>
                    </w:rPr>
                    <w:t>0.8</w:t>
                  </w:r>
                </w:p>
              </w:tc>
              <w:tc>
                <w:tcPr>
                  <w:tcW w:w="457" w:type="pct"/>
                </w:tcPr>
                <w:p w14:paraId="35794CA0">
                  <w:pPr>
                    <w:pStyle w:val="45"/>
                  </w:pPr>
                </w:p>
                <w:p w14:paraId="67896D7C">
                  <w:pPr>
                    <w:pStyle w:val="45"/>
                    <w:jc w:val="center"/>
                    <w:rPr>
                      <w:rFonts w:ascii="Times New Roman" w:hAnsi="Times New Roman" w:cs="Times New Roman"/>
                      <w:b/>
                      <w:sz w:val="21"/>
                      <w:u w:val="single"/>
                    </w:rPr>
                  </w:pPr>
                  <w:r>
                    <w:rPr>
                      <w:rFonts w:ascii="Times New Roman" w:hAnsi="Times New Roman" w:cs="Times New Roman"/>
                      <w:b/>
                      <w:sz w:val="21"/>
                      <w:u w:val="single"/>
                    </w:rPr>
                    <w:t>8.8</w:t>
                  </w:r>
                </w:p>
              </w:tc>
              <w:tc>
                <w:tcPr>
                  <w:tcW w:w="1605" w:type="pct"/>
                  <w:vAlign w:val="center"/>
                </w:tcPr>
                <w:p w14:paraId="4838625F">
                  <w:pPr>
                    <w:pStyle w:val="154"/>
                    <w:rPr>
                      <w:rFonts w:eastAsia="宋体" w:cs="Times New Roman"/>
                      <w:b/>
                      <w:sz w:val="21"/>
                      <w:szCs w:val="21"/>
                      <w:u w:val="single"/>
                    </w:rPr>
                  </w:pPr>
                  <w:r>
                    <w:rPr>
                      <w:rFonts w:hint="eastAsia"/>
                      <w:b/>
                      <w:sz w:val="21"/>
                      <w:szCs w:val="21"/>
                      <w:u w:val="single"/>
                    </w:rPr>
                    <w:t>《清洗剂挥发性有机化合物含量限值》(GB38508-2020)</w:t>
                  </w:r>
                </w:p>
              </w:tc>
              <w:tc>
                <w:tcPr>
                  <w:tcW w:w="688" w:type="pct"/>
                  <w:vAlign w:val="center"/>
                </w:tcPr>
                <w:p w14:paraId="3B7F7EF9">
                  <w:pPr>
                    <w:pStyle w:val="154"/>
                    <w:rPr>
                      <w:rFonts w:eastAsia="宋体" w:cs="Times New Roman"/>
                      <w:b/>
                      <w:sz w:val="21"/>
                      <w:szCs w:val="21"/>
                      <w:u w:val="single"/>
                    </w:rPr>
                  </w:pPr>
                  <w:r>
                    <w:rPr>
                      <w:rFonts w:hint="eastAsia" w:eastAsia="宋体" w:cs="Times New Roman"/>
                      <w:b/>
                      <w:sz w:val="21"/>
                      <w:szCs w:val="21"/>
                      <w:u w:val="single"/>
                    </w:rPr>
                    <w:t>水基清洗剂</w:t>
                  </w:r>
                </w:p>
                <w:p w14:paraId="50A08B04">
                  <w:pPr>
                    <w:pStyle w:val="154"/>
                    <w:rPr>
                      <w:rFonts w:eastAsia="宋体" w:cs="Times New Roman"/>
                      <w:b/>
                      <w:sz w:val="21"/>
                      <w:szCs w:val="21"/>
                      <w:u w:val="single"/>
                    </w:rPr>
                  </w:pPr>
                  <w:r>
                    <w:rPr>
                      <w:rFonts w:hint="eastAsia" w:eastAsia="宋体" w:cs="Times New Roman"/>
                      <w:b/>
                      <w:sz w:val="21"/>
                      <w:szCs w:val="21"/>
                      <w:u w:val="single"/>
                    </w:rPr>
                    <w:t>（其他类别）</w:t>
                  </w:r>
                </w:p>
              </w:tc>
              <w:tc>
                <w:tcPr>
                  <w:tcW w:w="534" w:type="pct"/>
                  <w:vAlign w:val="center"/>
                </w:tcPr>
                <w:p w14:paraId="6F9301FE">
                  <w:pPr>
                    <w:pStyle w:val="154"/>
                    <w:rPr>
                      <w:rFonts w:eastAsia="宋体" w:cs="Times New Roman"/>
                      <w:b/>
                      <w:sz w:val="21"/>
                      <w:szCs w:val="21"/>
                      <w:u w:val="single"/>
                    </w:rPr>
                  </w:pPr>
                  <w:r>
                    <w:rPr>
                      <w:rFonts w:hint="eastAsia" w:eastAsia="宋体" w:cs="Times New Roman"/>
                      <w:b/>
                      <w:sz w:val="21"/>
                      <w:szCs w:val="21"/>
                      <w:u w:val="single"/>
                    </w:rPr>
                    <w:t>≤50</w:t>
                  </w:r>
                </w:p>
              </w:tc>
              <w:tc>
                <w:tcPr>
                  <w:tcW w:w="653" w:type="pct"/>
                  <w:vAlign w:val="center"/>
                </w:tcPr>
                <w:p w14:paraId="7C11FF6E">
                  <w:pPr>
                    <w:pStyle w:val="154"/>
                    <w:rPr>
                      <w:rFonts w:eastAsia="宋体" w:cs="Times New Roman"/>
                      <w:b/>
                      <w:sz w:val="21"/>
                      <w:szCs w:val="21"/>
                      <w:u w:val="single"/>
                    </w:rPr>
                  </w:pPr>
                  <w:r>
                    <w:rPr>
                      <w:rFonts w:hint="eastAsia" w:eastAsia="宋体" w:cs="Times New Roman"/>
                      <w:b/>
                      <w:sz w:val="21"/>
                      <w:szCs w:val="21"/>
                      <w:u w:val="single"/>
                    </w:rPr>
                    <w:t>是</w:t>
                  </w:r>
                </w:p>
              </w:tc>
            </w:tr>
          </w:tbl>
          <w:p w14:paraId="0E90F796">
            <w:pPr>
              <w:pStyle w:val="182"/>
              <w:ind w:firstLine="480"/>
            </w:pPr>
            <w:r>
              <w:t>表2-</w:t>
            </w:r>
            <w:r>
              <w:rPr>
                <w:rFonts w:hint="eastAsia"/>
              </w:rPr>
              <w:t xml:space="preserve">7          </w:t>
            </w:r>
            <w:r>
              <w:t>有毒有害物质理化性质</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78"/>
              <w:gridCol w:w="567"/>
              <w:gridCol w:w="850"/>
              <w:gridCol w:w="6646"/>
            </w:tblGrid>
            <w:tr w14:paraId="79EB2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tcBorders>
                    <w:right w:val="single" w:color="000000" w:sz="6" w:space="0"/>
                  </w:tcBorders>
                  <w:vAlign w:val="center"/>
                </w:tcPr>
                <w:p w14:paraId="05D74853">
                  <w:pPr>
                    <w:pStyle w:val="154"/>
                    <w:rPr>
                      <w:sz w:val="21"/>
                      <w:szCs w:val="21"/>
                    </w:rPr>
                  </w:pPr>
                  <w:r>
                    <w:rPr>
                      <w:sz w:val="21"/>
                      <w:szCs w:val="21"/>
                    </w:rPr>
                    <w:t>产品类型</w:t>
                  </w:r>
                </w:p>
              </w:tc>
              <w:tc>
                <w:tcPr>
                  <w:tcW w:w="1417" w:type="dxa"/>
                  <w:gridSpan w:val="2"/>
                  <w:vAlign w:val="center"/>
                </w:tcPr>
                <w:p w14:paraId="453B84ED">
                  <w:pPr>
                    <w:pStyle w:val="154"/>
                    <w:rPr>
                      <w:sz w:val="21"/>
                      <w:szCs w:val="21"/>
                    </w:rPr>
                  </w:pPr>
                  <w:r>
                    <w:rPr>
                      <w:sz w:val="21"/>
                      <w:szCs w:val="21"/>
                    </w:rPr>
                    <w:t>名称</w:t>
                  </w:r>
                </w:p>
              </w:tc>
              <w:tc>
                <w:tcPr>
                  <w:tcW w:w="6646" w:type="dxa"/>
                  <w:vAlign w:val="center"/>
                </w:tcPr>
                <w:p w14:paraId="54CB301A">
                  <w:pPr>
                    <w:pStyle w:val="154"/>
                    <w:rPr>
                      <w:sz w:val="21"/>
                      <w:szCs w:val="21"/>
                    </w:rPr>
                  </w:pPr>
                  <w:r>
                    <w:rPr>
                      <w:sz w:val="21"/>
                      <w:szCs w:val="21"/>
                    </w:rPr>
                    <w:t>理化性质</w:t>
                  </w:r>
                </w:p>
              </w:tc>
            </w:tr>
            <w:tr w14:paraId="52AEE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restart"/>
                  <w:tcBorders>
                    <w:right w:val="single" w:color="000000" w:sz="6" w:space="0"/>
                  </w:tcBorders>
                  <w:vAlign w:val="center"/>
                </w:tcPr>
                <w:p w14:paraId="6E9D4B6A">
                  <w:pPr>
                    <w:pStyle w:val="154"/>
                    <w:rPr>
                      <w:sz w:val="21"/>
                      <w:szCs w:val="21"/>
                    </w:rPr>
                  </w:pPr>
                  <w:r>
                    <w:rPr>
                      <w:sz w:val="21"/>
                      <w:szCs w:val="21"/>
                    </w:rPr>
                    <w:t>注塑工艺鞋底片</w:t>
                  </w:r>
                </w:p>
              </w:tc>
              <w:tc>
                <w:tcPr>
                  <w:tcW w:w="567" w:type="dxa"/>
                  <w:vMerge w:val="restart"/>
                  <w:tcBorders>
                    <w:right w:val="single" w:color="000000" w:sz="6" w:space="0"/>
                  </w:tcBorders>
                  <w:vAlign w:val="center"/>
                </w:tcPr>
                <w:p w14:paraId="097EEF2E">
                  <w:pPr>
                    <w:pStyle w:val="154"/>
                    <w:rPr>
                      <w:sz w:val="21"/>
                      <w:szCs w:val="21"/>
                    </w:rPr>
                  </w:pPr>
                  <w:r>
                    <w:rPr>
                      <w:sz w:val="21"/>
                      <w:szCs w:val="21"/>
                    </w:rPr>
                    <w:t>PVC鞋底料</w:t>
                  </w:r>
                </w:p>
              </w:tc>
              <w:tc>
                <w:tcPr>
                  <w:tcW w:w="850" w:type="dxa"/>
                  <w:tcBorders>
                    <w:left w:val="single" w:color="000000" w:sz="6" w:space="0"/>
                  </w:tcBorders>
                  <w:vAlign w:val="center"/>
                </w:tcPr>
                <w:p w14:paraId="0DE0F8E4">
                  <w:pPr>
                    <w:pStyle w:val="154"/>
                    <w:rPr>
                      <w:sz w:val="21"/>
                      <w:szCs w:val="21"/>
                    </w:rPr>
                  </w:pPr>
                  <w:r>
                    <w:rPr>
                      <w:sz w:val="21"/>
                      <w:szCs w:val="21"/>
                    </w:rPr>
                    <w:t>PVC树脂</w:t>
                  </w:r>
                </w:p>
              </w:tc>
              <w:tc>
                <w:tcPr>
                  <w:tcW w:w="6646" w:type="dxa"/>
                  <w:vAlign w:val="center"/>
                </w:tcPr>
                <w:p w14:paraId="1DC36613">
                  <w:pPr>
                    <w:pStyle w:val="154"/>
                    <w:jc w:val="both"/>
                    <w:rPr>
                      <w:sz w:val="21"/>
                      <w:szCs w:val="21"/>
                    </w:rPr>
                  </w:pPr>
                  <w:r>
                    <w:rPr>
                      <w:sz w:val="21"/>
                      <w:szCs w:val="21"/>
                    </w:rPr>
                    <w:t>聚氯乙烯，英文简称PVC(Polyvinylchloridepolymer=PVC分子结构)，是由氯乙烯在引发剂作用下聚合而成的热塑性树脂，是氯乙烯的均聚物。外观为白色粉末，无毒、无臭。密度1.35-1.46g/cm</w:t>
                  </w:r>
                  <w:r>
                    <w:rPr>
                      <w:sz w:val="21"/>
                      <w:szCs w:val="21"/>
                      <w:vertAlign w:val="superscript"/>
                    </w:rPr>
                    <w:t>3</w:t>
                  </w:r>
                  <w:r>
                    <w:rPr>
                      <w:sz w:val="21"/>
                      <w:szCs w:val="21"/>
                    </w:rPr>
                    <w:t>，折射率1.544(20</w:t>
                  </w:r>
                  <w:r>
                    <w:rPr>
                      <w:rFonts w:hint="eastAsia"/>
                      <w:sz w:val="21"/>
                      <w:szCs w:val="21"/>
                    </w:rPr>
                    <w:t>℃</w:t>
                  </w:r>
                  <w:r>
                    <w:rPr>
                      <w:sz w:val="21"/>
                      <w:szCs w:val="21"/>
                    </w:rPr>
                    <w:t>)。溶解性：不溶于水、汽油、酒精和氯乙烯，溶于酮类、酯类和氯烃类溶剂。化学稳定性很高，具有良好的可塑性。除少数有机溶剂外，常温下可耐任何浓度的盐酸、90%以下的硫酸、50-60%的硝酸及20%以下的烧碱，此外，对于盐类亦相当稳定；PVC在火焰上能燃烧并放出氯化氢(HCl)，但离开火焰即自熄，是一种</w:t>
                  </w:r>
                  <w:r>
                    <w:rPr>
                      <w:rFonts w:hint="eastAsia" w:eastAsia="宋体" w:cs="Times New Roman"/>
                      <w:sz w:val="21"/>
                      <w:szCs w:val="21"/>
                    </w:rPr>
                    <w:t>“</w:t>
                  </w:r>
                  <w:r>
                    <w:rPr>
                      <w:sz w:val="21"/>
                      <w:szCs w:val="21"/>
                    </w:rPr>
                    <w:t>自熄性</w:t>
                  </w:r>
                  <w:r>
                    <w:rPr>
                      <w:rFonts w:hint="eastAsia" w:eastAsia="宋体" w:cs="Times New Roman"/>
                      <w:sz w:val="21"/>
                      <w:szCs w:val="21"/>
                    </w:rPr>
                    <w:t>”</w:t>
                  </w:r>
                  <w:r>
                    <w:rPr>
                      <w:sz w:val="21"/>
                      <w:szCs w:val="21"/>
                    </w:rPr>
                    <w:t>、</w:t>
                  </w:r>
                  <w:r>
                    <w:rPr>
                      <w:rFonts w:hint="eastAsia" w:eastAsia="宋体" w:cs="Times New Roman"/>
                      <w:sz w:val="21"/>
                      <w:szCs w:val="21"/>
                    </w:rPr>
                    <w:t>“</w:t>
                  </w:r>
                  <w:r>
                    <w:rPr>
                      <w:sz w:val="21"/>
                      <w:szCs w:val="21"/>
                    </w:rPr>
                    <w:t>难燃性</w:t>
                  </w:r>
                  <w:r>
                    <w:rPr>
                      <w:rFonts w:hint="eastAsia" w:eastAsia="宋体" w:cs="Times New Roman"/>
                      <w:sz w:val="21"/>
                      <w:szCs w:val="21"/>
                    </w:rPr>
                    <w:t>”</w:t>
                  </w:r>
                  <w:r>
                    <w:rPr>
                      <w:sz w:val="21"/>
                      <w:szCs w:val="21"/>
                    </w:rPr>
                    <w:t>物质；PVC在100</w:t>
                  </w:r>
                  <w:r>
                    <w:rPr>
                      <w:rFonts w:hint="eastAsia"/>
                      <w:sz w:val="21"/>
                      <w:szCs w:val="21"/>
                    </w:rPr>
                    <w:t>℃</w:t>
                  </w:r>
                  <w:r>
                    <w:rPr>
                      <w:sz w:val="21"/>
                      <w:szCs w:val="21"/>
                    </w:rPr>
                    <w:t>以上开始分解并缓慢放出HCl，随着温度上升，分解与释放HCl速度加快，致使PVC变色。</w:t>
                  </w:r>
                </w:p>
              </w:tc>
            </w:tr>
            <w:tr w14:paraId="6FD83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5449475E">
                  <w:pPr>
                    <w:pStyle w:val="154"/>
                    <w:rPr>
                      <w:sz w:val="21"/>
                      <w:szCs w:val="21"/>
                    </w:rPr>
                  </w:pPr>
                </w:p>
              </w:tc>
              <w:tc>
                <w:tcPr>
                  <w:tcW w:w="567" w:type="dxa"/>
                  <w:vMerge w:val="continue"/>
                  <w:tcBorders>
                    <w:right w:val="single" w:color="000000" w:sz="6" w:space="0"/>
                  </w:tcBorders>
                  <w:vAlign w:val="center"/>
                </w:tcPr>
                <w:p w14:paraId="3792636F">
                  <w:pPr>
                    <w:pStyle w:val="154"/>
                    <w:rPr>
                      <w:sz w:val="21"/>
                      <w:szCs w:val="21"/>
                    </w:rPr>
                  </w:pPr>
                </w:p>
              </w:tc>
              <w:tc>
                <w:tcPr>
                  <w:tcW w:w="850" w:type="dxa"/>
                  <w:tcBorders>
                    <w:left w:val="single" w:color="000000" w:sz="6" w:space="0"/>
                  </w:tcBorders>
                  <w:vAlign w:val="center"/>
                </w:tcPr>
                <w:p w14:paraId="5E38A707">
                  <w:pPr>
                    <w:pStyle w:val="154"/>
                    <w:rPr>
                      <w:sz w:val="21"/>
                      <w:szCs w:val="21"/>
                    </w:rPr>
                  </w:pPr>
                  <w:r>
                    <w:rPr>
                      <w:sz w:val="21"/>
                      <w:szCs w:val="21"/>
                    </w:rPr>
                    <w:t>二丁酯（DBP）</w:t>
                  </w:r>
                </w:p>
              </w:tc>
              <w:tc>
                <w:tcPr>
                  <w:tcW w:w="6646" w:type="dxa"/>
                  <w:vAlign w:val="center"/>
                </w:tcPr>
                <w:p w14:paraId="66BE1861">
                  <w:pPr>
                    <w:pStyle w:val="154"/>
                    <w:jc w:val="both"/>
                    <w:rPr>
                      <w:sz w:val="21"/>
                      <w:szCs w:val="21"/>
                    </w:rPr>
                  </w:pPr>
                  <w:r>
                    <w:rPr>
                      <w:sz w:val="21"/>
                      <w:szCs w:val="21"/>
                    </w:rPr>
                    <w:t>邻苯二甲酸二丁酯，简称二丁酯（DBP），分子式C</w:t>
                  </w:r>
                  <w:r>
                    <w:rPr>
                      <w:sz w:val="21"/>
                      <w:szCs w:val="21"/>
                      <w:vertAlign w:val="subscript"/>
                    </w:rPr>
                    <w:t>16</w:t>
                  </w:r>
                  <w:r>
                    <w:rPr>
                      <w:sz w:val="21"/>
                      <w:szCs w:val="21"/>
                    </w:rPr>
                    <w:t>H</w:t>
                  </w:r>
                  <w:r>
                    <w:rPr>
                      <w:sz w:val="21"/>
                      <w:szCs w:val="21"/>
                      <w:vertAlign w:val="subscript"/>
                    </w:rPr>
                    <w:t>22</w:t>
                  </w:r>
                  <w:r>
                    <w:rPr>
                      <w:sz w:val="21"/>
                      <w:szCs w:val="21"/>
                    </w:rPr>
                    <w:t>O</w:t>
                  </w:r>
                  <w:r>
                    <w:rPr>
                      <w:sz w:val="21"/>
                      <w:szCs w:val="21"/>
                      <w:vertAlign w:val="subscript"/>
                    </w:rPr>
                    <w:t>4</w:t>
                  </w:r>
                  <w:r>
                    <w:rPr>
                      <w:sz w:val="21"/>
                      <w:szCs w:val="21"/>
                    </w:rPr>
                    <w:t>，分子量278.348。外观与性状为无色、无臭透明油状液体。熔点-35</w:t>
                  </w:r>
                  <w:r>
                    <w:rPr>
                      <w:rFonts w:hint="eastAsia"/>
                      <w:sz w:val="21"/>
                      <w:szCs w:val="21"/>
                    </w:rPr>
                    <w:t>℃</w:t>
                  </w:r>
                  <w:r>
                    <w:rPr>
                      <w:sz w:val="21"/>
                      <w:szCs w:val="21"/>
                    </w:rPr>
                    <w:t>，沸点340</w:t>
                  </w:r>
                  <w:r>
                    <w:rPr>
                      <w:rFonts w:hint="eastAsia"/>
                      <w:sz w:val="21"/>
                      <w:szCs w:val="21"/>
                    </w:rPr>
                    <w:t>℃</w:t>
                  </w:r>
                  <w:r>
                    <w:rPr>
                      <w:sz w:val="21"/>
                      <w:szCs w:val="21"/>
                    </w:rPr>
                    <w:t>，闪点99</w:t>
                  </w:r>
                  <w:r>
                    <w:rPr>
                      <w:rFonts w:hint="eastAsia"/>
                      <w:sz w:val="21"/>
                      <w:szCs w:val="21"/>
                    </w:rPr>
                    <w:t>℃</w:t>
                  </w:r>
                  <w:r>
                    <w:rPr>
                      <w:sz w:val="21"/>
                      <w:szCs w:val="21"/>
                    </w:rPr>
                    <w:t>，引燃温度402</w:t>
                  </w:r>
                  <w:r>
                    <w:rPr>
                      <w:rFonts w:hint="eastAsia"/>
                      <w:sz w:val="21"/>
                      <w:szCs w:val="21"/>
                    </w:rPr>
                    <w:t>℃</w:t>
                  </w:r>
                  <w:r>
                    <w:rPr>
                      <w:sz w:val="21"/>
                      <w:szCs w:val="21"/>
                    </w:rPr>
                    <w:t>，相对密度(水=1)1.05g/cm</w:t>
                  </w:r>
                  <w:r>
                    <w:rPr>
                      <w:sz w:val="21"/>
                      <w:szCs w:val="21"/>
                      <w:vertAlign w:val="superscript"/>
                    </w:rPr>
                    <w:t>3</w:t>
                  </w:r>
                  <w:r>
                    <w:rPr>
                      <w:sz w:val="21"/>
                      <w:szCs w:val="21"/>
                    </w:rPr>
                    <w:t>，相对密度(空气=1)9.58g/cm</w:t>
                  </w:r>
                  <w:r>
                    <w:rPr>
                      <w:sz w:val="21"/>
                      <w:szCs w:val="21"/>
                      <w:vertAlign w:val="superscript"/>
                    </w:rPr>
                    <w:t>3</w:t>
                  </w:r>
                  <w:r>
                    <w:rPr>
                      <w:sz w:val="21"/>
                      <w:szCs w:val="21"/>
                    </w:rPr>
                    <w:t>，饱和蒸汽压&lt;1.33Pa（20</w:t>
                  </w:r>
                  <w:r>
                    <w:rPr>
                      <w:rFonts w:hint="eastAsia"/>
                      <w:sz w:val="21"/>
                      <w:szCs w:val="21"/>
                    </w:rPr>
                    <w:t>℃</w:t>
                  </w:r>
                  <w:r>
                    <w:rPr>
                      <w:sz w:val="21"/>
                      <w:szCs w:val="21"/>
                    </w:rPr>
                    <w:t>），146.7Pa（150</w:t>
                  </w:r>
                  <w:r>
                    <w:rPr>
                      <w:rFonts w:hint="eastAsia"/>
                      <w:sz w:val="21"/>
                      <w:szCs w:val="21"/>
                    </w:rPr>
                    <w:t>℃</w:t>
                  </w:r>
                  <w:r>
                    <w:rPr>
                      <w:sz w:val="21"/>
                      <w:szCs w:val="21"/>
                    </w:rPr>
                    <w:t>）。溶解性：不溶于水，易溶于乙醇、乙醚、丙酮和苯等有机溶剂也能与大多数烃类互溶。</w:t>
                  </w:r>
                </w:p>
              </w:tc>
            </w:tr>
            <w:tr w14:paraId="49D94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1E778D3C">
                  <w:pPr>
                    <w:pStyle w:val="154"/>
                    <w:rPr>
                      <w:sz w:val="21"/>
                      <w:szCs w:val="21"/>
                    </w:rPr>
                  </w:pPr>
                </w:p>
              </w:tc>
              <w:tc>
                <w:tcPr>
                  <w:tcW w:w="567" w:type="dxa"/>
                  <w:vMerge w:val="continue"/>
                  <w:tcBorders>
                    <w:right w:val="single" w:color="000000" w:sz="6" w:space="0"/>
                  </w:tcBorders>
                  <w:vAlign w:val="center"/>
                </w:tcPr>
                <w:p w14:paraId="230F224A">
                  <w:pPr>
                    <w:pStyle w:val="154"/>
                    <w:rPr>
                      <w:sz w:val="21"/>
                      <w:szCs w:val="21"/>
                    </w:rPr>
                  </w:pPr>
                </w:p>
              </w:tc>
              <w:tc>
                <w:tcPr>
                  <w:tcW w:w="850" w:type="dxa"/>
                  <w:tcBorders>
                    <w:left w:val="single" w:color="000000" w:sz="6" w:space="0"/>
                  </w:tcBorders>
                  <w:vAlign w:val="center"/>
                </w:tcPr>
                <w:p w14:paraId="2A067973">
                  <w:pPr>
                    <w:pStyle w:val="154"/>
                    <w:rPr>
                      <w:sz w:val="21"/>
                      <w:szCs w:val="21"/>
                    </w:rPr>
                  </w:pPr>
                  <w:r>
                    <w:rPr>
                      <w:sz w:val="21"/>
                      <w:szCs w:val="21"/>
                    </w:rPr>
                    <w:t>钙粉</w:t>
                  </w:r>
                </w:p>
              </w:tc>
              <w:tc>
                <w:tcPr>
                  <w:tcW w:w="6646" w:type="dxa"/>
                  <w:vAlign w:val="center"/>
                </w:tcPr>
                <w:p w14:paraId="4A219BC1">
                  <w:pPr>
                    <w:pStyle w:val="154"/>
                    <w:jc w:val="both"/>
                    <w:rPr>
                      <w:sz w:val="21"/>
                      <w:szCs w:val="21"/>
                    </w:rPr>
                  </w:pPr>
                  <w:r>
                    <w:rPr>
                      <w:sz w:val="21"/>
                      <w:szCs w:val="21"/>
                    </w:rPr>
                    <w:t>是一种无机化合物，俗称：灰石、石灰石、石粉、大理石等。主要成分：方解石，是一种化合物，化学式是CaCO</w:t>
                  </w:r>
                  <w:r>
                    <w:rPr>
                      <w:sz w:val="21"/>
                      <w:szCs w:val="21"/>
                      <w:vertAlign w:val="subscript"/>
                    </w:rPr>
                    <w:t>3</w:t>
                  </w:r>
                  <w:r>
                    <w:rPr>
                      <w:sz w:val="21"/>
                      <w:szCs w:val="21"/>
                    </w:rPr>
                    <w:t>，呈中性，白色固体状、无味、无臭。有无定型和结晶型两种形态。结晶型中又可分为斜方晶系和六方晶系，呈柱状或菱形。相对密度2.71。825~896.6</w:t>
                  </w:r>
                  <w:r>
                    <w:rPr>
                      <w:rFonts w:hint="eastAsia"/>
                      <w:sz w:val="21"/>
                      <w:szCs w:val="21"/>
                    </w:rPr>
                    <w:t>℃</w:t>
                  </w:r>
                  <w:r>
                    <w:rPr>
                      <w:sz w:val="21"/>
                      <w:szCs w:val="21"/>
                    </w:rPr>
                    <w:t>分解，在约825</w:t>
                  </w:r>
                  <w:r>
                    <w:rPr>
                      <w:rFonts w:hint="eastAsia"/>
                      <w:sz w:val="21"/>
                      <w:szCs w:val="21"/>
                    </w:rPr>
                    <w:t>℃</w:t>
                  </w:r>
                  <w:r>
                    <w:rPr>
                      <w:sz w:val="21"/>
                      <w:szCs w:val="21"/>
                    </w:rPr>
                    <w:t>时分解为氧化钙和二氧化碳。熔点1339</w:t>
                  </w:r>
                  <w:r>
                    <w:rPr>
                      <w:rFonts w:hint="eastAsia"/>
                      <w:sz w:val="21"/>
                      <w:szCs w:val="21"/>
                    </w:rPr>
                    <w:t>℃</w:t>
                  </w:r>
                  <w:r>
                    <w:rPr>
                      <w:sz w:val="21"/>
                      <w:szCs w:val="21"/>
                    </w:rPr>
                    <w:t>，10.7MPa下熔点为1289</w:t>
                  </w:r>
                  <w:r>
                    <w:rPr>
                      <w:rFonts w:hint="eastAsia"/>
                      <w:sz w:val="21"/>
                      <w:szCs w:val="21"/>
                    </w:rPr>
                    <w:t>℃</w:t>
                  </w:r>
                  <w:r>
                    <w:rPr>
                      <w:sz w:val="21"/>
                      <w:szCs w:val="21"/>
                    </w:rPr>
                    <w:t>。难溶于水和醇。溶于稀酸，同时放出二氧化碳，呈放热反应。也溶于氯化铵溶液。</w:t>
                  </w:r>
                </w:p>
              </w:tc>
            </w:tr>
            <w:tr w14:paraId="284F3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04F916E2">
                  <w:pPr>
                    <w:pStyle w:val="154"/>
                    <w:rPr>
                      <w:sz w:val="21"/>
                      <w:szCs w:val="21"/>
                    </w:rPr>
                  </w:pPr>
                </w:p>
              </w:tc>
              <w:tc>
                <w:tcPr>
                  <w:tcW w:w="567" w:type="dxa"/>
                  <w:vMerge w:val="continue"/>
                  <w:tcBorders>
                    <w:right w:val="single" w:color="000000" w:sz="6" w:space="0"/>
                  </w:tcBorders>
                  <w:vAlign w:val="center"/>
                </w:tcPr>
                <w:p w14:paraId="41EE00DC">
                  <w:pPr>
                    <w:pStyle w:val="154"/>
                    <w:rPr>
                      <w:sz w:val="21"/>
                      <w:szCs w:val="21"/>
                    </w:rPr>
                  </w:pPr>
                </w:p>
              </w:tc>
              <w:tc>
                <w:tcPr>
                  <w:tcW w:w="850" w:type="dxa"/>
                  <w:tcBorders>
                    <w:left w:val="single" w:color="000000" w:sz="6" w:space="0"/>
                  </w:tcBorders>
                  <w:vAlign w:val="center"/>
                </w:tcPr>
                <w:p w14:paraId="546D2A90">
                  <w:pPr>
                    <w:pStyle w:val="154"/>
                    <w:rPr>
                      <w:sz w:val="21"/>
                      <w:szCs w:val="21"/>
                    </w:rPr>
                  </w:pPr>
                  <w:r>
                    <w:rPr>
                      <w:sz w:val="21"/>
                      <w:szCs w:val="21"/>
                    </w:rPr>
                    <w:t>硬脂酸</w:t>
                  </w:r>
                </w:p>
              </w:tc>
              <w:tc>
                <w:tcPr>
                  <w:tcW w:w="6646" w:type="dxa"/>
                  <w:vAlign w:val="center"/>
                </w:tcPr>
                <w:p w14:paraId="47B14229">
                  <w:pPr>
                    <w:pStyle w:val="154"/>
                    <w:jc w:val="left"/>
                    <w:rPr>
                      <w:sz w:val="21"/>
                      <w:szCs w:val="21"/>
                    </w:rPr>
                  </w:pPr>
                  <w:r>
                    <w:rPr>
                      <w:sz w:val="21"/>
                      <w:szCs w:val="21"/>
                    </w:rPr>
                    <w:t>即十八烷酸，分子式C</w:t>
                  </w:r>
                  <w:r>
                    <w:rPr>
                      <w:sz w:val="21"/>
                      <w:szCs w:val="21"/>
                      <w:vertAlign w:val="subscript"/>
                    </w:rPr>
                    <w:t>18</w:t>
                  </w:r>
                  <w:r>
                    <w:rPr>
                      <w:sz w:val="21"/>
                      <w:szCs w:val="21"/>
                    </w:rPr>
                    <w:t>H</w:t>
                  </w:r>
                  <w:r>
                    <w:rPr>
                      <w:sz w:val="21"/>
                      <w:szCs w:val="21"/>
                      <w:vertAlign w:val="subscript"/>
                    </w:rPr>
                    <w:t>36</w:t>
                  </w:r>
                  <w:r>
                    <w:rPr>
                      <w:sz w:val="21"/>
                      <w:szCs w:val="21"/>
                    </w:rPr>
                    <w:t>O</w:t>
                  </w:r>
                  <w:r>
                    <w:rPr>
                      <w:sz w:val="21"/>
                      <w:szCs w:val="21"/>
                      <w:vertAlign w:val="subscript"/>
                    </w:rPr>
                    <w:t>2</w:t>
                  </w:r>
                  <w:r>
                    <w:rPr>
                      <w:sz w:val="21"/>
                      <w:szCs w:val="21"/>
                    </w:rPr>
                    <w:t>，由油脂水解生产，主要用于生产硬脂酸盐。本品为白色或类白色有滑腻感的粉末或结晶性硬块，其剖面有微带光泽的细针状结晶；有类似油脂的微臭，无味无毒。本品在氯仿或乙醚中易溶，在乙醇中溶解，在水中几乎不溶。硬脂酸的凝点不低于54</w:t>
                  </w:r>
                  <w:r>
                    <w:rPr>
                      <w:rFonts w:hint="eastAsia"/>
                      <w:sz w:val="21"/>
                      <w:szCs w:val="21"/>
                    </w:rPr>
                    <w:t>℃</w:t>
                  </w:r>
                  <w:r>
                    <w:rPr>
                      <w:sz w:val="21"/>
                      <w:szCs w:val="21"/>
                    </w:rPr>
                    <w:t>、碘值不大于4、酸值为203~210，易与镁离子和钙离子反应生成硬脂酸镁和硬脂酸钙(白色沉淀)。</w:t>
                  </w:r>
                </w:p>
              </w:tc>
            </w:tr>
            <w:tr w14:paraId="6925A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78282E4C">
                  <w:pPr>
                    <w:pStyle w:val="154"/>
                    <w:rPr>
                      <w:sz w:val="21"/>
                      <w:szCs w:val="21"/>
                    </w:rPr>
                  </w:pPr>
                </w:p>
              </w:tc>
              <w:tc>
                <w:tcPr>
                  <w:tcW w:w="567" w:type="dxa"/>
                  <w:vMerge w:val="continue"/>
                  <w:tcBorders>
                    <w:right w:val="single" w:color="000000" w:sz="6" w:space="0"/>
                  </w:tcBorders>
                  <w:vAlign w:val="center"/>
                </w:tcPr>
                <w:p w14:paraId="109BBA0F">
                  <w:pPr>
                    <w:pStyle w:val="154"/>
                    <w:rPr>
                      <w:sz w:val="21"/>
                      <w:szCs w:val="21"/>
                    </w:rPr>
                  </w:pPr>
                </w:p>
              </w:tc>
              <w:tc>
                <w:tcPr>
                  <w:tcW w:w="850" w:type="dxa"/>
                  <w:tcBorders>
                    <w:left w:val="single" w:color="000000" w:sz="6" w:space="0"/>
                  </w:tcBorders>
                  <w:vAlign w:val="center"/>
                </w:tcPr>
                <w:p w14:paraId="1997803E">
                  <w:pPr>
                    <w:pStyle w:val="154"/>
                    <w:rPr>
                      <w:sz w:val="21"/>
                      <w:szCs w:val="21"/>
                    </w:rPr>
                  </w:pPr>
                  <w:r>
                    <w:rPr>
                      <w:sz w:val="21"/>
                      <w:szCs w:val="21"/>
                    </w:rPr>
                    <w:t>钛白粉</w:t>
                  </w:r>
                </w:p>
              </w:tc>
              <w:tc>
                <w:tcPr>
                  <w:tcW w:w="6646" w:type="dxa"/>
                  <w:vAlign w:val="center"/>
                </w:tcPr>
                <w:p w14:paraId="76FE4F2A">
                  <w:pPr>
                    <w:pStyle w:val="154"/>
                    <w:jc w:val="left"/>
                    <w:rPr>
                      <w:sz w:val="21"/>
                      <w:szCs w:val="21"/>
                    </w:rPr>
                  </w:pPr>
                  <w:r>
                    <w:rPr>
                      <w:sz w:val="21"/>
                      <w:szCs w:val="21"/>
                    </w:rPr>
                    <w:t>学名为二氧化钛，分子式TiO</w:t>
                  </w:r>
                  <w:r>
                    <w:rPr>
                      <w:sz w:val="21"/>
                      <w:szCs w:val="21"/>
                      <w:vertAlign w:val="subscript"/>
                    </w:rPr>
                    <w:t>2</w:t>
                  </w:r>
                  <w:r>
                    <w:rPr>
                      <w:sz w:val="21"/>
                      <w:szCs w:val="21"/>
                    </w:rPr>
                    <w:t>，外观与性状：白色无定形粉末。熔点1860</w:t>
                  </w:r>
                  <w:r>
                    <w:rPr>
                      <w:rFonts w:hint="eastAsia"/>
                      <w:sz w:val="21"/>
                      <w:szCs w:val="21"/>
                    </w:rPr>
                    <w:t>℃</w:t>
                  </w:r>
                  <w:r>
                    <w:rPr>
                      <w:sz w:val="21"/>
                      <w:szCs w:val="21"/>
                    </w:rPr>
                    <w:t>（分解），沸点2900</w:t>
                  </w:r>
                  <w:r>
                    <w:rPr>
                      <w:rFonts w:hint="eastAsia"/>
                      <w:sz w:val="21"/>
                      <w:szCs w:val="21"/>
                    </w:rPr>
                    <w:t>℃</w:t>
                  </w:r>
                  <w:r>
                    <w:rPr>
                      <w:sz w:val="21"/>
                      <w:szCs w:val="21"/>
                    </w:rPr>
                    <w:t>，相对密度（水=1）4.26g/cm</w:t>
                  </w:r>
                  <w:r>
                    <w:rPr>
                      <w:sz w:val="21"/>
                      <w:szCs w:val="21"/>
                      <w:vertAlign w:val="superscript"/>
                    </w:rPr>
                    <w:t>3</w:t>
                  </w:r>
                  <w:r>
                    <w:rPr>
                      <w:sz w:val="21"/>
                      <w:szCs w:val="21"/>
                    </w:rPr>
                    <w:t>。溶解性：不溶于水、盐酸、稀硫酸、醇。</w:t>
                  </w:r>
                </w:p>
              </w:tc>
            </w:tr>
            <w:tr w14:paraId="1915C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restart"/>
                  <w:tcBorders>
                    <w:right w:val="single" w:color="000000" w:sz="6" w:space="0"/>
                  </w:tcBorders>
                  <w:vAlign w:val="center"/>
                </w:tcPr>
                <w:p w14:paraId="11EA37CD">
                  <w:pPr>
                    <w:pStyle w:val="154"/>
                    <w:rPr>
                      <w:sz w:val="21"/>
                      <w:szCs w:val="21"/>
                    </w:rPr>
                  </w:pPr>
                  <w:r>
                    <w:rPr>
                      <w:rFonts w:hint="eastAsia"/>
                      <w:sz w:val="21"/>
                      <w:szCs w:val="21"/>
                    </w:rPr>
                    <w:t>聚氨酯工艺布鞋</w:t>
                  </w:r>
                </w:p>
              </w:tc>
              <w:tc>
                <w:tcPr>
                  <w:tcW w:w="567" w:type="dxa"/>
                  <w:vMerge w:val="restart"/>
                  <w:tcBorders>
                    <w:right w:val="single" w:color="000000" w:sz="6" w:space="0"/>
                  </w:tcBorders>
                  <w:vAlign w:val="center"/>
                </w:tcPr>
                <w:p w14:paraId="3E45617B">
                  <w:pPr>
                    <w:pStyle w:val="154"/>
                    <w:rPr>
                      <w:sz w:val="21"/>
                      <w:szCs w:val="21"/>
                    </w:rPr>
                  </w:pPr>
                  <w:r>
                    <w:rPr>
                      <w:rFonts w:hint="eastAsia"/>
                      <w:sz w:val="21"/>
                      <w:szCs w:val="21"/>
                    </w:rPr>
                    <w:t>聚氨酯A料</w:t>
                  </w:r>
                </w:p>
              </w:tc>
              <w:tc>
                <w:tcPr>
                  <w:tcW w:w="850" w:type="dxa"/>
                  <w:tcBorders>
                    <w:left w:val="single" w:color="000000" w:sz="6" w:space="0"/>
                  </w:tcBorders>
                  <w:vAlign w:val="center"/>
                </w:tcPr>
                <w:p w14:paraId="55160166">
                  <w:pPr>
                    <w:pStyle w:val="154"/>
                    <w:rPr>
                      <w:sz w:val="21"/>
                      <w:szCs w:val="21"/>
                    </w:rPr>
                  </w:pPr>
                  <w:r>
                    <w:rPr>
                      <w:rFonts w:hint="eastAsia"/>
                      <w:sz w:val="21"/>
                      <w:szCs w:val="21"/>
                    </w:rPr>
                    <w:t>聚酯多元醇</w:t>
                  </w:r>
                </w:p>
              </w:tc>
              <w:tc>
                <w:tcPr>
                  <w:tcW w:w="6646" w:type="dxa"/>
                  <w:vAlign w:val="center"/>
                </w:tcPr>
                <w:p w14:paraId="54B6ABF1">
                  <w:pPr>
                    <w:pStyle w:val="154"/>
                    <w:jc w:val="left"/>
                    <w:rPr>
                      <w:sz w:val="21"/>
                      <w:szCs w:val="21"/>
                    </w:rPr>
                  </w:pPr>
                  <w:r>
                    <w:rPr>
                      <w:rFonts w:hint="eastAsia"/>
                      <w:sz w:val="21"/>
                      <w:szCs w:val="21"/>
                    </w:rPr>
                    <w:t>有机物，通常是由有机三元羧酸(酸酐或酯)与多元醇(包括二醇)缩合；</w:t>
                  </w:r>
                </w:p>
                <w:p w14:paraId="39E1486E">
                  <w:pPr>
                    <w:pStyle w:val="154"/>
                    <w:jc w:val="left"/>
                    <w:rPr>
                      <w:sz w:val="21"/>
                      <w:szCs w:val="21"/>
                    </w:rPr>
                  </w:pPr>
                  <w:r>
                    <w:rPr>
                      <w:rFonts w:hint="eastAsia"/>
                      <w:sz w:val="21"/>
                      <w:szCs w:val="21"/>
                    </w:rPr>
                    <w:t>外观：常温下为白色或浅黄色油状物；</w:t>
                  </w:r>
                </w:p>
                <w:p w14:paraId="55D0B562">
                  <w:pPr>
                    <w:pStyle w:val="154"/>
                    <w:jc w:val="left"/>
                    <w:rPr>
                      <w:sz w:val="21"/>
                      <w:szCs w:val="21"/>
                    </w:rPr>
                  </w:pPr>
                  <w:r>
                    <w:rPr>
                      <w:rFonts w:hint="eastAsia"/>
                      <w:sz w:val="21"/>
                      <w:szCs w:val="21"/>
                    </w:rPr>
                    <w:t>凝固点：&lt;5℃；</w:t>
                  </w:r>
                </w:p>
                <w:p w14:paraId="6D8BB1D9">
                  <w:pPr>
                    <w:pStyle w:val="154"/>
                    <w:jc w:val="left"/>
                    <w:rPr>
                      <w:sz w:val="21"/>
                      <w:szCs w:val="21"/>
                    </w:rPr>
                  </w:pPr>
                  <w:r>
                    <w:rPr>
                      <w:rFonts w:hint="eastAsia"/>
                      <w:sz w:val="21"/>
                      <w:szCs w:val="21"/>
                    </w:rPr>
                    <w:t>溶解性：不溶于水，易溶于丙酮、甲苯、乙酸乙酯等有机溶剂：色度(APHA)：&lt;180；</w:t>
                  </w:r>
                </w:p>
                <w:p w14:paraId="041718C8">
                  <w:pPr>
                    <w:pStyle w:val="154"/>
                    <w:jc w:val="left"/>
                    <w:rPr>
                      <w:sz w:val="21"/>
                      <w:szCs w:val="21"/>
                    </w:rPr>
                  </w:pPr>
                  <w:r>
                    <w:rPr>
                      <w:rFonts w:hint="eastAsia"/>
                      <w:sz w:val="21"/>
                      <w:szCs w:val="21"/>
                    </w:rPr>
                    <w:t>用途：制造双组分聚氨酯胶黏剂、聚氨酯弹性体等。</w:t>
                  </w:r>
                </w:p>
              </w:tc>
            </w:tr>
            <w:tr w14:paraId="44D90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46" w:hRule="atLeast"/>
                <w:jc w:val="center"/>
              </w:trPr>
              <w:tc>
                <w:tcPr>
                  <w:tcW w:w="978" w:type="dxa"/>
                  <w:vMerge w:val="continue"/>
                  <w:tcBorders>
                    <w:right w:val="single" w:color="000000" w:sz="6" w:space="0"/>
                  </w:tcBorders>
                  <w:vAlign w:val="center"/>
                </w:tcPr>
                <w:p w14:paraId="52E33436">
                  <w:pPr>
                    <w:pStyle w:val="154"/>
                  </w:pPr>
                </w:p>
              </w:tc>
              <w:tc>
                <w:tcPr>
                  <w:tcW w:w="567" w:type="dxa"/>
                  <w:vMerge w:val="continue"/>
                  <w:tcBorders>
                    <w:right w:val="single" w:color="000000" w:sz="6" w:space="0"/>
                  </w:tcBorders>
                  <w:vAlign w:val="center"/>
                </w:tcPr>
                <w:p w14:paraId="06E8C473">
                  <w:pPr>
                    <w:pStyle w:val="154"/>
                  </w:pPr>
                </w:p>
              </w:tc>
              <w:tc>
                <w:tcPr>
                  <w:tcW w:w="850" w:type="dxa"/>
                  <w:tcBorders>
                    <w:left w:val="single" w:color="000000" w:sz="6" w:space="0"/>
                  </w:tcBorders>
                  <w:vAlign w:val="center"/>
                </w:tcPr>
                <w:p w14:paraId="560E95BC">
                  <w:pPr>
                    <w:pStyle w:val="154"/>
                    <w:rPr>
                      <w:sz w:val="21"/>
                      <w:szCs w:val="21"/>
                    </w:rPr>
                  </w:pPr>
                  <w:r>
                    <w:rPr>
                      <w:rFonts w:hint="eastAsia"/>
                      <w:sz w:val="21"/>
                      <w:szCs w:val="21"/>
                    </w:rPr>
                    <w:t>硅油</w:t>
                  </w:r>
                </w:p>
              </w:tc>
              <w:tc>
                <w:tcPr>
                  <w:tcW w:w="6646" w:type="dxa"/>
                  <w:vAlign w:val="center"/>
                </w:tcPr>
                <w:p w14:paraId="3CDC0B12">
                  <w:pPr>
                    <w:pStyle w:val="154"/>
                    <w:jc w:val="left"/>
                    <w:rPr>
                      <w:sz w:val="21"/>
                      <w:szCs w:val="21"/>
                    </w:rPr>
                  </w:pPr>
                  <w:r>
                    <w:rPr>
                      <w:rFonts w:hint="eastAsia"/>
                      <w:sz w:val="21"/>
                      <w:szCs w:val="21"/>
                    </w:rPr>
                    <w:t>硅油一般是无色(或淡黄色)、无味、无毒、不易挥发的液体。密度0.764g/m</w:t>
                  </w:r>
                  <w:r>
                    <w:rPr>
                      <w:rFonts w:hint="eastAsia"/>
                      <w:sz w:val="21"/>
                      <w:szCs w:val="21"/>
                      <w:vertAlign w:val="superscript"/>
                    </w:rPr>
                    <w:t>3</w:t>
                  </w:r>
                  <w:r>
                    <w:rPr>
                      <w:rFonts w:hint="eastAsia"/>
                      <w:sz w:val="21"/>
                      <w:szCs w:val="21"/>
                    </w:rPr>
                    <w:t>(20℃)，沸点101℃，熔点-59℃，闪点33℉。</w:t>
                  </w:r>
                </w:p>
                <w:p w14:paraId="6F8B32DA">
                  <w:pPr>
                    <w:pStyle w:val="154"/>
                    <w:jc w:val="left"/>
                    <w:rPr>
                      <w:sz w:val="21"/>
                      <w:szCs w:val="21"/>
                    </w:rPr>
                  </w:pPr>
                  <w:r>
                    <w:rPr>
                      <w:rFonts w:hint="eastAsia"/>
                      <w:sz w:val="21"/>
                      <w:szCs w:val="21"/>
                    </w:rPr>
                    <w:t>溶解性：硅油不溶于水、甲醇、乙二醇和2-乙氧基乙醇，可与苯、二甲醚、甲基乙基酮、四氯化碳或煤油互溶，稍溶于丙酮、二恶烷、乙醇和丁醇。</w:t>
                  </w:r>
                </w:p>
              </w:tc>
            </w:tr>
            <w:tr w14:paraId="6E643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74E42882">
                  <w:pPr>
                    <w:pStyle w:val="154"/>
                  </w:pPr>
                </w:p>
              </w:tc>
              <w:tc>
                <w:tcPr>
                  <w:tcW w:w="567" w:type="dxa"/>
                  <w:vMerge w:val="restart"/>
                  <w:tcBorders>
                    <w:right w:val="single" w:color="000000" w:sz="6" w:space="0"/>
                  </w:tcBorders>
                  <w:vAlign w:val="center"/>
                </w:tcPr>
                <w:p w14:paraId="67A17845">
                  <w:pPr>
                    <w:pStyle w:val="154"/>
                    <w:rPr>
                      <w:sz w:val="21"/>
                      <w:szCs w:val="21"/>
                    </w:rPr>
                  </w:pPr>
                  <w:r>
                    <w:rPr>
                      <w:rFonts w:hint="eastAsia"/>
                      <w:sz w:val="21"/>
                      <w:szCs w:val="21"/>
                    </w:rPr>
                    <w:t>聚氨酯B料</w:t>
                  </w:r>
                </w:p>
              </w:tc>
              <w:tc>
                <w:tcPr>
                  <w:tcW w:w="850" w:type="dxa"/>
                  <w:tcBorders>
                    <w:left w:val="single" w:color="000000" w:sz="6" w:space="0"/>
                  </w:tcBorders>
                  <w:vAlign w:val="center"/>
                </w:tcPr>
                <w:p w14:paraId="22B4758B">
                  <w:pPr>
                    <w:pStyle w:val="154"/>
                    <w:rPr>
                      <w:sz w:val="21"/>
                      <w:szCs w:val="21"/>
                    </w:rPr>
                  </w:pPr>
                  <w:r>
                    <w:rPr>
                      <w:rFonts w:hint="eastAsia"/>
                      <w:sz w:val="21"/>
                      <w:szCs w:val="21"/>
                    </w:rPr>
                    <w:t>聚醚多元醇</w:t>
                  </w:r>
                </w:p>
              </w:tc>
              <w:tc>
                <w:tcPr>
                  <w:tcW w:w="6646" w:type="dxa"/>
                  <w:vAlign w:val="center"/>
                </w:tcPr>
                <w:p w14:paraId="6482BCC5">
                  <w:pPr>
                    <w:pStyle w:val="154"/>
                    <w:jc w:val="left"/>
                    <w:rPr>
                      <w:sz w:val="21"/>
                      <w:szCs w:val="21"/>
                    </w:rPr>
                  </w:pPr>
                  <w:r>
                    <w:rPr>
                      <w:rFonts w:hint="eastAsia"/>
                      <w:sz w:val="21"/>
                      <w:szCs w:val="21"/>
                    </w:rPr>
                    <w:t>外观为无色至黄色透明液体，几乎无味。密度1.02g/cm</w:t>
                  </w:r>
                  <w:r>
                    <w:rPr>
                      <w:rFonts w:hint="eastAsia"/>
                      <w:sz w:val="21"/>
                      <w:szCs w:val="21"/>
                      <w:vertAlign w:val="superscript"/>
                    </w:rPr>
                    <w:t>3</w:t>
                  </w:r>
                  <w:r>
                    <w:rPr>
                      <w:rFonts w:hint="eastAsia"/>
                      <w:sz w:val="21"/>
                      <w:szCs w:val="21"/>
                    </w:rPr>
                    <w:t>，熔点60--50℃，沸点&gt;200℃，闪点&gt;230℉。100℃以下不会发生分解。与水部分混溶。</w:t>
                  </w:r>
                </w:p>
              </w:tc>
            </w:tr>
            <w:tr w14:paraId="375A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0AC431B2">
                  <w:pPr>
                    <w:pStyle w:val="154"/>
                  </w:pPr>
                </w:p>
              </w:tc>
              <w:tc>
                <w:tcPr>
                  <w:tcW w:w="567" w:type="dxa"/>
                  <w:vMerge w:val="continue"/>
                  <w:tcBorders>
                    <w:right w:val="single" w:color="000000" w:sz="6" w:space="0"/>
                  </w:tcBorders>
                  <w:vAlign w:val="center"/>
                </w:tcPr>
                <w:p w14:paraId="586E6CE6">
                  <w:pPr>
                    <w:pStyle w:val="154"/>
                    <w:rPr>
                      <w:sz w:val="21"/>
                      <w:szCs w:val="21"/>
                    </w:rPr>
                  </w:pPr>
                </w:p>
              </w:tc>
              <w:tc>
                <w:tcPr>
                  <w:tcW w:w="850" w:type="dxa"/>
                  <w:tcBorders>
                    <w:left w:val="single" w:color="000000" w:sz="6" w:space="0"/>
                  </w:tcBorders>
                  <w:vAlign w:val="center"/>
                </w:tcPr>
                <w:p w14:paraId="4AC824F6">
                  <w:pPr>
                    <w:pStyle w:val="154"/>
                    <w:rPr>
                      <w:sz w:val="21"/>
                      <w:szCs w:val="21"/>
                    </w:rPr>
                  </w:pPr>
                  <w:r>
                    <w:rPr>
                      <w:rFonts w:hint="eastAsia"/>
                      <w:sz w:val="21"/>
                      <w:szCs w:val="21"/>
                    </w:rPr>
                    <w:t>二苯基甲烷二异氰酸酯(MDI)</w:t>
                  </w:r>
                </w:p>
              </w:tc>
              <w:tc>
                <w:tcPr>
                  <w:tcW w:w="6646" w:type="dxa"/>
                  <w:vAlign w:val="center"/>
                </w:tcPr>
                <w:p w14:paraId="1897D630">
                  <w:pPr>
                    <w:pStyle w:val="154"/>
                    <w:jc w:val="left"/>
                    <w:rPr>
                      <w:sz w:val="21"/>
                      <w:szCs w:val="21"/>
                    </w:rPr>
                  </w:pPr>
                  <w:r>
                    <w:rPr>
                      <w:rFonts w:hint="eastAsia"/>
                      <w:sz w:val="21"/>
                      <w:szCs w:val="21"/>
                    </w:rPr>
                    <w:t>苯甲烷二异氰酸酯，简称“MDT”，是一种有机物，化学式为C</w:t>
                  </w:r>
                  <w:r>
                    <w:rPr>
                      <w:rFonts w:hint="eastAsia"/>
                      <w:sz w:val="21"/>
                      <w:szCs w:val="21"/>
                      <w:vertAlign w:val="subscript"/>
                    </w:rPr>
                    <w:t>15</w:t>
                  </w:r>
                  <w:r>
                    <w:rPr>
                      <w:rFonts w:hint="eastAsia"/>
                      <w:sz w:val="21"/>
                      <w:szCs w:val="21"/>
                    </w:rPr>
                    <w:t>H</w:t>
                  </w:r>
                  <w:r>
                    <w:rPr>
                      <w:rFonts w:hint="eastAsia"/>
                      <w:sz w:val="21"/>
                      <w:szCs w:val="21"/>
                      <w:vertAlign w:val="subscript"/>
                    </w:rPr>
                    <w:t>10</w:t>
                  </w:r>
                  <w:r>
                    <w:rPr>
                      <w:rFonts w:hint="eastAsia"/>
                      <w:sz w:val="21"/>
                      <w:szCs w:val="21"/>
                    </w:rPr>
                    <w:t>N</w:t>
                  </w:r>
                  <w:r>
                    <w:rPr>
                      <w:rFonts w:hint="eastAsia"/>
                      <w:sz w:val="21"/>
                      <w:szCs w:val="21"/>
                      <w:vertAlign w:val="subscript"/>
                    </w:rPr>
                    <w:t>2</w:t>
                  </w:r>
                  <w:r>
                    <w:rPr>
                      <w:rFonts w:hint="eastAsia"/>
                      <w:sz w:val="21"/>
                      <w:szCs w:val="21"/>
                    </w:rPr>
                    <w:t>O</w:t>
                  </w:r>
                  <w:r>
                    <w:rPr>
                      <w:rFonts w:hint="eastAsia"/>
                      <w:sz w:val="21"/>
                      <w:szCs w:val="21"/>
                      <w:vertAlign w:val="subscript"/>
                    </w:rPr>
                    <w:t>2</w:t>
                  </w:r>
                  <w:r>
                    <w:rPr>
                      <w:rFonts w:hint="eastAsia"/>
                      <w:sz w:val="21"/>
                      <w:szCs w:val="21"/>
                    </w:rPr>
                    <w:t>，白色至淡黄色熔融固体，有4</w:t>
                  </w:r>
                  <w:r>
                    <w:rPr>
                      <w:sz w:val="21"/>
                      <w:szCs w:val="21"/>
                    </w:rPr>
                    <w:t>,</w:t>
                  </w:r>
                  <w:r>
                    <w:rPr>
                      <w:rFonts w:hint="eastAsia"/>
                      <w:sz w:val="21"/>
                      <w:szCs w:val="21"/>
                    </w:rPr>
                    <w:t>4'-二苯甲烷二异氰酸酯、2.4'-二苯甲烷二异氰酸酯、2.2'-二苯甲烷二异氰酸酯等异构体。是芳烃下游主要产品，广泛应用于聚氨酯弹性体，制造合成纤维、人造革、无溶剂涂料等聚氨酯材料的生产领域。</w:t>
                  </w:r>
                </w:p>
                <w:p w14:paraId="4AB90E6C">
                  <w:pPr>
                    <w:pStyle w:val="154"/>
                    <w:jc w:val="left"/>
                    <w:rPr>
                      <w:sz w:val="21"/>
                      <w:szCs w:val="21"/>
                    </w:rPr>
                  </w:pPr>
                  <w:r>
                    <w:rPr>
                      <w:rFonts w:hint="eastAsia"/>
                      <w:sz w:val="21"/>
                      <w:szCs w:val="21"/>
                    </w:rPr>
                    <w:t>密度：1.19g/cm</w:t>
                  </w:r>
                  <w:r>
                    <w:rPr>
                      <w:rFonts w:hint="eastAsia"/>
                      <w:sz w:val="21"/>
                      <w:szCs w:val="21"/>
                      <w:vertAlign w:val="superscript"/>
                    </w:rPr>
                    <w:t>3</w:t>
                  </w:r>
                  <w:r>
                    <w:rPr>
                      <w:rFonts w:hint="eastAsia"/>
                      <w:sz w:val="21"/>
                      <w:szCs w:val="21"/>
                    </w:rPr>
                    <w:t>，熔点：40-41℃，沸点：156-158℃(1.33kPa)；粘度(50℃)4.9mPa·s，闪点(开口)202℃，折射率1.5906。溶于丙酮、四氯化碳、苯、氯苯、煤油、硝基苯、二氧六环等。</w:t>
                  </w:r>
                </w:p>
              </w:tc>
            </w:tr>
            <w:tr w14:paraId="3BB9A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225316B0">
                  <w:pPr>
                    <w:pStyle w:val="154"/>
                  </w:pPr>
                </w:p>
              </w:tc>
              <w:tc>
                <w:tcPr>
                  <w:tcW w:w="567" w:type="dxa"/>
                  <w:vMerge w:val="continue"/>
                  <w:tcBorders>
                    <w:right w:val="single" w:color="000000" w:sz="6" w:space="0"/>
                  </w:tcBorders>
                  <w:vAlign w:val="center"/>
                </w:tcPr>
                <w:p w14:paraId="3F590D53">
                  <w:pPr>
                    <w:pStyle w:val="154"/>
                    <w:rPr>
                      <w:sz w:val="21"/>
                      <w:szCs w:val="21"/>
                    </w:rPr>
                  </w:pPr>
                </w:p>
              </w:tc>
              <w:tc>
                <w:tcPr>
                  <w:tcW w:w="850" w:type="dxa"/>
                  <w:tcBorders>
                    <w:left w:val="single" w:color="000000" w:sz="6" w:space="0"/>
                  </w:tcBorders>
                  <w:vAlign w:val="center"/>
                </w:tcPr>
                <w:p w14:paraId="39F9D9B1">
                  <w:pPr>
                    <w:pStyle w:val="154"/>
                    <w:rPr>
                      <w:sz w:val="21"/>
                      <w:szCs w:val="21"/>
                    </w:rPr>
                  </w:pPr>
                  <w:r>
                    <w:rPr>
                      <w:rFonts w:hint="eastAsia"/>
                      <w:sz w:val="21"/>
                      <w:szCs w:val="21"/>
                    </w:rPr>
                    <w:t>磷酸</w:t>
                  </w:r>
                </w:p>
              </w:tc>
              <w:tc>
                <w:tcPr>
                  <w:tcW w:w="6646" w:type="dxa"/>
                  <w:vAlign w:val="center"/>
                </w:tcPr>
                <w:p w14:paraId="61A6AFA1">
                  <w:pPr>
                    <w:pStyle w:val="154"/>
                    <w:jc w:val="left"/>
                    <w:rPr>
                      <w:sz w:val="21"/>
                      <w:szCs w:val="21"/>
                    </w:rPr>
                  </w:pPr>
                  <w:r>
                    <w:rPr>
                      <w:rFonts w:hint="eastAsia"/>
                      <w:sz w:val="21"/>
                      <w:szCs w:val="21"/>
                    </w:rPr>
                    <w:t>是一种常见的无机酸，是中强酸，化学式为H</w:t>
                  </w:r>
                  <w:r>
                    <w:rPr>
                      <w:rFonts w:hint="eastAsia"/>
                      <w:sz w:val="21"/>
                      <w:szCs w:val="21"/>
                      <w:vertAlign w:val="subscript"/>
                    </w:rPr>
                    <w:t>3</w:t>
                  </w:r>
                  <w:r>
                    <w:rPr>
                      <w:rFonts w:hint="eastAsia"/>
                      <w:sz w:val="21"/>
                      <w:szCs w:val="21"/>
                    </w:rPr>
                    <w:t>PO</w:t>
                  </w:r>
                  <w:r>
                    <w:rPr>
                      <w:rFonts w:hint="eastAsia"/>
                      <w:sz w:val="21"/>
                      <w:szCs w:val="21"/>
                      <w:vertAlign w:val="subscript"/>
                    </w:rPr>
                    <w:t>4</w:t>
                  </w:r>
                  <w:r>
                    <w:rPr>
                      <w:rFonts w:hint="eastAsia"/>
                      <w:sz w:val="21"/>
                      <w:szCs w:val="21"/>
                    </w:rPr>
                    <w:t>，分子量为97.994，熔点42℃，沸点261℃，密度1.874g/mL。不易挥发，不易分解，无刺激性气味，几乎没有氧化性。具有酸的通性，是三元弱酸，磷酸主要用于制药、食品、肥料等工业，包括作为防锈剂，食品添加剂，牙科和矫形外科，EDIC腐蚀剂，电解质，助焊剂，分散剂，工业腐蚀剂，肥料的原料和组件家居清洁产品。</w:t>
                  </w:r>
                </w:p>
              </w:tc>
            </w:tr>
            <w:tr w14:paraId="4F17B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537F09BC">
                  <w:pPr>
                    <w:pStyle w:val="154"/>
                  </w:pPr>
                </w:p>
              </w:tc>
              <w:tc>
                <w:tcPr>
                  <w:tcW w:w="567" w:type="dxa"/>
                  <w:vMerge w:val="restart"/>
                  <w:tcBorders>
                    <w:right w:val="single" w:color="000000" w:sz="6" w:space="0"/>
                  </w:tcBorders>
                  <w:vAlign w:val="center"/>
                </w:tcPr>
                <w:p w14:paraId="0811648A">
                  <w:pPr>
                    <w:pStyle w:val="154"/>
                    <w:rPr>
                      <w:sz w:val="21"/>
                      <w:szCs w:val="21"/>
                    </w:rPr>
                  </w:pPr>
                  <w:r>
                    <w:rPr>
                      <w:rFonts w:hint="eastAsia"/>
                      <w:sz w:val="21"/>
                      <w:szCs w:val="21"/>
                    </w:rPr>
                    <w:t>聚氨酯C料</w:t>
                  </w:r>
                </w:p>
              </w:tc>
              <w:tc>
                <w:tcPr>
                  <w:tcW w:w="850" w:type="dxa"/>
                  <w:tcBorders>
                    <w:left w:val="single" w:color="000000" w:sz="6" w:space="0"/>
                  </w:tcBorders>
                  <w:vAlign w:val="center"/>
                </w:tcPr>
                <w:p w14:paraId="067B6ECD">
                  <w:pPr>
                    <w:pStyle w:val="154"/>
                    <w:rPr>
                      <w:sz w:val="21"/>
                      <w:szCs w:val="21"/>
                    </w:rPr>
                  </w:pPr>
                  <w:r>
                    <w:rPr>
                      <w:rFonts w:hint="eastAsia"/>
                      <w:sz w:val="21"/>
                      <w:szCs w:val="21"/>
                    </w:rPr>
                    <w:t>乙二醇</w:t>
                  </w:r>
                </w:p>
              </w:tc>
              <w:tc>
                <w:tcPr>
                  <w:tcW w:w="6646" w:type="dxa"/>
                  <w:vAlign w:val="center"/>
                </w:tcPr>
                <w:p w14:paraId="06672E0F">
                  <w:pPr>
                    <w:pStyle w:val="154"/>
                    <w:jc w:val="left"/>
                    <w:rPr>
                      <w:sz w:val="21"/>
                      <w:szCs w:val="21"/>
                    </w:rPr>
                  </w:pPr>
                  <w:r>
                    <w:rPr>
                      <w:rFonts w:hint="eastAsia"/>
                      <w:sz w:val="21"/>
                      <w:szCs w:val="21"/>
                    </w:rPr>
                    <w:t>无色无臭、有甜味、粘稠液体，熔点-12.9℃，沸点197.3℃，闪点111.1℃，密度1.113g/cm</w:t>
                  </w:r>
                  <w:r>
                    <w:rPr>
                      <w:rFonts w:hint="eastAsia"/>
                      <w:sz w:val="21"/>
                      <w:szCs w:val="21"/>
                      <w:vertAlign w:val="superscript"/>
                    </w:rPr>
                    <w:t>3</w:t>
                  </w:r>
                  <w:r>
                    <w:rPr>
                      <w:rFonts w:hint="eastAsia"/>
                      <w:sz w:val="21"/>
                      <w:szCs w:val="21"/>
                    </w:rPr>
                    <w:t>，乙二醇能与水、丙酮互溶，但在醚类中溶解度较小。</w:t>
                  </w:r>
                </w:p>
              </w:tc>
            </w:tr>
            <w:tr w14:paraId="30732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0E7B221E">
                  <w:pPr>
                    <w:pStyle w:val="154"/>
                  </w:pPr>
                </w:p>
              </w:tc>
              <w:tc>
                <w:tcPr>
                  <w:tcW w:w="567" w:type="dxa"/>
                  <w:vMerge w:val="continue"/>
                  <w:tcBorders>
                    <w:right w:val="single" w:color="000000" w:sz="6" w:space="0"/>
                  </w:tcBorders>
                  <w:vAlign w:val="center"/>
                </w:tcPr>
                <w:p w14:paraId="5FF8CDAB">
                  <w:pPr>
                    <w:pStyle w:val="154"/>
                    <w:rPr>
                      <w:sz w:val="21"/>
                      <w:szCs w:val="21"/>
                    </w:rPr>
                  </w:pPr>
                </w:p>
              </w:tc>
              <w:tc>
                <w:tcPr>
                  <w:tcW w:w="850" w:type="dxa"/>
                  <w:tcBorders>
                    <w:left w:val="single" w:color="000000" w:sz="6" w:space="0"/>
                  </w:tcBorders>
                  <w:vAlign w:val="center"/>
                </w:tcPr>
                <w:p w14:paraId="21FB2494">
                  <w:pPr>
                    <w:pStyle w:val="154"/>
                    <w:rPr>
                      <w:sz w:val="21"/>
                      <w:szCs w:val="21"/>
                    </w:rPr>
                  </w:pPr>
                  <w:r>
                    <w:rPr>
                      <w:rFonts w:hint="eastAsia"/>
                      <w:sz w:val="21"/>
                      <w:szCs w:val="21"/>
                    </w:rPr>
                    <w:t>三乙烯二胺</w:t>
                  </w:r>
                </w:p>
              </w:tc>
              <w:tc>
                <w:tcPr>
                  <w:tcW w:w="6646" w:type="dxa"/>
                  <w:vAlign w:val="center"/>
                </w:tcPr>
                <w:p w14:paraId="6774CC68">
                  <w:pPr>
                    <w:pStyle w:val="154"/>
                    <w:jc w:val="left"/>
                    <w:rPr>
                      <w:sz w:val="21"/>
                      <w:szCs w:val="21"/>
                    </w:rPr>
                  </w:pPr>
                  <w:r>
                    <w:rPr>
                      <w:rFonts w:hint="eastAsia"/>
                      <w:sz w:val="21"/>
                      <w:szCs w:val="21"/>
                    </w:rPr>
                    <w:t>亦称三亚乙基二胺。白色或淡黄色品体，熔点159.8℃，沸点174℃，闪点50℃(开杯)。有氨味，本品是有机合成中间体，合成光稳定材料，泛用于聚氨酯泡沫、弹性体与塑料制品及成型工艺。</w:t>
                  </w:r>
                </w:p>
              </w:tc>
            </w:tr>
            <w:tr w14:paraId="4659F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18ECD420">
                  <w:pPr>
                    <w:pStyle w:val="154"/>
                  </w:pPr>
                </w:p>
              </w:tc>
              <w:tc>
                <w:tcPr>
                  <w:tcW w:w="567" w:type="dxa"/>
                  <w:vMerge w:val="restart"/>
                  <w:tcBorders>
                    <w:right w:val="single" w:color="000000" w:sz="6" w:space="0"/>
                  </w:tcBorders>
                  <w:vAlign w:val="center"/>
                </w:tcPr>
                <w:p w14:paraId="759FBFFC">
                  <w:pPr>
                    <w:pStyle w:val="154"/>
                    <w:rPr>
                      <w:sz w:val="21"/>
                      <w:szCs w:val="21"/>
                    </w:rPr>
                  </w:pPr>
                  <w:r>
                    <w:rPr>
                      <w:rFonts w:hint="eastAsia"/>
                      <w:sz w:val="21"/>
                      <w:szCs w:val="21"/>
                    </w:rPr>
                    <w:t>色浆</w:t>
                  </w:r>
                </w:p>
              </w:tc>
              <w:tc>
                <w:tcPr>
                  <w:tcW w:w="850" w:type="dxa"/>
                  <w:tcBorders>
                    <w:left w:val="single" w:color="000000" w:sz="6" w:space="0"/>
                  </w:tcBorders>
                  <w:vAlign w:val="center"/>
                </w:tcPr>
                <w:p w14:paraId="1CFE4C53">
                  <w:pPr>
                    <w:pStyle w:val="154"/>
                    <w:rPr>
                      <w:sz w:val="21"/>
                      <w:szCs w:val="21"/>
                    </w:rPr>
                  </w:pPr>
                  <w:r>
                    <w:rPr>
                      <w:rFonts w:hint="eastAsia"/>
                      <w:sz w:val="21"/>
                      <w:szCs w:val="21"/>
                    </w:rPr>
                    <w:t>丙烯酸树脂</w:t>
                  </w:r>
                </w:p>
              </w:tc>
              <w:tc>
                <w:tcPr>
                  <w:tcW w:w="6646" w:type="dxa"/>
                  <w:vAlign w:val="center"/>
                </w:tcPr>
                <w:p w14:paraId="26D3F176">
                  <w:pPr>
                    <w:pStyle w:val="154"/>
                    <w:jc w:val="left"/>
                    <w:rPr>
                      <w:sz w:val="21"/>
                      <w:szCs w:val="21"/>
                    </w:rPr>
                  </w:pPr>
                  <w:r>
                    <w:rPr>
                      <w:rFonts w:hint="eastAsia"/>
                      <w:sz w:val="21"/>
                      <w:szCs w:val="21"/>
                    </w:rPr>
                    <w:t>外观为无色或淡黄色粘性液体。密度1.27g/cm</w:t>
                  </w:r>
                  <w:r>
                    <w:rPr>
                      <w:rFonts w:hint="eastAsia"/>
                      <w:sz w:val="21"/>
                      <w:szCs w:val="21"/>
                      <w:vertAlign w:val="superscript"/>
                    </w:rPr>
                    <w:t>3</w:t>
                  </w:r>
                  <w:r>
                    <w:rPr>
                      <w:rFonts w:hint="eastAsia"/>
                      <w:sz w:val="21"/>
                      <w:szCs w:val="21"/>
                    </w:rPr>
                    <w:t>，熔点95℃，沸点116℃，闪点100℃。与水无限混溶。</w:t>
                  </w:r>
                </w:p>
              </w:tc>
            </w:tr>
            <w:tr w14:paraId="6FEF3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2C4E412D">
                  <w:pPr>
                    <w:pStyle w:val="154"/>
                  </w:pPr>
                </w:p>
              </w:tc>
              <w:tc>
                <w:tcPr>
                  <w:tcW w:w="567" w:type="dxa"/>
                  <w:vMerge w:val="continue"/>
                  <w:tcBorders>
                    <w:right w:val="single" w:color="000000" w:sz="6" w:space="0"/>
                  </w:tcBorders>
                  <w:vAlign w:val="center"/>
                </w:tcPr>
                <w:p w14:paraId="75259392">
                  <w:pPr>
                    <w:pStyle w:val="154"/>
                    <w:rPr>
                      <w:sz w:val="21"/>
                      <w:szCs w:val="21"/>
                    </w:rPr>
                  </w:pPr>
                </w:p>
              </w:tc>
              <w:tc>
                <w:tcPr>
                  <w:tcW w:w="850" w:type="dxa"/>
                  <w:tcBorders>
                    <w:left w:val="single" w:color="000000" w:sz="6" w:space="0"/>
                  </w:tcBorders>
                  <w:vAlign w:val="center"/>
                </w:tcPr>
                <w:p w14:paraId="07105F9A">
                  <w:pPr>
                    <w:pStyle w:val="154"/>
                    <w:rPr>
                      <w:sz w:val="21"/>
                      <w:szCs w:val="21"/>
                    </w:rPr>
                  </w:pPr>
                  <w:r>
                    <w:rPr>
                      <w:rFonts w:hint="eastAsia"/>
                      <w:sz w:val="21"/>
                      <w:szCs w:val="21"/>
                    </w:rPr>
                    <w:t>丙二醇甲醚</w:t>
                  </w:r>
                </w:p>
              </w:tc>
              <w:tc>
                <w:tcPr>
                  <w:tcW w:w="6646" w:type="dxa"/>
                  <w:vAlign w:val="center"/>
                </w:tcPr>
                <w:p w14:paraId="6C157295">
                  <w:pPr>
                    <w:pStyle w:val="154"/>
                    <w:jc w:val="both"/>
                    <w:rPr>
                      <w:sz w:val="21"/>
                      <w:szCs w:val="21"/>
                    </w:rPr>
                  </w:pPr>
                  <w:r>
                    <w:rPr>
                      <w:rFonts w:hint="eastAsia"/>
                      <w:sz w:val="21"/>
                      <w:szCs w:val="21"/>
                    </w:rPr>
                    <w:t>外观为无色透明液体，相对密度0.9234。沸点121℃，蒸气压1070Pa(20℃)，熔点-95℃(低于此温度成为玻璃体)，黏度1.9mPa·s(20℃)，折射率1.4036。摩尔汽化热32.64kJ/mol，闪点(开杯)36℃。与水混溶。</w:t>
                  </w:r>
                </w:p>
              </w:tc>
            </w:tr>
            <w:tr w14:paraId="07267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2EB1E097">
                  <w:pPr>
                    <w:pStyle w:val="154"/>
                  </w:pPr>
                </w:p>
              </w:tc>
              <w:tc>
                <w:tcPr>
                  <w:tcW w:w="567" w:type="dxa"/>
                  <w:tcBorders>
                    <w:right w:val="single" w:color="000000" w:sz="6" w:space="0"/>
                  </w:tcBorders>
                  <w:vAlign w:val="center"/>
                </w:tcPr>
                <w:p w14:paraId="658B0098">
                  <w:pPr>
                    <w:pStyle w:val="154"/>
                    <w:rPr>
                      <w:sz w:val="21"/>
                      <w:szCs w:val="21"/>
                    </w:rPr>
                  </w:pPr>
                  <w:r>
                    <w:rPr>
                      <w:rFonts w:hint="eastAsia"/>
                      <w:sz w:val="21"/>
                      <w:szCs w:val="21"/>
                    </w:rPr>
                    <w:t>水性脱模剂</w:t>
                  </w:r>
                </w:p>
              </w:tc>
              <w:tc>
                <w:tcPr>
                  <w:tcW w:w="850" w:type="dxa"/>
                  <w:tcBorders>
                    <w:left w:val="single" w:color="000000" w:sz="6" w:space="0"/>
                  </w:tcBorders>
                  <w:vAlign w:val="center"/>
                </w:tcPr>
                <w:p w14:paraId="37252477">
                  <w:pPr>
                    <w:pStyle w:val="154"/>
                    <w:rPr>
                      <w:sz w:val="21"/>
                      <w:szCs w:val="21"/>
                    </w:rPr>
                  </w:pPr>
                  <w:r>
                    <w:rPr>
                      <w:rFonts w:hint="eastAsia"/>
                      <w:sz w:val="21"/>
                      <w:szCs w:val="21"/>
                    </w:rPr>
                    <w:t>水性脱模剂</w:t>
                  </w:r>
                </w:p>
              </w:tc>
              <w:tc>
                <w:tcPr>
                  <w:tcW w:w="6646" w:type="dxa"/>
                  <w:vAlign w:val="center"/>
                </w:tcPr>
                <w:p w14:paraId="535931BC">
                  <w:pPr>
                    <w:pStyle w:val="154"/>
                    <w:jc w:val="left"/>
                    <w:rPr>
                      <w:sz w:val="21"/>
                      <w:szCs w:val="21"/>
                    </w:rPr>
                  </w:pPr>
                  <w:r>
                    <w:rPr>
                      <w:rFonts w:hint="eastAsia"/>
                      <w:sz w:val="21"/>
                      <w:szCs w:val="21"/>
                    </w:rPr>
                    <w:t>脱模剂外观乳白色，比重大于0.8，微有愉快气味，pH值大于7.0，本品以水为分散介质，不含任何有毒有害物质，提高模具与聚合物之间的润滑性。用途及性能：主要用于聚氨酯脱模，分散性好，易于喷涂，使用方便，脱模力小；耐气候性好，存储性能稳定；对模具表面无腐蚀，无结垢现象，便于清洗。</w:t>
                  </w:r>
                </w:p>
              </w:tc>
            </w:tr>
            <w:tr w14:paraId="79FCE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66979D7C">
                  <w:pPr>
                    <w:pStyle w:val="154"/>
                  </w:pPr>
                </w:p>
              </w:tc>
              <w:tc>
                <w:tcPr>
                  <w:tcW w:w="567" w:type="dxa"/>
                  <w:vMerge w:val="restart"/>
                  <w:tcBorders>
                    <w:right w:val="single" w:color="000000" w:sz="6" w:space="0"/>
                  </w:tcBorders>
                  <w:vAlign w:val="center"/>
                </w:tcPr>
                <w:p w14:paraId="3B432589">
                  <w:pPr>
                    <w:pStyle w:val="154"/>
                    <w:rPr>
                      <w:sz w:val="21"/>
                      <w:szCs w:val="21"/>
                    </w:rPr>
                  </w:pPr>
                  <w:r>
                    <w:rPr>
                      <w:rFonts w:hint="eastAsia"/>
                      <w:sz w:val="21"/>
                      <w:szCs w:val="21"/>
                    </w:rPr>
                    <w:t>水基清洗剂</w:t>
                  </w:r>
                </w:p>
              </w:tc>
              <w:tc>
                <w:tcPr>
                  <w:tcW w:w="850" w:type="dxa"/>
                  <w:tcBorders>
                    <w:left w:val="single" w:color="000000" w:sz="6" w:space="0"/>
                  </w:tcBorders>
                  <w:vAlign w:val="center"/>
                </w:tcPr>
                <w:p w14:paraId="05B73A70">
                  <w:pPr>
                    <w:pStyle w:val="154"/>
                    <w:rPr>
                      <w:sz w:val="21"/>
                      <w:szCs w:val="21"/>
                    </w:rPr>
                  </w:pPr>
                  <w:r>
                    <w:rPr>
                      <w:rFonts w:hint="eastAsia"/>
                      <w:sz w:val="21"/>
                      <w:szCs w:val="21"/>
                    </w:rPr>
                    <w:t>脂肪酸聚氧乙烯酯</w:t>
                  </w:r>
                </w:p>
              </w:tc>
              <w:tc>
                <w:tcPr>
                  <w:tcW w:w="6646" w:type="dxa"/>
                  <w:vAlign w:val="center"/>
                </w:tcPr>
                <w:p w14:paraId="41ECE193">
                  <w:pPr>
                    <w:pStyle w:val="154"/>
                    <w:jc w:val="left"/>
                    <w:rPr>
                      <w:sz w:val="21"/>
                      <w:szCs w:val="21"/>
                    </w:rPr>
                  </w:pPr>
                  <w:r>
                    <w:rPr>
                      <w:rFonts w:hint="eastAsia"/>
                      <w:sz w:val="21"/>
                      <w:szCs w:val="21"/>
                    </w:rPr>
                    <w:t>外观为淡黄色油状物。皂化值</w:t>
                  </w:r>
                  <w:r>
                    <w:rPr>
                      <w:sz w:val="21"/>
                      <w:szCs w:val="21"/>
                    </w:rPr>
                    <w:t>107</w:t>
                  </w:r>
                  <w:r>
                    <w:rPr>
                      <w:rFonts w:hint="eastAsia"/>
                      <w:sz w:val="21"/>
                      <w:szCs w:val="21"/>
                    </w:rPr>
                    <w:t>～</w:t>
                  </w:r>
                  <w:r>
                    <w:rPr>
                      <w:sz w:val="21"/>
                      <w:szCs w:val="21"/>
                    </w:rPr>
                    <w:t>117(mgKOH/g)</w:t>
                  </w:r>
                  <w:r>
                    <w:rPr>
                      <w:rFonts w:hint="eastAsia"/>
                      <w:sz w:val="21"/>
                      <w:szCs w:val="21"/>
                    </w:rPr>
                    <w:t>，水份</w:t>
                  </w:r>
                  <w:r>
                    <w:rPr>
                      <w:sz w:val="21"/>
                      <w:szCs w:val="21"/>
                    </w:rPr>
                    <w:t>≤1.0%</w:t>
                  </w:r>
                  <w:r>
                    <w:rPr>
                      <w:rFonts w:hint="eastAsia"/>
                      <w:sz w:val="21"/>
                      <w:szCs w:val="21"/>
                    </w:rPr>
                    <w:t>，</w:t>
                  </w:r>
                  <w:r>
                    <w:rPr>
                      <w:sz w:val="21"/>
                      <w:szCs w:val="21"/>
                    </w:rPr>
                    <w:t>pH</w:t>
                  </w:r>
                  <w:r>
                    <w:rPr>
                      <w:rFonts w:hint="eastAsia"/>
                      <w:sz w:val="21"/>
                      <w:szCs w:val="21"/>
                    </w:rPr>
                    <w:t>值（</w:t>
                  </w:r>
                  <w:r>
                    <w:rPr>
                      <w:sz w:val="21"/>
                      <w:szCs w:val="21"/>
                    </w:rPr>
                    <w:t>1%</w:t>
                  </w:r>
                  <w:r>
                    <w:rPr>
                      <w:rFonts w:hint="eastAsia"/>
                      <w:sz w:val="21"/>
                      <w:szCs w:val="21"/>
                    </w:rPr>
                    <w:t>水溶液）</w:t>
                  </w:r>
                  <w:r>
                    <w:rPr>
                      <w:sz w:val="21"/>
                      <w:szCs w:val="21"/>
                    </w:rPr>
                    <w:t>5.0</w:t>
                  </w:r>
                  <w:r>
                    <w:rPr>
                      <w:rFonts w:hint="eastAsia"/>
                      <w:sz w:val="21"/>
                      <w:szCs w:val="21"/>
                    </w:rPr>
                    <w:t>～</w:t>
                  </w:r>
                  <w:r>
                    <w:rPr>
                      <w:sz w:val="21"/>
                      <w:szCs w:val="21"/>
                    </w:rPr>
                    <w:t>7.0</w:t>
                  </w:r>
                  <w:r>
                    <w:rPr>
                      <w:rFonts w:hint="eastAsia"/>
                      <w:sz w:val="21"/>
                      <w:szCs w:val="21"/>
                    </w:rPr>
                    <w:t>。分散于水，溶于热乙醇、热油及苯和二甲苯等多种溶剂中。具有良好的乳化、润湿、抗静电、增塑、防锈性能。</w:t>
                  </w:r>
                </w:p>
              </w:tc>
            </w:tr>
            <w:tr w14:paraId="7DCC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5CDED206">
                  <w:pPr>
                    <w:pStyle w:val="154"/>
                  </w:pPr>
                </w:p>
              </w:tc>
              <w:tc>
                <w:tcPr>
                  <w:tcW w:w="567" w:type="dxa"/>
                  <w:vMerge w:val="continue"/>
                  <w:tcBorders>
                    <w:right w:val="single" w:color="000000" w:sz="6" w:space="0"/>
                  </w:tcBorders>
                  <w:vAlign w:val="center"/>
                </w:tcPr>
                <w:p w14:paraId="2BF9D7BB">
                  <w:pPr>
                    <w:pStyle w:val="154"/>
                    <w:rPr>
                      <w:sz w:val="21"/>
                      <w:szCs w:val="21"/>
                    </w:rPr>
                  </w:pPr>
                </w:p>
              </w:tc>
              <w:tc>
                <w:tcPr>
                  <w:tcW w:w="850" w:type="dxa"/>
                  <w:tcBorders>
                    <w:left w:val="single" w:color="000000" w:sz="6" w:space="0"/>
                  </w:tcBorders>
                  <w:vAlign w:val="center"/>
                </w:tcPr>
                <w:p w14:paraId="1AB78DCC">
                  <w:pPr>
                    <w:pStyle w:val="154"/>
                    <w:rPr>
                      <w:sz w:val="21"/>
                      <w:szCs w:val="21"/>
                    </w:rPr>
                  </w:pPr>
                  <w:r>
                    <w:rPr>
                      <w:rFonts w:hint="eastAsia"/>
                      <w:sz w:val="21"/>
                      <w:szCs w:val="21"/>
                    </w:rPr>
                    <w:t>高级脂肪胺盐</w:t>
                  </w:r>
                </w:p>
              </w:tc>
              <w:tc>
                <w:tcPr>
                  <w:tcW w:w="6646" w:type="dxa"/>
                  <w:vAlign w:val="center"/>
                </w:tcPr>
                <w:p w14:paraId="0B7BCEBB">
                  <w:pPr>
                    <w:pStyle w:val="154"/>
                    <w:jc w:val="left"/>
                    <w:rPr>
                      <w:sz w:val="21"/>
                      <w:szCs w:val="21"/>
                    </w:rPr>
                  </w:pPr>
                  <w:r>
                    <w:rPr>
                      <w:rFonts w:hint="eastAsia"/>
                      <w:sz w:val="21"/>
                      <w:szCs w:val="21"/>
                    </w:rPr>
                    <w:t>脂肪胺盐是指用盐酸或其他酸中和烷基伯胺、仲胺和叔胺得到的产物为脂肪胺盐。能溶于水，并且具有良好的表面活性。</w:t>
                  </w:r>
                </w:p>
              </w:tc>
            </w:tr>
            <w:tr w14:paraId="13887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09C0A04D">
                  <w:pPr>
                    <w:pStyle w:val="154"/>
                  </w:pPr>
                </w:p>
              </w:tc>
              <w:tc>
                <w:tcPr>
                  <w:tcW w:w="567" w:type="dxa"/>
                  <w:vMerge w:val="continue"/>
                  <w:tcBorders>
                    <w:right w:val="single" w:color="000000" w:sz="6" w:space="0"/>
                  </w:tcBorders>
                  <w:vAlign w:val="center"/>
                </w:tcPr>
                <w:p w14:paraId="3D648D25">
                  <w:pPr>
                    <w:pStyle w:val="154"/>
                    <w:rPr>
                      <w:sz w:val="21"/>
                      <w:szCs w:val="21"/>
                    </w:rPr>
                  </w:pPr>
                </w:p>
              </w:tc>
              <w:tc>
                <w:tcPr>
                  <w:tcW w:w="850" w:type="dxa"/>
                  <w:tcBorders>
                    <w:left w:val="single" w:color="000000" w:sz="6" w:space="0"/>
                  </w:tcBorders>
                  <w:vAlign w:val="center"/>
                </w:tcPr>
                <w:p w14:paraId="3EA3059D">
                  <w:pPr>
                    <w:pStyle w:val="154"/>
                    <w:rPr>
                      <w:sz w:val="21"/>
                      <w:szCs w:val="21"/>
                    </w:rPr>
                  </w:pPr>
                  <w:r>
                    <w:rPr>
                      <w:rFonts w:hint="eastAsia"/>
                      <w:sz w:val="21"/>
                      <w:szCs w:val="21"/>
                    </w:rPr>
                    <w:t>仲烷基硫酸酯钠</w:t>
                  </w:r>
                </w:p>
              </w:tc>
              <w:tc>
                <w:tcPr>
                  <w:tcW w:w="6646" w:type="dxa"/>
                  <w:vAlign w:val="center"/>
                </w:tcPr>
                <w:p w14:paraId="67AB3655">
                  <w:pPr>
                    <w:pStyle w:val="154"/>
                    <w:jc w:val="left"/>
                    <w:rPr>
                      <w:sz w:val="21"/>
                      <w:szCs w:val="21"/>
                    </w:rPr>
                  </w:pPr>
                  <w:r>
                    <w:rPr>
                      <w:rFonts w:hint="eastAsia"/>
                      <w:sz w:val="21"/>
                      <w:szCs w:val="21"/>
                    </w:rPr>
                    <w:t>为琥珀色粘稠液体，相对密度</w:t>
                  </w:r>
                  <w:r>
                    <w:rPr>
                      <w:sz w:val="21"/>
                      <w:szCs w:val="21"/>
                    </w:rPr>
                    <w:t>1.05</w:t>
                  </w:r>
                  <w:r>
                    <w:rPr>
                      <w:rFonts w:hint="eastAsia"/>
                      <w:sz w:val="21"/>
                      <w:szCs w:val="21"/>
                    </w:rPr>
                    <w:t>～</w:t>
                  </w:r>
                  <w:r>
                    <w:rPr>
                      <w:sz w:val="21"/>
                      <w:szCs w:val="21"/>
                    </w:rPr>
                    <w:t>1.07</w:t>
                  </w:r>
                  <w:r>
                    <w:rPr>
                      <w:rFonts w:hint="eastAsia"/>
                      <w:sz w:val="21"/>
                      <w:szCs w:val="21"/>
                    </w:rPr>
                    <w:t>。对酸、碱、盐均稳定。反射光照射下有荧光。</w:t>
                  </w:r>
                </w:p>
              </w:tc>
            </w:tr>
            <w:tr w14:paraId="085AD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035C2EAB">
                  <w:pPr>
                    <w:pStyle w:val="154"/>
                  </w:pPr>
                </w:p>
              </w:tc>
              <w:tc>
                <w:tcPr>
                  <w:tcW w:w="567" w:type="dxa"/>
                  <w:vMerge w:val="continue"/>
                  <w:tcBorders>
                    <w:right w:val="single" w:color="000000" w:sz="6" w:space="0"/>
                  </w:tcBorders>
                  <w:vAlign w:val="center"/>
                </w:tcPr>
                <w:p w14:paraId="004C8A43">
                  <w:pPr>
                    <w:pStyle w:val="154"/>
                    <w:rPr>
                      <w:sz w:val="21"/>
                      <w:szCs w:val="21"/>
                    </w:rPr>
                  </w:pPr>
                </w:p>
              </w:tc>
              <w:tc>
                <w:tcPr>
                  <w:tcW w:w="850" w:type="dxa"/>
                  <w:tcBorders>
                    <w:left w:val="single" w:color="000000" w:sz="6" w:space="0"/>
                  </w:tcBorders>
                  <w:vAlign w:val="center"/>
                </w:tcPr>
                <w:p w14:paraId="3A0486D5">
                  <w:pPr>
                    <w:pStyle w:val="154"/>
                    <w:rPr>
                      <w:sz w:val="21"/>
                      <w:szCs w:val="21"/>
                    </w:rPr>
                  </w:pPr>
                  <w:r>
                    <w:rPr>
                      <w:rFonts w:hint="eastAsia"/>
                      <w:sz w:val="21"/>
                      <w:szCs w:val="21"/>
                    </w:rPr>
                    <w:t>六亚甲基四胺</w:t>
                  </w:r>
                </w:p>
              </w:tc>
              <w:tc>
                <w:tcPr>
                  <w:tcW w:w="6646" w:type="dxa"/>
                  <w:vAlign w:val="center"/>
                </w:tcPr>
                <w:p w14:paraId="6C92DD06">
                  <w:pPr>
                    <w:pStyle w:val="154"/>
                    <w:jc w:val="left"/>
                    <w:rPr>
                      <w:sz w:val="21"/>
                      <w:szCs w:val="21"/>
                    </w:rPr>
                  </w:pPr>
                  <w:r>
                    <w:rPr>
                      <w:rFonts w:hint="eastAsia"/>
                      <w:sz w:val="21"/>
                      <w:szCs w:val="21"/>
                    </w:rPr>
                    <w:t>白色至淡黄色结晶粉末。密度</w:t>
                  </w:r>
                  <w:r>
                    <w:rPr>
                      <w:sz w:val="21"/>
                      <w:szCs w:val="21"/>
                    </w:rPr>
                    <w:t>1.33g/cm</w:t>
                  </w:r>
                  <w:r>
                    <w:rPr>
                      <w:sz w:val="21"/>
                      <w:szCs w:val="21"/>
                      <w:vertAlign w:val="superscript"/>
                    </w:rPr>
                    <w:t>3</w:t>
                  </w:r>
                  <w:r>
                    <w:rPr>
                      <w:rFonts w:hint="eastAsia"/>
                      <w:sz w:val="21"/>
                      <w:szCs w:val="21"/>
                    </w:rPr>
                    <w:t>，熔点</w:t>
                  </w:r>
                  <w:r>
                    <w:rPr>
                      <w:sz w:val="21"/>
                      <w:szCs w:val="21"/>
                    </w:rPr>
                    <w:t>280</w:t>
                  </w:r>
                  <w:r>
                    <w:rPr>
                      <w:rFonts w:hint="eastAsia"/>
                      <w:sz w:val="21"/>
                      <w:szCs w:val="21"/>
                    </w:rPr>
                    <w:t>℃。可燃。几乎无臭，味甜而苦。易溶于水、乙醇、氯仿等有机溶剂，难溶于苯、四氯化碳，不溶于乙醚、汽油。升温至</w:t>
                  </w:r>
                  <w:r>
                    <w:rPr>
                      <w:sz w:val="21"/>
                      <w:szCs w:val="21"/>
                    </w:rPr>
                    <w:t>300</w:t>
                  </w:r>
                  <w:r>
                    <w:rPr>
                      <w:rFonts w:hint="eastAsia"/>
                      <w:sz w:val="21"/>
                      <w:szCs w:val="21"/>
                    </w:rPr>
                    <w:t>℃时放出氰化氢，继续升温，则分解为甲烷、氢和氮。在弱酸溶液中分解为氨及甲醛。与火焰接触时，立即燃烧并产生无烟火焰。有挥发性。遇明火、高热可燃。与氧化剂混合能形成有爆炸性的混合物。与硝酸纤维大面积接触会引起燃烧。与过氧化钠接触剧烈反应。其蒸气比空气重，易在低处聚集。</w:t>
                  </w:r>
                </w:p>
                <w:p w14:paraId="03FD1F88">
                  <w:pPr>
                    <w:pStyle w:val="154"/>
                    <w:jc w:val="left"/>
                    <w:rPr>
                      <w:sz w:val="21"/>
                      <w:szCs w:val="21"/>
                    </w:rPr>
                  </w:pPr>
                  <w:r>
                    <w:rPr>
                      <w:rFonts w:hint="eastAsia"/>
                      <w:sz w:val="21"/>
                      <w:szCs w:val="21"/>
                    </w:rPr>
                    <w:t>大鼠静脉注射</w:t>
                  </w:r>
                  <w:r>
                    <w:rPr>
                      <w:sz w:val="21"/>
                      <w:szCs w:val="21"/>
                    </w:rPr>
                    <w:t>LD50</w:t>
                  </w:r>
                  <w:r>
                    <w:rPr>
                      <w:rFonts w:hint="eastAsia"/>
                      <w:sz w:val="21"/>
                      <w:szCs w:val="21"/>
                    </w:rPr>
                    <w:t>-</w:t>
                  </w:r>
                  <w:r>
                    <w:rPr>
                      <w:sz w:val="21"/>
                      <w:szCs w:val="21"/>
                    </w:rPr>
                    <w:t>9200mg/kg</w:t>
                  </w:r>
                  <w:r>
                    <w:rPr>
                      <w:rFonts w:hint="eastAsia"/>
                      <w:sz w:val="21"/>
                      <w:szCs w:val="21"/>
                    </w:rPr>
                    <w:t>。刺激皮肤并引起皮炎。</w:t>
                  </w:r>
                </w:p>
              </w:tc>
            </w:tr>
            <w:tr w14:paraId="7402A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4D5A9712">
                  <w:pPr>
                    <w:pStyle w:val="154"/>
                  </w:pPr>
                </w:p>
              </w:tc>
              <w:tc>
                <w:tcPr>
                  <w:tcW w:w="567" w:type="dxa"/>
                  <w:vMerge w:val="continue"/>
                  <w:tcBorders>
                    <w:right w:val="single" w:color="000000" w:sz="6" w:space="0"/>
                  </w:tcBorders>
                  <w:vAlign w:val="center"/>
                </w:tcPr>
                <w:p w14:paraId="77CDB230">
                  <w:pPr>
                    <w:pStyle w:val="154"/>
                    <w:rPr>
                      <w:sz w:val="21"/>
                      <w:szCs w:val="21"/>
                    </w:rPr>
                  </w:pPr>
                </w:p>
              </w:tc>
              <w:tc>
                <w:tcPr>
                  <w:tcW w:w="850" w:type="dxa"/>
                  <w:tcBorders>
                    <w:left w:val="single" w:color="000000" w:sz="6" w:space="0"/>
                  </w:tcBorders>
                  <w:vAlign w:val="center"/>
                </w:tcPr>
                <w:p w14:paraId="5213A523">
                  <w:pPr>
                    <w:pStyle w:val="154"/>
                    <w:rPr>
                      <w:sz w:val="21"/>
                      <w:szCs w:val="21"/>
                    </w:rPr>
                  </w:pPr>
                  <w:r>
                    <w:rPr>
                      <w:rFonts w:hint="eastAsia"/>
                      <w:sz w:val="21"/>
                      <w:szCs w:val="21"/>
                    </w:rPr>
                    <w:t>三聚磷酸钠</w:t>
                  </w:r>
                </w:p>
              </w:tc>
              <w:tc>
                <w:tcPr>
                  <w:tcW w:w="6646" w:type="dxa"/>
                  <w:vAlign w:val="center"/>
                </w:tcPr>
                <w:p w14:paraId="5A9513D7">
                  <w:pPr>
                    <w:pStyle w:val="154"/>
                    <w:jc w:val="left"/>
                    <w:rPr>
                      <w:sz w:val="21"/>
                      <w:szCs w:val="21"/>
                    </w:rPr>
                  </w:pPr>
                  <w:r>
                    <w:rPr>
                      <w:rFonts w:hint="eastAsia"/>
                      <w:sz w:val="21"/>
                      <w:szCs w:val="21"/>
                    </w:rPr>
                    <w:t>白色粉末状，熔点</w:t>
                  </w:r>
                  <w:r>
                    <w:rPr>
                      <w:sz w:val="21"/>
                      <w:szCs w:val="21"/>
                    </w:rPr>
                    <w:t>622</w:t>
                  </w:r>
                  <w:r>
                    <w:rPr>
                      <w:rFonts w:hint="eastAsia"/>
                      <w:sz w:val="21"/>
                      <w:szCs w:val="21"/>
                    </w:rPr>
                    <w:t>℃。易溶于水，其水溶液呈碱性，</w:t>
                  </w:r>
                  <w:r>
                    <w:rPr>
                      <w:sz w:val="21"/>
                      <w:szCs w:val="21"/>
                    </w:rPr>
                    <w:t>1%</w:t>
                  </w:r>
                  <w:r>
                    <w:rPr>
                      <w:rFonts w:hint="eastAsia"/>
                      <w:sz w:val="21"/>
                      <w:szCs w:val="21"/>
                    </w:rPr>
                    <w:t>水溶液的</w:t>
                  </w:r>
                  <w:r>
                    <w:rPr>
                      <w:sz w:val="21"/>
                      <w:szCs w:val="21"/>
                    </w:rPr>
                    <w:t>pH</w:t>
                  </w:r>
                  <w:r>
                    <w:rPr>
                      <w:rFonts w:hint="eastAsia"/>
                      <w:sz w:val="21"/>
                      <w:szCs w:val="21"/>
                    </w:rPr>
                    <w:t>值为</w:t>
                  </w:r>
                  <w:r>
                    <w:rPr>
                      <w:sz w:val="21"/>
                      <w:szCs w:val="21"/>
                    </w:rPr>
                    <w:t>9.7</w:t>
                  </w:r>
                  <w:r>
                    <w:rPr>
                      <w:rFonts w:hint="eastAsia"/>
                      <w:sz w:val="21"/>
                      <w:szCs w:val="21"/>
                    </w:rPr>
                    <w:t>。在水中逐渐水解生成正磷酸盐。能与钙、镁、铁等金属离子配位，生成可溶性配合物。</w:t>
                  </w:r>
                </w:p>
              </w:tc>
            </w:tr>
            <w:tr w14:paraId="3FF05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28B8066D">
                  <w:pPr>
                    <w:pStyle w:val="154"/>
                  </w:pPr>
                </w:p>
              </w:tc>
              <w:tc>
                <w:tcPr>
                  <w:tcW w:w="567" w:type="dxa"/>
                  <w:vMerge w:val="continue"/>
                  <w:tcBorders>
                    <w:right w:val="single" w:color="000000" w:sz="6" w:space="0"/>
                  </w:tcBorders>
                  <w:vAlign w:val="center"/>
                </w:tcPr>
                <w:p w14:paraId="14D24559">
                  <w:pPr>
                    <w:pStyle w:val="154"/>
                    <w:rPr>
                      <w:sz w:val="21"/>
                      <w:szCs w:val="21"/>
                    </w:rPr>
                  </w:pPr>
                </w:p>
              </w:tc>
              <w:tc>
                <w:tcPr>
                  <w:tcW w:w="850" w:type="dxa"/>
                  <w:tcBorders>
                    <w:left w:val="single" w:color="000000" w:sz="6" w:space="0"/>
                  </w:tcBorders>
                  <w:vAlign w:val="center"/>
                </w:tcPr>
                <w:p w14:paraId="524D8D0C">
                  <w:pPr>
                    <w:pStyle w:val="154"/>
                    <w:rPr>
                      <w:sz w:val="21"/>
                      <w:szCs w:val="21"/>
                    </w:rPr>
                  </w:pPr>
                  <w:r>
                    <w:rPr>
                      <w:rFonts w:hint="eastAsia"/>
                      <w:sz w:val="21"/>
                      <w:szCs w:val="21"/>
                    </w:rPr>
                    <w:t>膦羧酸</w:t>
                  </w:r>
                </w:p>
              </w:tc>
              <w:tc>
                <w:tcPr>
                  <w:tcW w:w="6646" w:type="dxa"/>
                  <w:vAlign w:val="center"/>
                </w:tcPr>
                <w:p w14:paraId="05D43C4D">
                  <w:pPr>
                    <w:pStyle w:val="154"/>
                    <w:jc w:val="left"/>
                    <w:rPr>
                      <w:sz w:val="21"/>
                      <w:szCs w:val="21"/>
                    </w:rPr>
                  </w:pPr>
                  <w:r>
                    <w:rPr>
                      <w:rFonts w:hint="eastAsia"/>
                      <w:sz w:val="21"/>
                      <w:szCs w:val="21"/>
                    </w:rPr>
                    <w:t>无色液体，熔点</w:t>
                  </w:r>
                  <w:r>
                    <w:rPr>
                      <w:sz w:val="21"/>
                      <w:szCs w:val="21"/>
                    </w:rPr>
                    <w:t>26</w:t>
                  </w:r>
                  <w:r>
                    <w:rPr>
                      <w:rFonts w:hint="eastAsia"/>
                      <w:sz w:val="21"/>
                      <w:szCs w:val="21"/>
                    </w:rPr>
                    <w:t>℃。</w:t>
                  </w:r>
                </w:p>
              </w:tc>
            </w:tr>
            <w:tr w14:paraId="35C3A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978" w:type="dxa"/>
                  <w:vMerge w:val="continue"/>
                  <w:tcBorders>
                    <w:right w:val="single" w:color="000000" w:sz="6" w:space="0"/>
                  </w:tcBorders>
                  <w:vAlign w:val="center"/>
                </w:tcPr>
                <w:p w14:paraId="6BB8A965">
                  <w:pPr>
                    <w:pStyle w:val="154"/>
                  </w:pPr>
                </w:p>
              </w:tc>
              <w:tc>
                <w:tcPr>
                  <w:tcW w:w="567" w:type="dxa"/>
                  <w:vMerge w:val="continue"/>
                  <w:tcBorders>
                    <w:right w:val="single" w:color="000000" w:sz="6" w:space="0"/>
                  </w:tcBorders>
                  <w:vAlign w:val="center"/>
                </w:tcPr>
                <w:p w14:paraId="34D7D8FE">
                  <w:pPr>
                    <w:pStyle w:val="154"/>
                    <w:rPr>
                      <w:sz w:val="21"/>
                      <w:szCs w:val="21"/>
                    </w:rPr>
                  </w:pPr>
                </w:p>
              </w:tc>
              <w:tc>
                <w:tcPr>
                  <w:tcW w:w="850" w:type="dxa"/>
                  <w:tcBorders>
                    <w:left w:val="single" w:color="000000" w:sz="6" w:space="0"/>
                  </w:tcBorders>
                  <w:vAlign w:val="center"/>
                </w:tcPr>
                <w:p w14:paraId="43EAE6E4">
                  <w:pPr>
                    <w:pStyle w:val="154"/>
                    <w:rPr>
                      <w:sz w:val="21"/>
                      <w:szCs w:val="21"/>
                    </w:rPr>
                  </w:pPr>
                  <w:r>
                    <w:rPr>
                      <w:rFonts w:hint="eastAsia"/>
                      <w:sz w:val="21"/>
                      <w:szCs w:val="21"/>
                    </w:rPr>
                    <w:t>磺化木质素</w:t>
                  </w:r>
                </w:p>
              </w:tc>
              <w:tc>
                <w:tcPr>
                  <w:tcW w:w="6646" w:type="dxa"/>
                  <w:vAlign w:val="center"/>
                </w:tcPr>
                <w:p w14:paraId="7D2D3426">
                  <w:pPr>
                    <w:pStyle w:val="154"/>
                    <w:jc w:val="left"/>
                    <w:rPr>
                      <w:sz w:val="21"/>
                      <w:szCs w:val="21"/>
                    </w:rPr>
                  </w:pPr>
                  <w:r>
                    <w:rPr>
                      <w:rFonts w:hint="eastAsia"/>
                      <w:sz w:val="21"/>
                      <w:szCs w:val="21"/>
                    </w:rPr>
                    <w:t>通常为黄褐色固体粉末或黏稠浆液。有良好的扩散性，易溶于水。</w:t>
                  </w:r>
                </w:p>
              </w:tc>
            </w:tr>
          </w:tbl>
          <w:p w14:paraId="58EEFDEC">
            <w:pPr>
              <w:pStyle w:val="156"/>
              <w:ind w:firstLine="480"/>
              <w:rPr>
                <w:rFonts w:eastAsia="宋体" w:cs="Times New Roman"/>
              </w:rPr>
            </w:pPr>
            <w:r>
              <w:rPr>
                <w:rFonts w:eastAsia="宋体" w:cs="Times New Roman"/>
              </w:rPr>
              <w:t>（3）主要能源消耗</w:t>
            </w:r>
          </w:p>
          <w:p w14:paraId="274A6D10">
            <w:pPr>
              <w:pStyle w:val="182"/>
              <w:ind w:firstLine="480"/>
            </w:pPr>
            <w:r>
              <w:t>表2-</w:t>
            </w:r>
            <w:r>
              <w:rPr>
                <w:rFonts w:hint="eastAsia"/>
              </w:rPr>
              <w:t xml:space="preserve">8        </w:t>
            </w:r>
            <w:r>
              <w:t>本项目主要能源消耗</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9"/>
              <w:gridCol w:w="1777"/>
              <w:gridCol w:w="2148"/>
              <w:gridCol w:w="4347"/>
            </w:tblGrid>
            <w:tr w14:paraId="128C1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5" w:type="pct"/>
                  <w:vAlign w:val="center"/>
                </w:tcPr>
                <w:p w14:paraId="333BFF46">
                  <w:pPr>
                    <w:pStyle w:val="154"/>
                    <w:rPr>
                      <w:sz w:val="21"/>
                      <w:szCs w:val="21"/>
                    </w:rPr>
                  </w:pPr>
                  <w:r>
                    <w:rPr>
                      <w:sz w:val="21"/>
                      <w:szCs w:val="21"/>
                    </w:rPr>
                    <w:t>序号</w:t>
                  </w:r>
                </w:p>
              </w:tc>
              <w:tc>
                <w:tcPr>
                  <w:tcW w:w="983" w:type="pct"/>
                  <w:vAlign w:val="center"/>
                </w:tcPr>
                <w:p w14:paraId="22C9A506">
                  <w:pPr>
                    <w:pStyle w:val="154"/>
                    <w:rPr>
                      <w:sz w:val="21"/>
                      <w:szCs w:val="21"/>
                    </w:rPr>
                  </w:pPr>
                  <w:r>
                    <w:rPr>
                      <w:sz w:val="21"/>
                      <w:szCs w:val="21"/>
                    </w:rPr>
                    <w:t>名称</w:t>
                  </w:r>
                </w:p>
              </w:tc>
              <w:tc>
                <w:tcPr>
                  <w:tcW w:w="1188" w:type="pct"/>
                  <w:tcBorders>
                    <w:right w:val="single" w:color="auto" w:sz="4" w:space="0"/>
                  </w:tcBorders>
                  <w:vAlign w:val="center"/>
                </w:tcPr>
                <w:p w14:paraId="7DD676B2">
                  <w:pPr>
                    <w:pStyle w:val="154"/>
                    <w:rPr>
                      <w:sz w:val="21"/>
                      <w:szCs w:val="21"/>
                    </w:rPr>
                  </w:pPr>
                  <w:r>
                    <w:rPr>
                      <w:sz w:val="21"/>
                      <w:szCs w:val="21"/>
                    </w:rPr>
                    <w:t>年耗量</w:t>
                  </w:r>
                </w:p>
              </w:tc>
              <w:tc>
                <w:tcPr>
                  <w:tcW w:w="2404" w:type="pct"/>
                  <w:tcBorders>
                    <w:left w:val="single" w:color="auto" w:sz="4" w:space="0"/>
                  </w:tcBorders>
                  <w:vAlign w:val="center"/>
                </w:tcPr>
                <w:p w14:paraId="729F8BB8">
                  <w:pPr>
                    <w:pStyle w:val="154"/>
                    <w:rPr>
                      <w:sz w:val="21"/>
                      <w:szCs w:val="21"/>
                    </w:rPr>
                  </w:pPr>
                  <w:r>
                    <w:rPr>
                      <w:sz w:val="21"/>
                      <w:szCs w:val="21"/>
                    </w:rPr>
                    <w:t>来源</w:t>
                  </w:r>
                </w:p>
              </w:tc>
            </w:tr>
            <w:tr w14:paraId="79244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25" w:type="pct"/>
                  <w:vAlign w:val="center"/>
                </w:tcPr>
                <w:p w14:paraId="6B12CC1D">
                  <w:pPr>
                    <w:pStyle w:val="154"/>
                    <w:rPr>
                      <w:sz w:val="21"/>
                      <w:szCs w:val="21"/>
                    </w:rPr>
                  </w:pPr>
                  <w:r>
                    <w:rPr>
                      <w:sz w:val="21"/>
                      <w:szCs w:val="21"/>
                    </w:rPr>
                    <w:t>1</w:t>
                  </w:r>
                </w:p>
              </w:tc>
              <w:tc>
                <w:tcPr>
                  <w:tcW w:w="983" w:type="pct"/>
                  <w:vAlign w:val="center"/>
                </w:tcPr>
                <w:p w14:paraId="735877AE">
                  <w:pPr>
                    <w:pStyle w:val="154"/>
                    <w:rPr>
                      <w:sz w:val="21"/>
                      <w:szCs w:val="21"/>
                    </w:rPr>
                  </w:pPr>
                  <w:r>
                    <w:rPr>
                      <w:sz w:val="21"/>
                      <w:szCs w:val="21"/>
                    </w:rPr>
                    <w:t>电</w:t>
                  </w:r>
                </w:p>
              </w:tc>
              <w:tc>
                <w:tcPr>
                  <w:tcW w:w="1188" w:type="pct"/>
                  <w:tcBorders>
                    <w:right w:val="single" w:color="auto" w:sz="4" w:space="0"/>
                  </w:tcBorders>
                  <w:vAlign w:val="center"/>
                </w:tcPr>
                <w:p w14:paraId="4532573A">
                  <w:pPr>
                    <w:pStyle w:val="154"/>
                    <w:rPr>
                      <w:sz w:val="21"/>
                      <w:szCs w:val="21"/>
                    </w:rPr>
                  </w:pPr>
                  <w:r>
                    <w:rPr>
                      <w:rFonts w:hint="eastAsia"/>
                      <w:sz w:val="21"/>
                      <w:szCs w:val="21"/>
                    </w:rPr>
                    <w:t>80</w:t>
                  </w:r>
                  <w:r>
                    <w:rPr>
                      <w:sz w:val="21"/>
                      <w:szCs w:val="21"/>
                    </w:rPr>
                    <w:t>万k</w:t>
                  </w:r>
                  <w:r>
                    <w:rPr>
                      <w:rFonts w:hint="eastAsia"/>
                      <w:sz w:val="21"/>
                      <w:szCs w:val="21"/>
                    </w:rPr>
                    <w:t>w</w:t>
                  </w:r>
                  <w:r>
                    <w:rPr>
                      <w:sz w:val="21"/>
                      <w:szCs w:val="21"/>
                    </w:rPr>
                    <w:t>h/a</w:t>
                  </w:r>
                </w:p>
              </w:tc>
              <w:tc>
                <w:tcPr>
                  <w:tcW w:w="2404" w:type="pct"/>
                  <w:tcBorders>
                    <w:left w:val="single" w:color="auto" w:sz="4" w:space="0"/>
                  </w:tcBorders>
                  <w:vAlign w:val="center"/>
                </w:tcPr>
                <w:p w14:paraId="01DB32D5">
                  <w:pPr>
                    <w:pStyle w:val="154"/>
                    <w:rPr>
                      <w:sz w:val="21"/>
                      <w:szCs w:val="21"/>
                    </w:rPr>
                  </w:pPr>
                  <w:r>
                    <w:rPr>
                      <w:sz w:val="21"/>
                      <w:szCs w:val="21"/>
                    </w:rPr>
                    <w:t>由山化镇供电系统供给</w:t>
                  </w:r>
                </w:p>
              </w:tc>
            </w:tr>
            <w:tr w14:paraId="53087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25" w:type="pct"/>
                  <w:vAlign w:val="center"/>
                </w:tcPr>
                <w:p w14:paraId="4AB82D5E">
                  <w:pPr>
                    <w:pStyle w:val="154"/>
                    <w:rPr>
                      <w:sz w:val="21"/>
                      <w:szCs w:val="21"/>
                    </w:rPr>
                  </w:pPr>
                  <w:r>
                    <w:rPr>
                      <w:sz w:val="21"/>
                      <w:szCs w:val="21"/>
                    </w:rPr>
                    <w:t>2</w:t>
                  </w:r>
                </w:p>
              </w:tc>
              <w:tc>
                <w:tcPr>
                  <w:tcW w:w="983" w:type="pct"/>
                  <w:vAlign w:val="center"/>
                </w:tcPr>
                <w:p w14:paraId="6034DB8E">
                  <w:pPr>
                    <w:pStyle w:val="154"/>
                    <w:rPr>
                      <w:sz w:val="21"/>
                      <w:szCs w:val="21"/>
                    </w:rPr>
                  </w:pPr>
                  <w:r>
                    <w:rPr>
                      <w:sz w:val="21"/>
                      <w:szCs w:val="21"/>
                    </w:rPr>
                    <w:t>水</w:t>
                  </w:r>
                </w:p>
              </w:tc>
              <w:tc>
                <w:tcPr>
                  <w:tcW w:w="1188" w:type="pct"/>
                  <w:tcBorders>
                    <w:right w:val="single" w:color="auto" w:sz="4" w:space="0"/>
                  </w:tcBorders>
                  <w:vAlign w:val="center"/>
                </w:tcPr>
                <w:p w14:paraId="47EDDEF3">
                  <w:pPr>
                    <w:pStyle w:val="154"/>
                    <w:rPr>
                      <w:sz w:val="21"/>
                      <w:szCs w:val="21"/>
                    </w:rPr>
                  </w:pPr>
                  <w:r>
                    <w:rPr>
                      <w:sz w:val="21"/>
                      <w:szCs w:val="21"/>
                    </w:rPr>
                    <w:t>270m</w:t>
                  </w:r>
                  <w:r>
                    <w:rPr>
                      <w:sz w:val="21"/>
                      <w:szCs w:val="21"/>
                      <w:vertAlign w:val="superscript"/>
                    </w:rPr>
                    <w:t>3</w:t>
                  </w:r>
                  <w:r>
                    <w:rPr>
                      <w:sz w:val="21"/>
                      <w:szCs w:val="21"/>
                    </w:rPr>
                    <w:t>/a</w:t>
                  </w:r>
                </w:p>
              </w:tc>
              <w:tc>
                <w:tcPr>
                  <w:tcW w:w="2404" w:type="pct"/>
                  <w:tcBorders>
                    <w:left w:val="single" w:color="auto" w:sz="4" w:space="0"/>
                  </w:tcBorders>
                  <w:vAlign w:val="center"/>
                </w:tcPr>
                <w:p w14:paraId="1EF61DFE">
                  <w:pPr>
                    <w:pStyle w:val="154"/>
                    <w:rPr>
                      <w:sz w:val="21"/>
                      <w:szCs w:val="21"/>
                    </w:rPr>
                  </w:pPr>
                  <w:r>
                    <w:rPr>
                      <w:sz w:val="21"/>
                      <w:szCs w:val="21"/>
                    </w:rPr>
                    <w:t>由山化镇东屯村自来水管网供给</w:t>
                  </w:r>
                </w:p>
              </w:tc>
            </w:tr>
          </w:tbl>
          <w:p w14:paraId="64961A74">
            <w:pPr>
              <w:pStyle w:val="157"/>
            </w:pPr>
            <w:r>
              <w:t>5、主要设备</w:t>
            </w:r>
          </w:p>
          <w:p w14:paraId="40A83987">
            <w:pPr>
              <w:pStyle w:val="182"/>
              <w:ind w:firstLine="480"/>
            </w:pPr>
            <w:r>
              <w:t>表2-</w:t>
            </w:r>
            <w:r>
              <w:rPr>
                <w:rFonts w:hint="eastAsia"/>
              </w:rPr>
              <w:t xml:space="preserve">9            </w:t>
            </w:r>
            <w:r>
              <w:t>主要生产设备</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69"/>
              <w:gridCol w:w="1516"/>
              <w:gridCol w:w="1515"/>
              <w:gridCol w:w="879"/>
              <w:gridCol w:w="1702"/>
              <w:gridCol w:w="1638"/>
              <w:gridCol w:w="1322"/>
            </w:tblGrid>
            <w:tr w14:paraId="7C8D2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7E7083BA">
                  <w:pPr>
                    <w:pStyle w:val="154"/>
                    <w:rPr>
                      <w:sz w:val="21"/>
                      <w:szCs w:val="21"/>
                    </w:rPr>
                  </w:pPr>
                  <w:r>
                    <w:rPr>
                      <w:sz w:val="21"/>
                      <w:szCs w:val="21"/>
                    </w:rPr>
                    <w:t>序号</w:t>
                  </w:r>
                </w:p>
              </w:tc>
              <w:tc>
                <w:tcPr>
                  <w:tcW w:w="838" w:type="pct"/>
                  <w:tcMar>
                    <w:top w:w="15" w:type="dxa"/>
                    <w:left w:w="15" w:type="dxa"/>
                    <w:bottom w:w="15" w:type="dxa"/>
                    <w:right w:w="15" w:type="dxa"/>
                  </w:tcMar>
                </w:tcPr>
                <w:p w14:paraId="375A7F6A">
                  <w:pPr>
                    <w:pStyle w:val="154"/>
                    <w:rPr>
                      <w:sz w:val="21"/>
                      <w:szCs w:val="21"/>
                    </w:rPr>
                  </w:pPr>
                  <w:r>
                    <w:rPr>
                      <w:rFonts w:hint="eastAsia"/>
                      <w:sz w:val="21"/>
                      <w:szCs w:val="21"/>
                    </w:rPr>
                    <w:t>设备分类</w:t>
                  </w:r>
                </w:p>
              </w:tc>
              <w:tc>
                <w:tcPr>
                  <w:tcW w:w="838" w:type="pct"/>
                  <w:tcMar>
                    <w:top w:w="15" w:type="dxa"/>
                    <w:left w:w="15" w:type="dxa"/>
                    <w:bottom w:w="15" w:type="dxa"/>
                    <w:right w:w="15" w:type="dxa"/>
                  </w:tcMar>
                  <w:vAlign w:val="center"/>
                </w:tcPr>
                <w:p w14:paraId="17833D3A">
                  <w:pPr>
                    <w:pStyle w:val="154"/>
                    <w:rPr>
                      <w:sz w:val="21"/>
                      <w:szCs w:val="21"/>
                    </w:rPr>
                  </w:pPr>
                  <w:r>
                    <w:rPr>
                      <w:sz w:val="21"/>
                      <w:szCs w:val="21"/>
                    </w:rPr>
                    <w:t>设备名称</w:t>
                  </w:r>
                </w:p>
              </w:tc>
              <w:tc>
                <w:tcPr>
                  <w:tcW w:w="486" w:type="pct"/>
                  <w:tcMar>
                    <w:top w:w="15" w:type="dxa"/>
                    <w:left w:w="15" w:type="dxa"/>
                    <w:bottom w:w="15" w:type="dxa"/>
                    <w:right w:w="15" w:type="dxa"/>
                  </w:tcMar>
                  <w:vAlign w:val="center"/>
                </w:tcPr>
                <w:p w14:paraId="51AB11A1">
                  <w:pPr>
                    <w:pStyle w:val="154"/>
                    <w:rPr>
                      <w:sz w:val="21"/>
                      <w:szCs w:val="21"/>
                    </w:rPr>
                  </w:pPr>
                  <w:r>
                    <w:rPr>
                      <w:sz w:val="21"/>
                      <w:szCs w:val="21"/>
                    </w:rPr>
                    <w:t>数量</w:t>
                  </w:r>
                </w:p>
              </w:tc>
              <w:tc>
                <w:tcPr>
                  <w:tcW w:w="941" w:type="pct"/>
                </w:tcPr>
                <w:p w14:paraId="4C3EB1ED">
                  <w:pPr>
                    <w:pStyle w:val="154"/>
                    <w:rPr>
                      <w:sz w:val="21"/>
                      <w:szCs w:val="21"/>
                    </w:rPr>
                  </w:pPr>
                  <w:r>
                    <w:rPr>
                      <w:rFonts w:hint="eastAsia"/>
                      <w:sz w:val="21"/>
                      <w:szCs w:val="21"/>
                    </w:rPr>
                    <w:t>规格型号</w:t>
                  </w:r>
                </w:p>
              </w:tc>
              <w:tc>
                <w:tcPr>
                  <w:tcW w:w="906" w:type="pct"/>
                  <w:vAlign w:val="center"/>
                </w:tcPr>
                <w:p w14:paraId="64A4BD95">
                  <w:pPr>
                    <w:pStyle w:val="154"/>
                    <w:rPr>
                      <w:sz w:val="21"/>
                      <w:szCs w:val="21"/>
                    </w:rPr>
                  </w:pPr>
                  <w:r>
                    <w:rPr>
                      <w:sz w:val="21"/>
                      <w:szCs w:val="21"/>
                    </w:rPr>
                    <w:t>年运行时长(h/a)</w:t>
                  </w:r>
                </w:p>
              </w:tc>
              <w:tc>
                <w:tcPr>
                  <w:tcW w:w="731" w:type="pct"/>
                  <w:vAlign w:val="center"/>
                </w:tcPr>
                <w:p w14:paraId="227F7174">
                  <w:pPr>
                    <w:pStyle w:val="154"/>
                    <w:rPr>
                      <w:sz w:val="21"/>
                      <w:szCs w:val="21"/>
                    </w:rPr>
                  </w:pPr>
                  <w:r>
                    <w:rPr>
                      <w:sz w:val="21"/>
                      <w:szCs w:val="21"/>
                    </w:rPr>
                    <w:t>备注</w:t>
                  </w:r>
                </w:p>
              </w:tc>
            </w:tr>
            <w:tr w14:paraId="09027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347A7CD8">
                  <w:pPr>
                    <w:pStyle w:val="154"/>
                    <w:rPr>
                      <w:sz w:val="21"/>
                      <w:szCs w:val="21"/>
                    </w:rPr>
                  </w:pPr>
                  <w:r>
                    <w:rPr>
                      <w:sz w:val="21"/>
                      <w:szCs w:val="21"/>
                    </w:rPr>
                    <w:t>1</w:t>
                  </w:r>
                </w:p>
              </w:tc>
              <w:tc>
                <w:tcPr>
                  <w:tcW w:w="838" w:type="pct"/>
                  <w:vMerge w:val="restart"/>
                  <w:tcMar>
                    <w:top w:w="15" w:type="dxa"/>
                    <w:left w:w="15" w:type="dxa"/>
                    <w:bottom w:w="15" w:type="dxa"/>
                    <w:right w:w="15" w:type="dxa"/>
                  </w:tcMar>
                  <w:vAlign w:val="center"/>
                </w:tcPr>
                <w:p w14:paraId="2CE900AC">
                  <w:pPr>
                    <w:pStyle w:val="154"/>
                    <w:rPr>
                      <w:sz w:val="21"/>
                      <w:szCs w:val="21"/>
                    </w:rPr>
                  </w:pPr>
                  <w:r>
                    <w:rPr>
                      <w:rFonts w:hint="eastAsia"/>
                      <w:sz w:val="21"/>
                      <w:szCs w:val="21"/>
                    </w:rPr>
                    <w:t>注塑工艺鞋底片生产线</w:t>
                  </w:r>
                </w:p>
              </w:tc>
              <w:tc>
                <w:tcPr>
                  <w:tcW w:w="838" w:type="pct"/>
                  <w:tcMar>
                    <w:top w:w="15" w:type="dxa"/>
                    <w:left w:w="15" w:type="dxa"/>
                    <w:bottom w:w="15" w:type="dxa"/>
                    <w:right w:w="15" w:type="dxa"/>
                  </w:tcMar>
                  <w:vAlign w:val="center"/>
                </w:tcPr>
                <w:p w14:paraId="456E0508">
                  <w:pPr>
                    <w:pStyle w:val="154"/>
                    <w:rPr>
                      <w:sz w:val="21"/>
                      <w:szCs w:val="21"/>
                    </w:rPr>
                  </w:pPr>
                  <w:r>
                    <w:rPr>
                      <w:rFonts w:hint="eastAsia"/>
                      <w:sz w:val="21"/>
                      <w:szCs w:val="21"/>
                    </w:rPr>
                    <w:t>搅拌机</w:t>
                  </w:r>
                </w:p>
              </w:tc>
              <w:tc>
                <w:tcPr>
                  <w:tcW w:w="486" w:type="pct"/>
                  <w:tcMar>
                    <w:top w:w="15" w:type="dxa"/>
                    <w:left w:w="15" w:type="dxa"/>
                    <w:bottom w:w="15" w:type="dxa"/>
                    <w:right w:w="15" w:type="dxa"/>
                  </w:tcMar>
                  <w:vAlign w:val="center"/>
                </w:tcPr>
                <w:p w14:paraId="63FA86F2">
                  <w:pPr>
                    <w:pStyle w:val="154"/>
                    <w:rPr>
                      <w:sz w:val="21"/>
                      <w:szCs w:val="21"/>
                    </w:rPr>
                  </w:pPr>
                  <w:r>
                    <w:rPr>
                      <w:rFonts w:hint="eastAsia"/>
                      <w:sz w:val="21"/>
                      <w:szCs w:val="21"/>
                    </w:rPr>
                    <w:t>3</w:t>
                  </w:r>
                  <w:r>
                    <w:rPr>
                      <w:sz w:val="21"/>
                      <w:szCs w:val="21"/>
                    </w:rPr>
                    <w:t>台</w:t>
                  </w:r>
                </w:p>
              </w:tc>
              <w:tc>
                <w:tcPr>
                  <w:tcW w:w="941" w:type="pct"/>
                </w:tcPr>
                <w:p w14:paraId="3CBFA819">
                  <w:pPr>
                    <w:pStyle w:val="154"/>
                    <w:rPr>
                      <w:sz w:val="21"/>
                      <w:szCs w:val="21"/>
                    </w:rPr>
                  </w:pPr>
                  <w:r>
                    <w:rPr>
                      <w:rFonts w:hint="eastAsia"/>
                      <w:sz w:val="21"/>
                      <w:szCs w:val="21"/>
                    </w:rPr>
                    <w:t>1T</w:t>
                  </w:r>
                </w:p>
              </w:tc>
              <w:tc>
                <w:tcPr>
                  <w:tcW w:w="906" w:type="pct"/>
                  <w:vAlign w:val="center"/>
                </w:tcPr>
                <w:p w14:paraId="57E91412">
                  <w:pPr>
                    <w:pStyle w:val="154"/>
                    <w:rPr>
                      <w:sz w:val="21"/>
                      <w:szCs w:val="21"/>
                    </w:rPr>
                  </w:pPr>
                  <w:r>
                    <w:rPr>
                      <w:rFonts w:hint="eastAsia"/>
                      <w:sz w:val="21"/>
                      <w:szCs w:val="21"/>
                    </w:rPr>
                    <w:t>900</w:t>
                  </w:r>
                </w:p>
              </w:tc>
              <w:tc>
                <w:tcPr>
                  <w:tcW w:w="731" w:type="pct"/>
                  <w:vAlign w:val="center"/>
                </w:tcPr>
                <w:p w14:paraId="07BA1E29">
                  <w:pPr>
                    <w:pStyle w:val="154"/>
                    <w:rPr>
                      <w:sz w:val="21"/>
                      <w:szCs w:val="21"/>
                    </w:rPr>
                  </w:pPr>
                  <w:r>
                    <w:rPr>
                      <w:sz w:val="21"/>
                      <w:szCs w:val="21"/>
                    </w:rPr>
                    <w:t>鞋底料搅拌</w:t>
                  </w:r>
                </w:p>
              </w:tc>
            </w:tr>
            <w:tr w14:paraId="0F294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2C252763">
                  <w:pPr>
                    <w:pStyle w:val="154"/>
                    <w:rPr>
                      <w:sz w:val="21"/>
                      <w:szCs w:val="21"/>
                    </w:rPr>
                  </w:pPr>
                  <w:r>
                    <w:rPr>
                      <w:sz w:val="21"/>
                      <w:szCs w:val="21"/>
                    </w:rPr>
                    <w:t>2</w:t>
                  </w:r>
                </w:p>
              </w:tc>
              <w:tc>
                <w:tcPr>
                  <w:tcW w:w="838" w:type="pct"/>
                  <w:vMerge w:val="continue"/>
                  <w:tcMar>
                    <w:top w:w="15" w:type="dxa"/>
                    <w:left w:w="15" w:type="dxa"/>
                    <w:bottom w:w="15" w:type="dxa"/>
                    <w:right w:w="15" w:type="dxa"/>
                  </w:tcMar>
                </w:tcPr>
                <w:p w14:paraId="64CBDD06">
                  <w:pPr>
                    <w:pStyle w:val="154"/>
                    <w:rPr>
                      <w:sz w:val="21"/>
                      <w:szCs w:val="21"/>
                    </w:rPr>
                  </w:pPr>
                </w:p>
              </w:tc>
              <w:tc>
                <w:tcPr>
                  <w:tcW w:w="838" w:type="pct"/>
                  <w:tcMar>
                    <w:top w:w="15" w:type="dxa"/>
                    <w:left w:w="15" w:type="dxa"/>
                    <w:bottom w:w="15" w:type="dxa"/>
                    <w:right w:w="15" w:type="dxa"/>
                  </w:tcMar>
                  <w:vAlign w:val="center"/>
                </w:tcPr>
                <w:p w14:paraId="3760A65A">
                  <w:pPr>
                    <w:pStyle w:val="154"/>
                    <w:rPr>
                      <w:sz w:val="21"/>
                      <w:szCs w:val="21"/>
                    </w:rPr>
                  </w:pPr>
                  <w:r>
                    <w:rPr>
                      <w:sz w:val="21"/>
                      <w:szCs w:val="21"/>
                    </w:rPr>
                    <w:t>打料锅</w:t>
                  </w:r>
                </w:p>
              </w:tc>
              <w:tc>
                <w:tcPr>
                  <w:tcW w:w="486" w:type="pct"/>
                  <w:tcMar>
                    <w:top w:w="15" w:type="dxa"/>
                    <w:left w:w="15" w:type="dxa"/>
                    <w:bottom w:w="15" w:type="dxa"/>
                    <w:right w:w="15" w:type="dxa"/>
                  </w:tcMar>
                  <w:vAlign w:val="center"/>
                </w:tcPr>
                <w:p w14:paraId="4D17C2AA">
                  <w:pPr>
                    <w:pStyle w:val="154"/>
                    <w:rPr>
                      <w:sz w:val="21"/>
                      <w:szCs w:val="21"/>
                    </w:rPr>
                  </w:pPr>
                  <w:r>
                    <w:rPr>
                      <w:rFonts w:hint="eastAsia"/>
                      <w:sz w:val="21"/>
                      <w:szCs w:val="21"/>
                    </w:rPr>
                    <w:t>5</w:t>
                  </w:r>
                  <w:r>
                    <w:rPr>
                      <w:sz w:val="21"/>
                      <w:szCs w:val="21"/>
                    </w:rPr>
                    <w:t>台</w:t>
                  </w:r>
                </w:p>
              </w:tc>
              <w:tc>
                <w:tcPr>
                  <w:tcW w:w="941" w:type="pct"/>
                  <w:vAlign w:val="center"/>
                </w:tcPr>
                <w:p w14:paraId="08162F23">
                  <w:pPr>
                    <w:pStyle w:val="154"/>
                    <w:rPr>
                      <w:sz w:val="21"/>
                      <w:szCs w:val="21"/>
                    </w:rPr>
                  </w:pPr>
                  <w:r>
                    <w:rPr>
                      <w:rFonts w:hint="eastAsia"/>
                      <w:sz w:val="21"/>
                      <w:szCs w:val="21"/>
                    </w:rPr>
                    <w:t>0.2T</w:t>
                  </w:r>
                </w:p>
              </w:tc>
              <w:tc>
                <w:tcPr>
                  <w:tcW w:w="906" w:type="pct"/>
                  <w:vAlign w:val="center"/>
                </w:tcPr>
                <w:p w14:paraId="30CF8621">
                  <w:pPr>
                    <w:pStyle w:val="154"/>
                    <w:rPr>
                      <w:sz w:val="21"/>
                      <w:szCs w:val="21"/>
                    </w:rPr>
                  </w:pPr>
                  <w:r>
                    <w:rPr>
                      <w:rFonts w:hint="eastAsia"/>
                      <w:sz w:val="21"/>
                      <w:szCs w:val="21"/>
                    </w:rPr>
                    <w:t>2400</w:t>
                  </w:r>
                </w:p>
              </w:tc>
              <w:tc>
                <w:tcPr>
                  <w:tcW w:w="731" w:type="pct"/>
                  <w:vAlign w:val="center"/>
                </w:tcPr>
                <w:p w14:paraId="06DC399C">
                  <w:pPr>
                    <w:pStyle w:val="154"/>
                    <w:rPr>
                      <w:sz w:val="21"/>
                      <w:szCs w:val="21"/>
                    </w:rPr>
                  </w:pPr>
                  <w:r>
                    <w:rPr>
                      <w:rFonts w:hint="eastAsia"/>
                      <w:sz w:val="21"/>
                      <w:szCs w:val="21"/>
                    </w:rPr>
                    <w:t>鞋底料混合预热</w:t>
                  </w:r>
                </w:p>
              </w:tc>
            </w:tr>
            <w:tr w14:paraId="5AF5F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626E5AE3">
                  <w:pPr>
                    <w:pStyle w:val="154"/>
                    <w:rPr>
                      <w:sz w:val="21"/>
                      <w:szCs w:val="21"/>
                    </w:rPr>
                  </w:pPr>
                  <w:r>
                    <w:rPr>
                      <w:sz w:val="21"/>
                      <w:szCs w:val="21"/>
                    </w:rPr>
                    <w:t>3</w:t>
                  </w:r>
                </w:p>
              </w:tc>
              <w:tc>
                <w:tcPr>
                  <w:tcW w:w="838" w:type="pct"/>
                  <w:vMerge w:val="continue"/>
                  <w:tcMar>
                    <w:top w:w="15" w:type="dxa"/>
                    <w:left w:w="15" w:type="dxa"/>
                    <w:bottom w:w="15" w:type="dxa"/>
                    <w:right w:w="15" w:type="dxa"/>
                  </w:tcMar>
                </w:tcPr>
                <w:p w14:paraId="7CEFA81A">
                  <w:pPr>
                    <w:pStyle w:val="154"/>
                    <w:rPr>
                      <w:sz w:val="21"/>
                      <w:szCs w:val="21"/>
                    </w:rPr>
                  </w:pPr>
                </w:p>
              </w:tc>
              <w:tc>
                <w:tcPr>
                  <w:tcW w:w="838" w:type="pct"/>
                  <w:tcMar>
                    <w:top w:w="15" w:type="dxa"/>
                    <w:left w:w="15" w:type="dxa"/>
                    <w:bottom w:w="15" w:type="dxa"/>
                    <w:right w:w="15" w:type="dxa"/>
                  </w:tcMar>
                  <w:vAlign w:val="center"/>
                </w:tcPr>
                <w:p w14:paraId="24CE3E57">
                  <w:pPr>
                    <w:pStyle w:val="154"/>
                    <w:rPr>
                      <w:sz w:val="21"/>
                      <w:szCs w:val="21"/>
                    </w:rPr>
                  </w:pPr>
                  <w:r>
                    <w:rPr>
                      <w:sz w:val="21"/>
                      <w:szCs w:val="21"/>
                    </w:rPr>
                    <w:t>注塑底片机</w:t>
                  </w:r>
                </w:p>
              </w:tc>
              <w:tc>
                <w:tcPr>
                  <w:tcW w:w="486" w:type="pct"/>
                  <w:tcMar>
                    <w:top w:w="15" w:type="dxa"/>
                    <w:left w:w="15" w:type="dxa"/>
                    <w:bottom w:w="15" w:type="dxa"/>
                    <w:right w:w="15" w:type="dxa"/>
                  </w:tcMar>
                  <w:vAlign w:val="center"/>
                </w:tcPr>
                <w:p w14:paraId="2700485F">
                  <w:pPr>
                    <w:pStyle w:val="154"/>
                    <w:rPr>
                      <w:sz w:val="21"/>
                      <w:szCs w:val="21"/>
                    </w:rPr>
                  </w:pPr>
                  <w:r>
                    <w:rPr>
                      <w:rFonts w:hint="eastAsia"/>
                      <w:sz w:val="21"/>
                      <w:szCs w:val="21"/>
                    </w:rPr>
                    <w:t>5</w:t>
                  </w:r>
                  <w:r>
                    <w:rPr>
                      <w:sz w:val="21"/>
                      <w:szCs w:val="21"/>
                    </w:rPr>
                    <w:t>台</w:t>
                  </w:r>
                </w:p>
              </w:tc>
              <w:tc>
                <w:tcPr>
                  <w:tcW w:w="941" w:type="pct"/>
                </w:tcPr>
                <w:p w14:paraId="4D586E90">
                  <w:pPr>
                    <w:pStyle w:val="154"/>
                    <w:rPr>
                      <w:sz w:val="21"/>
                      <w:szCs w:val="21"/>
                    </w:rPr>
                  </w:pPr>
                  <w:r>
                    <w:rPr>
                      <w:rFonts w:hint="eastAsia"/>
                      <w:sz w:val="21"/>
                      <w:szCs w:val="21"/>
                    </w:rPr>
                    <w:t>/</w:t>
                  </w:r>
                </w:p>
              </w:tc>
              <w:tc>
                <w:tcPr>
                  <w:tcW w:w="906" w:type="pct"/>
                  <w:vAlign w:val="center"/>
                </w:tcPr>
                <w:p w14:paraId="1FCEFCCD">
                  <w:pPr>
                    <w:pStyle w:val="154"/>
                    <w:rPr>
                      <w:sz w:val="21"/>
                      <w:szCs w:val="21"/>
                    </w:rPr>
                  </w:pPr>
                  <w:r>
                    <w:rPr>
                      <w:rFonts w:hint="eastAsia"/>
                      <w:sz w:val="21"/>
                      <w:szCs w:val="21"/>
                    </w:rPr>
                    <w:t>2400</w:t>
                  </w:r>
                </w:p>
              </w:tc>
              <w:tc>
                <w:tcPr>
                  <w:tcW w:w="731" w:type="pct"/>
                  <w:vAlign w:val="center"/>
                </w:tcPr>
                <w:p w14:paraId="287F0019">
                  <w:pPr>
                    <w:pStyle w:val="154"/>
                    <w:rPr>
                      <w:sz w:val="21"/>
                      <w:szCs w:val="21"/>
                    </w:rPr>
                  </w:pPr>
                  <w:r>
                    <w:rPr>
                      <w:sz w:val="21"/>
                      <w:szCs w:val="21"/>
                    </w:rPr>
                    <w:t>鞋底片注塑</w:t>
                  </w:r>
                </w:p>
              </w:tc>
            </w:tr>
            <w:tr w14:paraId="0CB61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3BF34A9C">
                  <w:pPr>
                    <w:pStyle w:val="154"/>
                    <w:rPr>
                      <w:sz w:val="21"/>
                      <w:szCs w:val="21"/>
                    </w:rPr>
                  </w:pPr>
                  <w:r>
                    <w:rPr>
                      <w:sz w:val="21"/>
                      <w:szCs w:val="21"/>
                    </w:rPr>
                    <w:t>4</w:t>
                  </w:r>
                </w:p>
              </w:tc>
              <w:tc>
                <w:tcPr>
                  <w:tcW w:w="838" w:type="pct"/>
                  <w:vMerge w:val="continue"/>
                  <w:tcMar>
                    <w:top w:w="15" w:type="dxa"/>
                    <w:left w:w="15" w:type="dxa"/>
                    <w:bottom w:w="15" w:type="dxa"/>
                    <w:right w:w="15" w:type="dxa"/>
                  </w:tcMar>
                </w:tcPr>
                <w:p w14:paraId="0FFDE379">
                  <w:pPr>
                    <w:pStyle w:val="154"/>
                    <w:rPr>
                      <w:sz w:val="21"/>
                      <w:szCs w:val="21"/>
                    </w:rPr>
                  </w:pPr>
                </w:p>
              </w:tc>
              <w:tc>
                <w:tcPr>
                  <w:tcW w:w="838" w:type="pct"/>
                  <w:tcMar>
                    <w:top w:w="15" w:type="dxa"/>
                    <w:left w:w="15" w:type="dxa"/>
                    <w:bottom w:w="15" w:type="dxa"/>
                    <w:right w:w="15" w:type="dxa"/>
                  </w:tcMar>
                  <w:vAlign w:val="center"/>
                </w:tcPr>
                <w:p w14:paraId="6ED9FBA1">
                  <w:pPr>
                    <w:pStyle w:val="154"/>
                    <w:rPr>
                      <w:sz w:val="21"/>
                      <w:szCs w:val="21"/>
                    </w:rPr>
                  </w:pPr>
                  <w:r>
                    <w:rPr>
                      <w:sz w:val="21"/>
                      <w:szCs w:val="21"/>
                    </w:rPr>
                    <w:t>水冷机组</w:t>
                  </w:r>
                </w:p>
              </w:tc>
              <w:tc>
                <w:tcPr>
                  <w:tcW w:w="486" w:type="pct"/>
                  <w:tcMar>
                    <w:top w:w="15" w:type="dxa"/>
                    <w:left w:w="15" w:type="dxa"/>
                    <w:bottom w:w="15" w:type="dxa"/>
                    <w:right w:w="15" w:type="dxa"/>
                  </w:tcMar>
                  <w:vAlign w:val="center"/>
                </w:tcPr>
                <w:p w14:paraId="1224F5A4">
                  <w:pPr>
                    <w:pStyle w:val="154"/>
                    <w:rPr>
                      <w:sz w:val="21"/>
                      <w:szCs w:val="21"/>
                    </w:rPr>
                  </w:pPr>
                  <w:r>
                    <w:rPr>
                      <w:rFonts w:hint="eastAsia"/>
                      <w:sz w:val="21"/>
                      <w:szCs w:val="21"/>
                    </w:rPr>
                    <w:t>1</w:t>
                  </w:r>
                  <w:r>
                    <w:rPr>
                      <w:sz w:val="21"/>
                      <w:szCs w:val="21"/>
                    </w:rPr>
                    <w:t>台</w:t>
                  </w:r>
                </w:p>
              </w:tc>
              <w:tc>
                <w:tcPr>
                  <w:tcW w:w="941" w:type="pct"/>
                </w:tcPr>
                <w:p w14:paraId="33D27341">
                  <w:pPr>
                    <w:pStyle w:val="154"/>
                    <w:rPr>
                      <w:sz w:val="21"/>
                      <w:szCs w:val="21"/>
                    </w:rPr>
                  </w:pPr>
                  <w:r>
                    <w:rPr>
                      <w:rFonts w:hint="eastAsia"/>
                      <w:sz w:val="21"/>
                      <w:szCs w:val="21"/>
                    </w:rPr>
                    <w:t>1</w:t>
                  </w:r>
                  <w:r>
                    <w:rPr>
                      <w:sz w:val="21"/>
                      <w:szCs w:val="21"/>
                    </w:rPr>
                    <w:t>m</w:t>
                  </w:r>
                  <w:r>
                    <w:rPr>
                      <w:sz w:val="21"/>
                      <w:szCs w:val="21"/>
                      <w:vertAlign w:val="superscript"/>
                    </w:rPr>
                    <w:t>3</w:t>
                  </w:r>
                </w:p>
              </w:tc>
              <w:tc>
                <w:tcPr>
                  <w:tcW w:w="906" w:type="pct"/>
                  <w:vAlign w:val="center"/>
                </w:tcPr>
                <w:p w14:paraId="0082DDF0">
                  <w:pPr>
                    <w:pStyle w:val="154"/>
                    <w:rPr>
                      <w:sz w:val="21"/>
                      <w:szCs w:val="21"/>
                    </w:rPr>
                  </w:pPr>
                  <w:r>
                    <w:rPr>
                      <w:rFonts w:hint="eastAsia"/>
                      <w:sz w:val="21"/>
                      <w:szCs w:val="21"/>
                    </w:rPr>
                    <w:t>2400</w:t>
                  </w:r>
                </w:p>
              </w:tc>
              <w:tc>
                <w:tcPr>
                  <w:tcW w:w="731" w:type="pct"/>
                  <w:vAlign w:val="center"/>
                </w:tcPr>
                <w:p w14:paraId="4C4BFDA1">
                  <w:pPr>
                    <w:pStyle w:val="154"/>
                    <w:rPr>
                      <w:sz w:val="21"/>
                      <w:szCs w:val="21"/>
                    </w:rPr>
                  </w:pPr>
                  <w:r>
                    <w:rPr>
                      <w:sz w:val="21"/>
                      <w:szCs w:val="21"/>
                    </w:rPr>
                    <w:t>注塑机冷却</w:t>
                  </w:r>
                </w:p>
              </w:tc>
            </w:tr>
            <w:tr w14:paraId="5EF4D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5BF68977">
                  <w:pPr>
                    <w:pStyle w:val="154"/>
                    <w:rPr>
                      <w:sz w:val="21"/>
                      <w:szCs w:val="21"/>
                    </w:rPr>
                  </w:pPr>
                  <w:r>
                    <w:rPr>
                      <w:rFonts w:hint="eastAsia"/>
                      <w:sz w:val="21"/>
                      <w:szCs w:val="21"/>
                    </w:rPr>
                    <w:t>5</w:t>
                  </w:r>
                </w:p>
              </w:tc>
              <w:tc>
                <w:tcPr>
                  <w:tcW w:w="838" w:type="pct"/>
                  <w:vMerge w:val="continue"/>
                  <w:tcMar>
                    <w:top w:w="15" w:type="dxa"/>
                    <w:left w:w="15" w:type="dxa"/>
                    <w:bottom w:w="15" w:type="dxa"/>
                    <w:right w:w="15" w:type="dxa"/>
                  </w:tcMar>
                </w:tcPr>
                <w:p w14:paraId="7AE293A9">
                  <w:pPr>
                    <w:pStyle w:val="154"/>
                    <w:rPr>
                      <w:sz w:val="21"/>
                      <w:szCs w:val="21"/>
                    </w:rPr>
                  </w:pPr>
                </w:p>
              </w:tc>
              <w:tc>
                <w:tcPr>
                  <w:tcW w:w="838" w:type="pct"/>
                  <w:tcMar>
                    <w:top w:w="15" w:type="dxa"/>
                    <w:left w:w="15" w:type="dxa"/>
                    <w:bottom w:w="15" w:type="dxa"/>
                    <w:right w:w="15" w:type="dxa"/>
                  </w:tcMar>
                  <w:vAlign w:val="center"/>
                </w:tcPr>
                <w:p w14:paraId="65593D61">
                  <w:pPr>
                    <w:pStyle w:val="154"/>
                    <w:rPr>
                      <w:sz w:val="21"/>
                      <w:szCs w:val="21"/>
                    </w:rPr>
                  </w:pPr>
                  <w:r>
                    <w:rPr>
                      <w:sz w:val="21"/>
                      <w:szCs w:val="21"/>
                    </w:rPr>
                    <w:t>破碎机</w:t>
                  </w:r>
                </w:p>
              </w:tc>
              <w:tc>
                <w:tcPr>
                  <w:tcW w:w="486" w:type="pct"/>
                  <w:tcMar>
                    <w:top w:w="15" w:type="dxa"/>
                    <w:left w:w="15" w:type="dxa"/>
                    <w:bottom w:w="15" w:type="dxa"/>
                    <w:right w:w="15" w:type="dxa"/>
                  </w:tcMar>
                  <w:vAlign w:val="center"/>
                </w:tcPr>
                <w:p w14:paraId="7BCDCA81">
                  <w:pPr>
                    <w:pStyle w:val="154"/>
                    <w:rPr>
                      <w:sz w:val="21"/>
                      <w:szCs w:val="21"/>
                    </w:rPr>
                  </w:pPr>
                  <w:r>
                    <w:rPr>
                      <w:rFonts w:hint="eastAsia"/>
                      <w:sz w:val="21"/>
                      <w:szCs w:val="21"/>
                    </w:rPr>
                    <w:t>5</w:t>
                  </w:r>
                  <w:r>
                    <w:rPr>
                      <w:sz w:val="21"/>
                      <w:szCs w:val="21"/>
                    </w:rPr>
                    <w:t>台</w:t>
                  </w:r>
                </w:p>
              </w:tc>
              <w:tc>
                <w:tcPr>
                  <w:tcW w:w="941" w:type="pct"/>
                </w:tcPr>
                <w:p w14:paraId="07A54BDC">
                  <w:pPr>
                    <w:pStyle w:val="154"/>
                    <w:rPr>
                      <w:sz w:val="21"/>
                      <w:szCs w:val="21"/>
                    </w:rPr>
                  </w:pPr>
                  <w:r>
                    <w:rPr>
                      <w:rFonts w:hint="eastAsia"/>
                      <w:sz w:val="21"/>
                      <w:szCs w:val="21"/>
                    </w:rPr>
                    <w:t>5KW</w:t>
                  </w:r>
                </w:p>
              </w:tc>
              <w:tc>
                <w:tcPr>
                  <w:tcW w:w="906" w:type="pct"/>
                  <w:vAlign w:val="center"/>
                </w:tcPr>
                <w:p w14:paraId="0CABD5A6">
                  <w:pPr>
                    <w:pStyle w:val="154"/>
                    <w:rPr>
                      <w:sz w:val="21"/>
                      <w:szCs w:val="21"/>
                    </w:rPr>
                  </w:pPr>
                  <w:r>
                    <w:rPr>
                      <w:rFonts w:hint="eastAsia"/>
                      <w:sz w:val="21"/>
                      <w:szCs w:val="21"/>
                    </w:rPr>
                    <w:t>900</w:t>
                  </w:r>
                </w:p>
              </w:tc>
              <w:tc>
                <w:tcPr>
                  <w:tcW w:w="731" w:type="pct"/>
                  <w:vAlign w:val="center"/>
                </w:tcPr>
                <w:p w14:paraId="0FF0FA47">
                  <w:pPr>
                    <w:pStyle w:val="154"/>
                    <w:rPr>
                      <w:sz w:val="21"/>
                      <w:szCs w:val="21"/>
                    </w:rPr>
                  </w:pPr>
                  <w:r>
                    <w:rPr>
                      <w:sz w:val="21"/>
                      <w:szCs w:val="21"/>
                    </w:rPr>
                    <w:t>边角料破碎</w:t>
                  </w:r>
                </w:p>
              </w:tc>
            </w:tr>
            <w:tr w14:paraId="16D50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67748126">
                  <w:pPr>
                    <w:pStyle w:val="154"/>
                    <w:rPr>
                      <w:sz w:val="21"/>
                      <w:szCs w:val="21"/>
                    </w:rPr>
                  </w:pPr>
                  <w:r>
                    <w:rPr>
                      <w:rFonts w:hint="eastAsia"/>
                      <w:sz w:val="21"/>
                      <w:szCs w:val="21"/>
                    </w:rPr>
                    <w:t>6</w:t>
                  </w:r>
                </w:p>
              </w:tc>
              <w:tc>
                <w:tcPr>
                  <w:tcW w:w="838" w:type="pct"/>
                  <w:vMerge w:val="restart"/>
                  <w:tcMar>
                    <w:top w:w="15" w:type="dxa"/>
                    <w:left w:w="15" w:type="dxa"/>
                    <w:bottom w:w="15" w:type="dxa"/>
                    <w:right w:w="15" w:type="dxa"/>
                  </w:tcMar>
                </w:tcPr>
                <w:p w14:paraId="78FDA7AB">
                  <w:pPr>
                    <w:pStyle w:val="154"/>
                    <w:rPr>
                      <w:sz w:val="21"/>
                      <w:szCs w:val="21"/>
                    </w:rPr>
                  </w:pPr>
                </w:p>
                <w:p w14:paraId="59525982">
                  <w:pPr>
                    <w:pStyle w:val="154"/>
                    <w:rPr>
                      <w:sz w:val="21"/>
                      <w:szCs w:val="21"/>
                    </w:rPr>
                  </w:pPr>
                </w:p>
                <w:p w14:paraId="3D08D3F9">
                  <w:pPr>
                    <w:pStyle w:val="154"/>
                    <w:rPr>
                      <w:sz w:val="21"/>
                      <w:szCs w:val="21"/>
                    </w:rPr>
                  </w:pPr>
                </w:p>
                <w:p w14:paraId="3DCC3DF1">
                  <w:pPr>
                    <w:pStyle w:val="154"/>
                    <w:rPr>
                      <w:sz w:val="21"/>
                      <w:szCs w:val="21"/>
                    </w:rPr>
                  </w:pPr>
                  <w:r>
                    <w:rPr>
                      <w:rFonts w:hint="eastAsia"/>
                      <w:sz w:val="21"/>
                      <w:szCs w:val="21"/>
                    </w:rPr>
                    <w:t>聚氨酯工艺布鞋生产线</w:t>
                  </w:r>
                </w:p>
              </w:tc>
              <w:tc>
                <w:tcPr>
                  <w:tcW w:w="838" w:type="pct"/>
                  <w:tcMar>
                    <w:top w:w="15" w:type="dxa"/>
                    <w:left w:w="15" w:type="dxa"/>
                    <w:bottom w:w="15" w:type="dxa"/>
                    <w:right w:w="15" w:type="dxa"/>
                  </w:tcMar>
                  <w:vAlign w:val="center"/>
                </w:tcPr>
                <w:p w14:paraId="138D0140">
                  <w:pPr>
                    <w:pStyle w:val="154"/>
                    <w:rPr>
                      <w:sz w:val="21"/>
                      <w:szCs w:val="21"/>
                    </w:rPr>
                  </w:pPr>
                  <w:r>
                    <w:rPr>
                      <w:rFonts w:hint="eastAsia"/>
                      <w:sz w:val="21"/>
                      <w:szCs w:val="21"/>
                    </w:rPr>
                    <w:t>预热烘箱</w:t>
                  </w:r>
                </w:p>
              </w:tc>
              <w:tc>
                <w:tcPr>
                  <w:tcW w:w="486" w:type="pct"/>
                  <w:tcMar>
                    <w:top w:w="15" w:type="dxa"/>
                    <w:left w:w="15" w:type="dxa"/>
                    <w:bottom w:w="15" w:type="dxa"/>
                    <w:right w:w="15" w:type="dxa"/>
                  </w:tcMar>
                  <w:vAlign w:val="center"/>
                </w:tcPr>
                <w:p w14:paraId="7A95FCD0">
                  <w:pPr>
                    <w:pStyle w:val="154"/>
                    <w:rPr>
                      <w:sz w:val="21"/>
                      <w:szCs w:val="21"/>
                    </w:rPr>
                  </w:pPr>
                  <w:r>
                    <w:rPr>
                      <w:rFonts w:hint="eastAsia"/>
                      <w:sz w:val="21"/>
                      <w:szCs w:val="21"/>
                    </w:rPr>
                    <w:t>1台</w:t>
                  </w:r>
                </w:p>
              </w:tc>
              <w:tc>
                <w:tcPr>
                  <w:tcW w:w="941" w:type="pct"/>
                  <w:vAlign w:val="center"/>
                </w:tcPr>
                <w:p w14:paraId="3249377A">
                  <w:pPr>
                    <w:pStyle w:val="154"/>
                    <w:rPr>
                      <w:sz w:val="21"/>
                      <w:szCs w:val="21"/>
                    </w:rPr>
                  </w:pPr>
                  <w:r>
                    <w:rPr>
                      <w:rFonts w:hint="eastAsia"/>
                      <w:sz w:val="21"/>
                      <w:szCs w:val="21"/>
                    </w:rPr>
                    <w:t>电加热，</w:t>
                  </w:r>
                  <w:r>
                    <w:rPr>
                      <w:sz w:val="21"/>
                      <w:szCs w:val="21"/>
                    </w:rPr>
                    <w:t>1.8*1.25*1.9m</w:t>
                  </w:r>
                </w:p>
              </w:tc>
              <w:tc>
                <w:tcPr>
                  <w:tcW w:w="906" w:type="pct"/>
                  <w:vAlign w:val="center"/>
                </w:tcPr>
                <w:p w14:paraId="22F7DC80">
                  <w:pPr>
                    <w:pStyle w:val="154"/>
                    <w:rPr>
                      <w:sz w:val="21"/>
                      <w:szCs w:val="21"/>
                    </w:rPr>
                  </w:pPr>
                  <w:r>
                    <w:rPr>
                      <w:rFonts w:hint="eastAsia"/>
                      <w:sz w:val="21"/>
                      <w:szCs w:val="21"/>
                    </w:rPr>
                    <w:t>2400</w:t>
                  </w:r>
                </w:p>
              </w:tc>
              <w:tc>
                <w:tcPr>
                  <w:tcW w:w="731" w:type="pct"/>
                  <w:vAlign w:val="center"/>
                </w:tcPr>
                <w:p w14:paraId="694E92F9">
                  <w:pPr>
                    <w:pStyle w:val="154"/>
                    <w:rPr>
                      <w:sz w:val="21"/>
                      <w:szCs w:val="21"/>
                    </w:rPr>
                  </w:pPr>
                  <w:r>
                    <w:rPr>
                      <w:sz w:val="21"/>
                      <w:szCs w:val="21"/>
                    </w:rPr>
                    <w:t>PU</w:t>
                  </w:r>
                  <w:r>
                    <w:rPr>
                      <w:rFonts w:hint="eastAsia"/>
                      <w:sz w:val="21"/>
                      <w:szCs w:val="21"/>
                    </w:rPr>
                    <w:t>原料预热</w:t>
                  </w:r>
                </w:p>
              </w:tc>
            </w:tr>
            <w:tr w14:paraId="37291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4C97FF6D">
                  <w:pPr>
                    <w:pStyle w:val="154"/>
                    <w:rPr>
                      <w:sz w:val="21"/>
                      <w:szCs w:val="21"/>
                    </w:rPr>
                  </w:pPr>
                  <w:r>
                    <w:rPr>
                      <w:rFonts w:hint="eastAsia"/>
                      <w:sz w:val="21"/>
                      <w:szCs w:val="21"/>
                    </w:rPr>
                    <w:t>7</w:t>
                  </w:r>
                </w:p>
              </w:tc>
              <w:tc>
                <w:tcPr>
                  <w:tcW w:w="838" w:type="pct"/>
                  <w:vMerge w:val="continue"/>
                  <w:tcMar>
                    <w:top w:w="15" w:type="dxa"/>
                    <w:left w:w="15" w:type="dxa"/>
                    <w:bottom w:w="15" w:type="dxa"/>
                    <w:right w:w="15" w:type="dxa"/>
                  </w:tcMar>
                  <w:vAlign w:val="center"/>
                </w:tcPr>
                <w:p w14:paraId="4CEFD5F9">
                  <w:pPr>
                    <w:pStyle w:val="154"/>
                    <w:rPr>
                      <w:sz w:val="21"/>
                      <w:szCs w:val="21"/>
                    </w:rPr>
                  </w:pPr>
                </w:p>
              </w:tc>
              <w:tc>
                <w:tcPr>
                  <w:tcW w:w="838" w:type="pct"/>
                  <w:tcMar>
                    <w:top w:w="15" w:type="dxa"/>
                    <w:left w:w="15" w:type="dxa"/>
                    <w:bottom w:w="15" w:type="dxa"/>
                    <w:right w:w="15" w:type="dxa"/>
                  </w:tcMar>
                  <w:vAlign w:val="center"/>
                </w:tcPr>
                <w:p w14:paraId="7B9806A9">
                  <w:pPr>
                    <w:pStyle w:val="154"/>
                    <w:rPr>
                      <w:sz w:val="21"/>
                      <w:szCs w:val="21"/>
                    </w:rPr>
                  </w:pPr>
                  <w:r>
                    <w:rPr>
                      <w:rFonts w:hint="eastAsia"/>
                      <w:sz w:val="21"/>
                      <w:szCs w:val="21"/>
                    </w:rPr>
                    <w:t>中转罐</w:t>
                  </w:r>
                </w:p>
              </w:tc>
              <w:tc>
                <w:tcPr>
                  <w:tcW w:w="486" w:type="pct"/>
                  <w:tcMar>
                    <w:top w:w="15" w:type="dxa"/>
                    <w:left w:w="15" w:type="dxa"/>
                    <w:bottom w:w="15" w:type="dxa"/>
                    <w:right w:w="15" w:type="dxa"/>
                  </w:tcMar>
                  <w:vAlign w:val="center"/>
                </w:tcPr>
                <w:p w14:paraId="6C30A735">
                  <w:pPr>
                    <w:pStyle w:val="154"/>
                    <w:rPr>
                      <w:sz w:val="21"/>
                      <w:szCs w:val="21"/>
                    </w:rPr>
                  </w:pPr>
                  <w:r>
                    <w:rPr>
                      <w:rFonts w:hint="eastAsia"/>
                      <w:sz w:val="21"/>
                      <w:szCs w:val="21"/>
                    </w:rPr>
                    <w:t>10台</w:t>
                  </w:r>
                </w:p>
              </w:tc>
              <w:tc>
                <w:tcPr>
                  <w:tcW w:w="941" w:type="pct"/>
                  <w:vAlign w:val="center"/>
                </w:tcPr>
                <w:p w14:paraId="4082F520">
                  <w:pPr>
                    <w:pStyle w:val="154"/>
                    <w:rPr>
                      <w:sz w:val="21"/>
                      <w:szCs w:val="21"/>
                    </w:rPr>
                  </w:pPr>
                  <w:r>
                    <w:rPr>
                      <w:sz w:val="21"/>
                      <w:szCs w:val="21"/>
                    </w:rPr>
                    <w:t>0.1m</w:t>
                  </w:r>
                  <w:r>
                    <w:rPr>
                      <w:sz w:val="21"/>
                      <w:szCs w:val="21"/>
                      <w:vertAlign w:val="superscript"/>
                    </w:rPr>
                    <w:t>3</w:t>
                  </w:r>
                  <w:r>
                    <w:rPr>
                      <w:rFonts w:hint="eastAsia"/>
                      <w:sz w:val="21"/>
                      <w:szCs w:val="21"/>
                    </w:rPr>
                    <w:t>（</w:t>
                  </w:r>
                  <w:r>
                    <w:rPr>
                      <w:sz w:val="21"/>
                      <w:szCs w:val="21"/>
                    </w:rPr>
                    <w:t>φ500×H500</w:t>
                  </w:r>
                  <w:r>
                    <w:rPr>
                      <w:rFonts w:hint="eastAsia"/>
                      <w:sz w:val="21"/>
                      <w:szCs w:val="21"/>
                    </w:rPr>
                    <w:t>）</w:t>
                  </w:r>
                </w:p>
              </w:tc>
              <w:tc>
                <w:tcPr>
                  <w:tcW w:w="906" w:type="pct"/>
                  <w:vAlign w:val="center"/>
                </w:tcPr>
                <w:p w14:paraId="47383939">
                  <w:pPr>
                    <w:pStyle w:val="154"/>
                    <w:rPr>
                      <w:sz w:val="21"/>
                      <w:szCs w:val="21"/>
                    </w:rPr>
                  </w:pPr>
                  <w:r>
                    <w:rPr>
                      <w:rFonts w:hint="eastAsia"/>
                      <w:sz w:val="21"/>
                      <w:szCs w:val="21"/>
                    </w:rPr>
                    <w:t>2400</w:t>
                  </w:r>
                </w:p>
              </w:tc>
              <w:tc>
                <w:tcPr>
                  <w:tcW w:w="731" w:type="pct"/>
                  <w:vAlign w:val="center"/>
                </w:tcPr>
                <w:p w14:paraId="25872AA4">
                  <w:pPr>
                    <w:pStyle w:val="154"/>
                    <w:rPr>
                      <w:sz w:val="21"/>
                      <w:szCs w:val="21"/>
                    </w:rPr>
                  </w:pPr>
                  <w:r>
                    <w:rPr>
                      <w:sz w:val="21"/>
                      <w:szCs w:val="21"/>
                    </w:rPr>
                    <w:t>PU</w:t>
                  </w:r>
                  <w:r>
                    <w:rPr>
                      <w:rFonts w:hint="eastAsia"/>
                      <w:sz w:val="21"/>
                      <w:szCs w:val="21"/>
                    </w:rPr>
                    <w:t>原料中转保温</w:t>
                  </w:r>
                </w:p>
              </w:tc>
            </w:tr>
            <w:tr w14:paraId="19A58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547C340E">
                  <w:pPr>
                    <w:pStyle w:val="154"/>
                    <w:rPr>
                      <w:sz w:val="21"/>
                      <w:szCs w:val="21"/>
                    </w:rPr>
                  </w:pPr>
                  <w:r>
                    <w:rPr>
                      <w:rFonts w:hint="eastAsia"/>
                      <w:sz w:val="21"/>
                      <w:szCs w:val="21"/>
                    </w:rPr>
                    <w:t>8</w:t>
                  </w:r>
                </w:p>
              </w:tc>
              <w:tc>
                <w:tcPr>
                  <w:tcW w:w="838" w:type="pct"/>
                  <w:vMerge w:val="continue"/>
                  <w:tcMar>
                    <w:top w:w="15" w:type="dxa"/>
                    <w:left w:w="15" w:type="dxa"/>
                    <w:bottom w:w="15" w:type="dxa"/>
                    <w:right w:w="15" w:type="dxa"/>
                  </w:tcMar>
                </w:tcPr>
                <w:p w14:paraId="5BB6B058">
                  <w:pPr>
                    <w:pStyle w:val="154"/>
                    <w:rPr>
                      <w:sz w:val="21"/>
                      <w:szCs w:val="21"/>
                    </w:rPr>
                  </w:pPr>
                </w:p>
              </w:tc>
              <w:tc>
                <w:tcPr>
                  <w:tcW w:w="838" w:type="pct"/>
                  <w:tcMar>
                    <w:top w:w="15" w:type="dxa"/>
                    <w:left w:w="15" w:type="dxa"/>
                    <w:bottom w:w="15" w:type="dxa"/>
                    <w:right w:w="15" w:type="dxa"/>
                  </w:tcMar>
                  <w:vAlign w:val="center"/>
                </w:tcPr>
                <w:p w14:paraId="779555D9">
                  <w:pPr>
                    <w:pStyle w:val="154"/>
                    <w:rPr>
                      <w:sz w:val="21"/>
                      <w:szCs w:val="21"/>
                    </w:rPr>
                  </w:pPr>
                  <w:r>
                    <w:rPr>
                      <w:rFonts w:hint="eastAsia"/>
                      <w:sz w:val="21"/>
                      <w:szCs w:val="21"/>
                    </w:rPr>
                    <w:t>搅拌机</w:t>
                  </w:r>
                </w:p>
              </w:tc>
              <w:tc>
                <w:tcPr>
                  <w:tcW w:w="486" w:type="pct"/>
                  <w:tcMar>
                    <w:top w:w="15" w:type="dxa"/>
                    <w:left w:w="15" w:type="dxa"/>
                    <w:bottom w:w="15" w:type="dxa"/>
                    <w:right w:w="15" w:type="dxa"/>
                  </w:tcMar>
                  <w:vAlign w:val="center"/>
                </w:tcPr>
                <w:p w14:paraId="446820C9">
                  <w:pPr>
                    <w:pStyle w:val="154"/>
                    <w:rPr>
                      <w:sz w:val="21"/>
                      <w:szCs w:val="21"/>
                    </w:rPr>
                  </w:pPr>
                  <w:r>
                    <w:rPr>
                      <w:rFonts w:hint="eastAsia"/>
                      <w:sz w:val="21"/>
                      <w:szCs w:val="21"/>
                    </w:rPr>
                    <w:t>2台</w:t>
                  </w:r>
                </w:p>
              </w:tc>
              <w:tc>
                <w:tcPr>
                  <w:tcW w:w="941" w:type="pct"/>
                </w:tcPr>
                <w:p w14:paraId="4A19DA32">
                  <w:pPr>
                    <w:pStyle w:val="154"/>
                    <w:rPr>
                      <w:sz w:val="21"/>
                      <w:szCs w:val="21"/>
                    </w:rPr>
                  </w:pPr>
                  <w:r>
                    <w:rPr>
                      <w:rFonts w:hint="eastAsia"/>
                      <w:sz w:val="21"/>
                      <w:szCs w:val="21"/>
                    </w:rPr>
                    <w:t>/</w:t>
                  </w:r>
                </w:p>
              </w:tc>
              <w:tc>
                <w:tcPr>
                  <w:tcW w:w="906" w:type="pct"/>
                  <w:vAlign w:val="center"/>
                </w:tcPr>
                <w:p w14:paraId="639E0497">
                  <w:pPr>
                    <w:pStyle w:val="154"/>
                    <w:rPr>
                      <w:sz w:val="21"/>
                      <w:szCs w:val="21"/>
                    </w:rPr>
                  </w:pPr>
                  <w:r>
                    <w:rPr>
                      <w:rFonts w:hint="eastAsia"/>
                      <w:sz w:val="21"/>
                      <w:szCs w:val="21"/>
                    </w:rPr>
                    <w:t>2400</w:t>
                  </w:r>
                </w:p>
              </w:tc>
              <w:tc>
                <w:tcPr>
                  <w:tcW w:w="731" w:type="pct"/>
                  <w:vAlign w:val="center"/>
                </w:tcPr>
                <w:p w14:paraId="22F7BE8A">
                  <w:pPr>
                    <w:pStyle w:val="154"/>
                    <w:rPr>
                      <w:sz w:val="21"/>
                      <w:szCs w:val="21"/>
                    </w:rPr>
                  </w:pPr>
                  <w:r>
                    <w:rPr>
                      <w:sz w:val="21"/>
                      <w:szCs w:val="21"/>
                    </w:rPr>
                    <w:t>PU</w:t>
                  </w:r>
                  <w:r>
                    <w:rPr>
                      <w:rFonts w:hint="eastAsia"/>
                      <w:sz w:val="21"/>
                      <w:szCs w:val="21"/>
                    </w:rPr>
                    <w:t>原料搅拌</w:t>
                  </w:r>
                </w:p>
              </w:tc>
            </w:tr>
            <w:tr w14:paraId="323E2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7EA66B14">
                  <w:pPr>
                    <w:pStyle w:val="154"/>
                    <w:rPr>
                      <w:sz w:val="21"/>
                      <w:szCs w:val="21"/>
                    </w:rPr>
                  </w:pPr>
                  <w:r>
                    <w:rPr>
                      <w:rFonts w:hint="eastAsia"/>
                      <w:sz w:val="21"/>
                      <w:szCs w:val="21"/>
                    </w:rPr>
                    <w:t>9</w:t>
                  </w:r>
                </w:p>
              </w:tc>
              <w:tc>
                <w:tcPr>
                  <w:tcW w:w="838" w:type="pct"/>
                  <w:vMerge w:val="continue"/>
                  <w:tcMar>
                    <w:top w:w="15" w:type="dxa"/>
                    <w:left w:w="15" w:type="dxa"/>
                    <w:bottom w:w="15" w:type="dxa"/>
                    <w:right w:w="15" w:type="dxa"/>
                  </w:tcMar>
                </w:tcPr>
                <w:p w14:paraId="4DA14985">
                  <w:pPr>
                    <w:pStyle w:val="154"/>
                    <w:rPr>
                      <w:sz w:val="21"/>
                      <w:szCs w:val="21"/>
                    </w:rPr>
                  </w:pPr>
                </w:p>
              </w:tc>
              <w:tc>
                <w:tcPr>
                  <w:tcW w:w="838" w:type="pct"/>
                  <w:tcMar>
                    <w:top w:w="15" w:type="dxa"/>
                    <w:left w:w="15" w:type="dxa"/>
                    <w:bottom w:w="15" w:type="dxa"/>
                    <w:right w:w="15" w:type="dxa"/>
                  </w:tcMar>
                  <w:vAlign w:val="center"/>
                </w:tcPr>
                <w:p w14:paraId="7D1F10CB">
                  <w:pPr>
                    <w:pStyle w:val="154"/>
                    <w:rPr>
                      <w:sz w:val="21"/>
                      <w:szCs w:val="21"/>
                    </w:rPr>
                  </w:pPr>
                  <w:r>
                    <w:rPr>
                      <w:rFonts w:hint="eastAsia"/>
                      <w:sz w:val="21"/>
                      <w:szCs w:val="21"/>
                    </w:rPr>
                    <w:t>电烘箱</w:t>
                  </w:r>
                </w:p>
              </w:tc>
              <w:tc>
                <w:tcPr>
                  <w:tcW w:w="486" w:type="pct"/>
                  <w:tcMar>
                    <w:top w:w="15" w:type="dxa"/>
                    <w:left w:w="15" w:type="dxa"/>
                    <w:bottom w:w="15" w:type="dxa"/>
                    <w:right w:w="15" w:type="dxa"/>
                  </w:tcMar>
                  <w:vAlign w:val="center"/>
                </w:tcPr>
                <w:p w14:paraId="32EE8FA2">
                  <w:pPr>
                    <w:pStyle w:val="154"/>
                    <w:rPr>
                      <w:sz w:val="21"/>
                      <w:szCs w:val="21"/>
                    </w:rPr>
                  </w:pPr>
                  <w:r>
                    <w:rPr>
                      <w:rFonts w:hint="eastAsia"/>
                      <w:sz w:val="21"/>
                      <w:szCs w:val="21"/>
                    </w:rPr>
                    <w:t>1台</w:t>
                  </w:r>
                </w:p>
              </w:tc>
              <w:tc>
                <w:tcPr>
                  <w:tcW w:w="941" w:type="pct"/>
                </w:tcPr>
                <w:p w14:paraId="150AEE71">
                  <w:pPr>
                    <w:pStyle w:val="154"/>
                    <w:rPr>
                      <w:sz w:val="21"/>
                      <w:szCs w:val="21"/>
                    </w:rPr>
                  </w:pPr>
                  <w:r>
                    <w:rPr>
                      <w:rFonts w:hint="eastAsia"/>
                      <w:sz w:val="21"/>
                      <w:szCs w:val="21"/>
                    </w:rPr>
                    <w:t>/</w:t>
                  </w:r>
                </w:p>
              </w:tc>
              <w:tc>
                <w:tcPr>
                  <w:tcW w:w="906" w:type="pct"/>
                  <w:vAlign w:val="center"/>
                </w:tcPr>
                <w:p w14:paraId="2317E085">
                  <w:pPr>
                    <w:pStyle w:val="154"/>
                    <w:rPr>
                      <w:sz w:val="21"/>
                      <w:szCs w:val="21"/>
                    </w:rPr>
                  </w:pPr>
                  <w:r>
                    <w:rPr>
                      <w:rFonts w:hint="eastAsia"/>
                      <w:sz w:val="21"/>
                      <w:szCs w:val="21"/>
                    </w:rPr>
                    <w:t>2400</w:t>
                  </w:r>
                </w:p>
              </w:tc>
              <w:tc>
                <w:tcPr>
                  <w:tcW w:w="731" w:type="pct"/>
                  <w:vAlign w:val="center"/>
                </w:tcPr>
                <w:p w14:paraId="0AEC33EE">
                  <w:pPr>
                    <w:pStyle w:val="154"/>
                    <w:rPr>
                      <w:sz w:val="21"/>
                      <w:szCs w:val="21"/>
                    </w:rPr>
                  </w:pPr>
                  <w:r>
                    <w:rPr>
                      <w:rFonts w:hint="eastAsia"/>
                      <w:sz w:val="21"/>
                      <w:szCs w:val="21"/>
                    </w:rPr>
                    <w:t>鞋帮软化</w:t>
                  </w:r>
                </w:p>
              </w:tc>
            </w:tr>
            <w:tr w14:paraId="7B1FA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5C273795">
                  <w:pPr>
                    <w:pStyle w:val="154"/>
                    <w:rPr>
                      <w:sz w:val="21"/>
                      <w:szCs w:val="21"/>
                    </w:rPr>
                  </w:pPr>
                  <w:r>
                    <w:rPr>
                      <w:rFonts w:hint="eastAsia"/>
                      <w:sz w:val="21"/>
                      <w:szCs w:val="21"/>
                    </w:rPr>
                    <w:t>10</w:t>
                  </w:r>
                </w:p>
              </w:tc>
              <w:tc>
                <w:tcPr>
                  <w:tcW w:w="838" w:type="pct"/>
                  <w:vMerge w:val="continue"/>
                  <w:tcMar>
                    <w:top w:w="15" w:type="dxa"/>
                    <w:left w:w="15" w:type="dxa"/>
                    <w:bottom w:w="15" w:type="dxa"/>
                    <w:right w:w="15" w:type="dxa"/>
                  </w:tcMar>
                </w:tcPr>
                <w:p w14:paraId="587C630C">
                  <w:pPr>
                    <w:pStyle w:val="154"/>
                    <w:rPr>
                      <w:sz w:val="21"/>
                      <w:szCs w:val="21"/>
                    </w:rPr>
                  </w:pPr>
                </w:p>
              </w:tc>
              <w:tc>
                <w:tcPr>
                  <w:tcW w:w="838" w:type="pct"/>
                  <w:tcMar>
                    <w:top w:w="15" w:type="dxa"/>
                    <w:left w:w="15" w:type="dxa"/>
                    <w:bottom w:w="15" w:type="dxa"/>
                    <w:right w:w="15" w:type="dxa"/>
                  </w:tcMar>
                  <w:vAlign w:val="center"/>
                </w:tcPr>
                <w:p w14:paraId="645EE205">
                  <w:pPr>
                    <w:pStyle w:val="154"/>
                    <w:rPr>
                      <w:sz w:val="21"/>
                      <w:szCs w:val="21"/>
                    </w:rPr>
                  </w:pPr>
                  <w:r>
                    <w:rPr>
                      <w:rFonts w:hint="eastAsia"/>
                      <w:sz w:val="21"/>
                      <w:szCs w:val="21"/>
                    </w:rPr>
                    <w:t>聚氨酯浇注机</w:t>
                  </w:r>
                </w:p>
              </w:tc>
              <w:tc>
                <w:tcPr>
                  <w:tcW w:w="486" w:type="pct"/>
                  <w:tcMar>
                    <w:top w:w="15" w:type="dxa"/>
                    <w:left w:w="15" w:type="dxa"/>
                    <w:bottom w:w="15" w:type="dxa"/>
                    <w:right w:w="15" w:type="dxa"/>
                  </w:tcMar>
                  <w:vAlign w:val="center"/>
                </w:tcPr>
                <w:p w14:paraId="209F4C71">
                  <w:pPr>
                    <w:pStyle w:val="154"/>
                    <w:rPr>
                      <w:sz w:val="21"/>
                      <w:szCs w:val="21"/>
                    </w:rPr>
                  </w:pPr>
                  <w:r>
                    <w:rPr>
                      <w:rFonts w:hint="eastAsia"/>
                      <w:sz w:val="21"/>
                      <w:szCs w:val="21"/>
                    </w:rPr>
                    <w:t>2台</w:t>
                  </w:r>
                </w:p>
              </w:tc>
              <w:tc>
                <w:tcPr>
                  <w:tcW w:w="941" w:type="pct"/>
                  <w:vAlign w:val="center"/>
                </w:tcPr>
                <w:p w14:paraId="63BE96F3">
                  <w:pPr>
                    <w:pStyle w:val="154"/>
                    <w:rPr>
                      <w:sz w:val="21"/>
                      <w:szCs w:val="21"/>
                    </w:rPr>
                  </w:pPr>
                  <w:r>
                    <w:rPr>
                      <w:sz w:val="21"/>
                      <w:szCs w:val="21"/>
                    </w:rPr>
                    <w:t>HY-DSP211-120A</w:t>
                  </w:r>
                </w:p>
              </w:tc>
              <w:tc>
                <w:tcPr>
                  <w:tcW w:w="906" w:type="pct"/>
                  <w:vAlign w:val="center"/>
                </w:tcPr>
                <w:p w14:paraId="0880A5FE">
                  <w:pPr>
                    <w:pStyle w:val="154"/>
                    <w:rPr>
                      <w:sz w:val="21"/>
                      <w:szCs w:val="21"/>
                    </w:rPr>
                  </w:pPr>
                  <w:r>
                    <w:rPr>
                      <w:rFonts w:hint="eastAsia"/>
                      <w:sz w:val="21"/>
                      <w:szCs w:val="21"/>
                    </w:rPr>
                    <w:t>2400</w:t>
                  </w:r>
                </w:p>
              </w:tc>
              <w:tc>
                <w:tcPr>
                  <w:tcW w:w="731" w:type="pct"/>
                  <w:vAlign w:val="center"/>
                </w:tcPr>
                <w:p w14:paraId="305B3A53">
                  <w:pPr>
                    <w:pStyle w:val="154"/>
                    <w:rPr>
                      <w:sz w:val="21"/>
                      <w:szCs w:val="21"/>
                    </w:rPr>
                  </w:pPr>
                  <w:r>
                    <w:rPr>
                      <w:sz w:val="21"/>
                      <w:szCs w:val="21"/>
                    </w:rPr>
                    <w:t>PU</w:t>
                  </w:r>
                  <w:r>
                    <w:rPr>
                      <w:rFonts w:hint="eastAsia"/>
                      <w:sz w:val="21"/>
                      <w:szCs w:val="21"/>
                    </w:rPr>
                    <w:t>浇注</w:t>
                  </w:r>
                </w:p>
              </w:tc>
            </w:tr>
            <w:tr w14:paraId="287F2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4A4400DD">
                  <w:pPr>
                    <w:pStyle w:val="154"/>
                    <w:rPr>
                      <w:sz w:val="21"/>
                      <w:szCs w:val="21"/>
                    </w:rPr>
                  </w:pPr>
                  <w:r>
                    <w:rPr>
                      <w:rFonts w:hint="eastAsia"/>
                      <w:sz w:val="21"/>
                      <w:szCs w:val="21"/>
                    </w:rPr>
                    <w:t>11</w:t>
                  </w:r>
                </w:p>
              </w:tc>
              <w:tc>
                <w:tcPr>
                  <w:tcW w:w="838" w:type="pct"/>
                  <w:vMerge w:val="continue"/>
                  <w:tcMar>
                    <w:top w:w="15" w:type="dxa"/>
                    <w:left w:w="15" w:type="dxa"/>
                    <w:bottom w:w="15" w:type="dxa"/>
                    <w:right w:w="15" w:type="dxa"/>
                  </w:tcMar>
                </w:tcPr>
                <w:p w14:paraId="16418137">
                  <w:pPr>
                    <w:pStyle w:val="154"/>
                    <w:rPr>
                      <w:sz w:val="21"/>
                      <w:szCs w:val="21"/>
                    </w:rPr>
                  </w:pPr>
                </w:p>
              </w:tc>
              <w:tc>
                <w:tcPr>
                  <w:tcW w:w="838" w:type="pct"/>
                  <w:tcMar>
                    <w:top w:w="15" w:type="dxa"/>
                    <w:left w:w="15" w:type="dxa"/>
                    <w:bottom w:w="15" w:type="dxa"/>
                    <w:right w:w="15" w:type="dxa"/>
                  </w:tcMar>
                  <w:vAlign w:val="center"/>
                </w:tcPr>
                <w:p w14:paraId="4195DB6D">
                  <w:pPr>
                    <w:pStyle w:val="154"/>
                    <w:rPr>
                      <w:sz w:val="21"/>
                      <w:szCs w:val="21"/>
                    </w:rPr>
                  </w:pPr>
                  <w:r>
                    <w:rPr>
                      <w:rFonts w:hint="eastAsia"/>
                      <w:sz w:val="21"/>
                      <w:szCs w:val="21"/>
                    </w:rPr>
                    <w:t>加热定型烘道</w:t>
                  </w:r>
                </w:p>
              </w:tc>
              <w:tc>
                <w:tcPr>
                  <w:tcW w:w="486" w:type="pct"/>
                  <w:tcMar>
                    <w:top w:w="15" w:type="dxa"/>
                    <w:left w:w="15" w:type="dxa"/>
                    <w:bottom w:w="15" w:type="dxa"/>
                    <w:right w:w="15" w:type="dxa"/>
                  </w:tcMar>
                  <w:vAlign w:val="center"/>
                </w:tcPr>
                <w:p w14:paraId="741C1164">
                  <w:pPr>
                    <w:pStyle w:val="154"/>
                    <w:rPr>
                      <w:sz w:val="21"/>
                      <w:szCs w:val="21"/>
                    </w:rPr>
                  </w:pPr>
                  <w:r>
                    <w:rPr>
                      <w:rFonts w:hint="eastAsia"/>
                      <w:sz w:val="21"/>
                      <w:szCs w:val="21"/>
                    </w:rPr>
                    <w:t>2台</w:t>
                  </w:r>
                </w:p>
              </w:tc>
              <w:tc>
                <w:tcPr>
                  <w:tcW w:w="941" w:type="pct"/>
                  <w:vAlign w:val="center"/>
                </w:tcPr>
                <w:p w14:paraId="43D73E52">
                  <w:pPr>
                    <w:pStyle w:val="154"/>
                    <w:rPr>
                      <w:sz w:val="21"/>
                      <w:szCs w:val="21"/>
                    </w:rPr>
                  </w:pPr>
                  <w:r>
                    <w:rPr>
                      <w:rFonts w:hint="eastAsia"/>
                      <w:sz w:val="21"/>
                      <w:szCs w:val="21"/>
                    </w:rPr>
                    <w:t>电加热，</w:t>
                  </w:r>
                  <w:r>
                    <w:rPr>
                      <w:sz w:val="21"/>
                      <w:szCs w:val="21"/>
                    </w:rPr>
                    <w:t>12m×1.2m</w:t>
                  </w:r>
                </w:p>
              </w:tc>
              <w:tc>
                <w:tcPr>
                  <w:tcW w:w="906" w:type="pct"/>
                  <w:vAlign w:val="center"/>
                </w:tcPr>
                <w:p w14:paraId="6365EA5B">
                  <w:pPr>
                    <w:pStyle w:val="154"/>
                    <w:rPr>
                      <w:sz w:val="21"/>
                      <w:szCs w:val="21"/>
                    </w:rPr>
                  </w:pPr>
                  <w:r>
                    <w:rPr>
                      <w:rFonts w:hint="eastAsia"/>
                      <w:sz w:val="21"/>
                      <w:szCs w:val="21"/>
                    </w:rPr>
                    <w:t>2400</w:t>
                  </w:r>
                </w:p>
              </w:tc>
              <w:tc>
                <w:tcPr>
                  <w:tcW w:w="731" w:type="pct"/>
                  <w:vAlign w:val="center"/>
                </w:tcPr>
                <w:p w14:paraId="7A919954">
                  <w:pPr>
                    <w:pStyle w:val="154"/>
                    <w:rPr>
                      <w:sz w:val="21"/>
                      <w:szCs w:val="21"/>
                    </w:rPr>
                  </w:pPr>
                  <w:r>
                    <w:rPr>
                      <w:rFonts w:hint="eastAsia"/>
                      <w:sz w:val="21"/>
                      <w:szCs w:val="21"/>
                    </w:rPr>
                    <w:t>加热定型</w:t>
                  </w:r>
                </w:p>
              </w:tc>
            </w:tr>
            <w:tr w14:paraId="5BC3F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0F86920B">
                  <w:pPr>
                    <w:pStyle w:val="154"/>
                    <w:rPr>
                      <w:sz w:val="21"/>
                      <w:szCs w:val="21"/>
                    </w:rPr>
                  </w:pPr>
                  <w:r>
                    <w:rPr>
                      <w:rFonts w:hint="eastAsia"/>
                      <w:sz w:val="21"/>
                      <w:szCs w:val="21"/>
                    </w:rPr>
                    <w:t>12</w:t>
                  </w:r>
                </w:p>
              </w:tc>
              <w:tc>
                <w:tcPr>
                  <w:tcW w:w="838" w:type="pct"/>
                  <w:vMerge w:val="restart"/>
                  <w:tcMar>
                    <w:top w:w="15" w:type="dxa"/>
                    <w:left w:w="15" w:type="dxa"/>
                    <w:bottom w:w="15" w:type="dxa"/>
                    <w:right w:w="15" w:type="dxa"/>
                  </w:tcMar>
                  <w:vAlign w:val="center"/>
                </w:tcPr>
                <w:p w14:paraId="149F25F9">
                  <w:pPr>
                    <w:pStyle w:val="154"/>
                    <w:rPr>
                      <w:sz w:val="21"/>
                      <w:szCs w:val="21"/>
                    </w:rPr>
                  </w:pPr>
                  <w:r>
                    <w:rPr>
                      <w:rFonts w:hint="eastAsia"/>
                      <w:sz w:val="21"/>
                      <w:szCs w:val="21"/>
                    </w:rPr>
                    <w:t>公用辅助设备</w:t>
                  </w:r>
                </w:p>
              </w:tc>
              <w:tc>
                <w:tcPr>
                  <w:tcW w:w="838" w:type="pct"/>
                  <w:tcMar>
                    <w:top w:w="15" w:type="dxa"/>
                    <w:left w:w="15" w:type="dxa"/>
                    <w:bottom w:w="15" w:type="dxa"/>
                    <w:right w:w="15" w:type="dxa"/>
                  </w:tcMar>
                  <w:vAlign w:val="center"/>
                </w:tcPr>
                <w:p w14:paraId="612A9007">
                  <w:pPr>
                    <w:pStyle w:val="154"/>
                    <w:rPr>
                      <w:sz w:val="21"/>
                      <w:szCs w:val="21"/>
                    </w:rPr>
                  </w:pPr>
                  <w:r>
                    <w:rPr>
                      <w:rFonts w:hint="eastAsia"/>
                      <w:sz w:val="21"/>
                      <w:szCs w:val="21"/>
                    </w:rPr>
                    <w:t>绣花机</w:t>
                  </w:r>
                </w:p>
              </w:tc>
              <w:tc>
                <w:tcPr>
                  <w:tcW w:w="486" w:type="pct"/>
                  <w:tcMar>
                    <w:top w:w="15" w:type="dxa"/>
                    <w:left w:w="15" w:type="dxa"/>
                    <w:bottom w:w="15" w:type="dxa"/>
                    <w:right w:w="15" w:type="dxa"/>
                  </w:tcMar>
                  <w:vAlign w:val="center"/>
                </w:tcPr>
                <w:p w14:paraId="09561B8F">
                  <w:pPr>
                    <w:pStyle w:val="154"/>
                    <w:rPr>
                      <w:sz w:val="21"/>
                      <w:szCs w:val="21"/>
                    </w:rPr>
                  </w:pPr>
                  <w:r>
                    <w:rPr>
                      <w:rFonts w:hint="eastAsia"/>
                      <w:sz w:val="21"/>
                      <w:szCs w:val="21"/>
                    </w:rPr>
                    <w:t>12台</w:t>
                  </w:r>
                </w:p>
              </w:tc>
              <w:tc>
                <w:tcPr>
                  <w:tcW w:w="941" w:type="pct"/>
                  <w:vAlign w:val="center"/>
                </w:tcPr>
                <w:p w14:paraId="0216F518">
                  <w:pPr>
                    <w:pStyle w:val="154"/>
                    <w:rPr>
                      <w:sz w:val="21"/>
                      <w:szCs w:val="21"/>
                    </w:rPr>
                  </w:pPr>
                  <w:r>
                    <w:rPr>
                      <w:rFonts w:hint="eastAsia"/>
                      <w:sz w:val="21"/>
                      <w:szCs w:val="21"/>
                    </w:rPr>
                    <w:t>/</w:t>
                  </w:r>
                </w:p>
              </w:tc>
              <w:tc>
                <w:tcPr>
                  <w:tcW w:w="906" w:type="pct"/>
                  <w:vAlign w:val="center"/>
                </w:tcPr>
                <w:p w14:paraId="01A3D34E">
                  <w:pPr>
                    <w:pStyle w:val="154"/>
                    <w:rPr>
                      <w:sz w:val="21"/>
                      <w:szCs w:val="21"/>
                    </w:rPr>
                  </w:pPr>
                  <w:r>
                    <w:rPr>
                      <w:rFonts w:hint="eastAsia"/>
                      <w:sz w:val="21"/>
                      <w:szCs w:val="21"/>
                    </w:rPr>
                    <w:t>2400</w:t>
                  </w:r>
                </w:p>
              </w:tc>
              <w:tc>
                <w:tcPr>
                  <w:tcW w:w="731" w:type="pct"/>
                  <w:vAlign w:val="center"/>
                </w:tcPr>
                <w:p w14:paraId="0080BADD">
                  <w:pPr>
                    <w:pStyle w:val="154"/>
                    <w:rPr>
                      <w:sz w:val="21"/>
                      <w:szCs w:val="21"/>
                    </w:rPr>
                  </w:pPr>
                  <w:r>
                    <w:rPr>
                      <w:rFonts w:hint="eastAsia"/>
                      <w:sz w:val="21"/>
                      <w:szCs w:val="21"/>
                    </w:rPr>
                    <w:t>鞋面加工</w:t>
                  </w:r>
                </w:p>
              </w:tc>
            </w:tr>
            <w:tr w14:paraId="5182B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6D133AA8">
                  <w:pPr>
                    <w:pStyle w:val="154"/>
                    <w:rPr>
                      <w:sz w:val="21"/>
                      <w:szCs w:val="21"/>
                    </w:rPr>
                  </w:pPr>
                  <w:r>
                    <w:rPr>
                      <w:rFonts w:hint="eastAsia"/>
                      <w:sz w:val="21"/>
                      <w:szCs w:val="21"/>
                    </w:rPr>
                    <w:t>13</w:t>
                  </w:r>
                </w:p>
              </w:tc>
              <w:tc>
                <w:tcPr>
                  <w:tcW w:w="838" w:type="pct"/>
                  <w:vMerge w:val="continue"/>
                  <w:tcMar>
                    <w:top w:w="15" w:type="dxa"/>
                    <w:left w:w="15" w:type="dxa"/>
                    <w:bottom w:w="15" w:type="dxa"/>
                    <w:right w:w="15" w:type="dxa"/>
                  </w:tcMar>
                </w:tcPr>
                <w:p w14:paraId="187A0BB5">
                  <w:pPr>
                    <w:pStyle w:val="154"/>
                    <w:rPr>
                      <w:sz w:val="21"/>
                      <w:szCs w:val="21"/>
                    </w:rPr>
                  </w:pPr>
                </w:p>
              </w:tc>
              <w:tc>
                <w:tcPr>
                  <w:tcW w:w="838" w:type="pct"/>
                  <w:tcMar>
                    <w:top w:w="15" w:type="dxa"/>
                    <w:left w:w="15" w:type="dxa"/>
                    <w:bottom w:w="15" w:type="dxa"/>
                    <w:right w:w="15" w:type="dxa"/>
                  </w:tcMar>
                  <w:vAlign w:val="center"/>
                </w:tcPr>
                <w:p w14:paraId="602C12F5">
                  <w:pPr>
                    <w:pStyle w:val="154"/>
                    <w:rPr>
                      <w:sz w:val="21"/>
                      <w:szCs w:val="21"/>
                    </w:rPr>
                  </w:pPr>
                  <w:r>
                    <w:rPr>
                      <w:sz w:val="21"/>
                      <w:szCs w:val="21"/>
                    </w:rPr>
                    <w:t>缝纫机</w:t>
                  </w:r>
                </w:p>
              </w:tc>
              <w:tc>
                <w:tcPr>
                  <w:tcW w:w="486" w:type="pct"/>
                  <w:tcMar>
                    <w:top w:w="15" w:type="dxa"/>
                    <w:left w:w="15" w:type="dxa"/>
                    <w:bottom w:w="15" w:type="dxa"/>
                    <w:right w:w="15" w:type="dxa"/>
                  </w:tcMar>
                  <w:vAlign w:val="center"/>
                </w:tcPr>
                <w:p w14:paraId="223420CD">
                  <w:pPr>
                    <w:pStyle w:val="154"/>
                    <w:rPr>
                      <w:sz w:val="21"/>
                      <w:szCs w:val="21"/>
                    </w:rPr>
                  </w:pPr>
                  <w:r>
                    <w:rPr>
                      <w:rFonts w:hint="eastAsia"/>
                      <w:sz w:val="21"/>
                      <w:szCs w:val="21"/>
                    </w:rPr>
                    <w:t>8</w:t>
                  </w:r>
                  <w:r>
                    <w:rPr>
                      <w:sz w:val="21"/>
                      <w:szCs w:val="21"/>
                    </w:rPr>
                    <w:t>台</w:t>
                  </w:r>
                </w:p>
              </w:tc>
              <w:tc>
                <w:tcPr>
                  <w:tcW w:w="941" w:type="pct"/>
                </w:tcPr>
                <w:p w14:paraId="7B799A74">
                  <w:pPr>
                    <w:pStyle w:val="154"/>
                    <w:rPr>
                      <w:sz w:val="21"/>
                      <w:szCs w:val="21"/>
                    </w:rPr>
                  </w:pPr>
                  <w:r>
                    <w:rPr>
                      <w:rFonts w:hint="eastAsia"/>
                      <w:sz w:val="21"/>
                      <w:szCs w:val="21"/>
                    </w:rPr>
                    <w:t>/</w:t>
                  </w:r>
                </w:p>
              </w:tc>
              <w:tc>
                <w:tcPr>
                  <w:tcW w:w="906" w:type="pct"/>
                  <w:vAlign w:val="center"/>
                </w:tcPr>
                <w:p w14:paraId="1085B604">
                  <w:pPr>
                    <w:pStyle w:val="154"/>
                    <w:rPr>
                      <w:sz w:val="21"/>
                      <w:szCs w:val="21"/>
                    </w:rPr>
                  </w:pPr>
                  <w:r>
                    <w:rPr>
                      <w:rFonts w:hint="eastAsia"/>
                      <w:sz w:val="21"/>
                      <w:szCs w:val="21"/>
                    </w:rPr>
                    <w:t>2400</w:t>
                  </w:r>
                </w:p>
              </w:tc>
              <w:tc>
                <w:tcPr>
                  <w:tcW w:w="731" w:type="pct"/>
                  <w:vAlign w:val="center"/>
                </w:tcPr>
                <w:p w14:paraId="4E858CEB">
                  <w:pPr>
                    <w:pStyle w:val="154"/>
                    <w:rPr>
                      <w:sz w:val="21"/>
                      <w:szCs w:val="21"/>
                    </w:rPr>
                  </w:pPr>
                  <w:r>
                    <w:rPr>
                      <w:sz w:val="21"/>
                      <w:szCs w:val="21"/>
                    </w:rPr>
                    <w:t>鞋帮加工</w:t>
                  </w:r>
                </w:p>
              </w:tc>
            </w:tr>
            <w:tr w14:paraId="6511E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59" w:type="pct"/>
                  <w:tcMar>
                    <w:top w:w="15" w:type="dxa"/>
                    <w:left w:w="15" w:type="dxa"/>
                    <w:bottom w:w="15" w:type="dxa"/>
                    <w:right w:w="15" w:type="dxa"/>
                  </w:tcMar>
                  <w:vAlign w:val="center"/>
                </w:tcPr>
                <w:p w14:paraId="332118D9">
                  <w:pPr>
                    <w:pStyle w:val="154"/>
                    <w:rPr>
                      <w:sz w:val="21"/>
                      <w:szCs w:val="21"/>
                    </w:rPr>
                  </w:pPr>
                  <w:r>
                    <w:rPr>
                      <w:rFonts w:hint="eastAsia"/>
                      <w:sz w:val="21"/>
                      <w:szCs w:val="21"/>
                    </w:rPr>
                    <w:t xml:space="preserve">14   </w:t>
                  </w:r>
                </w:p>
              </w:tc>
              <w:tc>
                <w:tcPr>
                  <w:tcW w:w="838" w:type="pct"/>
                  <w:vMerge w:val="continue"/>
                  <w:tcMar>
                    <w:top w:w="15" w:type="dxa"/>
                    <w:left w:w="15" w:type="dxa"/>
                    <w:bottom w:w="15" w:type="dxa"/>
                    <w:right w:w="15" w:type="dxa"/>
                  </w:tcMar>
                </w:tcPr>
                <w:p w14:paraId="286FA578">
                  <w:pPr>
                    <w:pStyle w:val="154"/>
                    <w:rPr>
                      <w:sz w:val="21"/>
                      <w:szCs w:val="21"/>
                    </w:rPr>
                  </w:pPr>
                </w:p>
              </w:tc>
              <w:tc>
                <w:tcPr>
                  <w:tcW w:w="838" w:type="pct"/>
                  <w:tcMar>
                    <w:top w:w="15" w:type="dxa"/>
                    <w:left w:w="15" w:type="dxa"/>
                    <w:bottom w:w="15" w:type="dxa"/>
                    <w:right w:w="15" w:type="dxa"/>
                  </w:tcMar>
                  <w:vAlign w:val="center"/>
                </w:tcPr>
                <w:p w14:paraId="760F63F6">
                  <w:pPr>
                    <w:pStyle w:val="154"/>
                    <w:rPr>
                      <w:sz w:val="21"/>
                      <w:szCs w:val="21"/>
                    </w:rPr>
                  </w:pPr>
                  <w:r>
                    <w:rPr>
                      <w:sz w:val="21"/>
                      <w:szCs w:val="21"/>
                    </w:rPr>
                    <w:t>激光切割机</w:t>
                  </w:r>
                </w:p>
              </w:tc>
              <w:tc>
                <w:tcPr>
                  <w:tcW w:w="486" w:type="pct"/>
                  <w:tcMar>
                    <w:top w:w="15" w:type="dxa"/>
                    <w:left w:w="15" w:type="dxa"/>
                    <w:bottom w:w="15" w:type="dxa"/>
                    <w:right w:w="15" w:type="dxa"/>
                  </w:tcMar>
                  <w:vAlign w:val="center"/>
                </w:tcPr>
                <w:p w14:paraId="22CF5C60">
                  <w:pPr>
                    <w:pStyle w:val="154"/>
                    <w:rPr>
                      <w:sz w:val="21"/>
                      <w:szCs w:val="21"/>
                    </w:rPr>
                  </w:pPr>
                  <w:r>
                    <w:rPr>
                      <w:rFonts w:hint="eastAsia"/>
                      <w:sz w:val="21"/>
                      <w:szCs w:val="21"/>
                    </w:rPr>
                    <w:t>6台</w:t>
                  </w:r>
                </w:p>
              </w:tc>
              <w:tc>
                <w:tcPr>
                  <w:tcW w:w="941" w:type="pct"/>
                </w:tcPr>
                <w:p w14:paraId="23F0A4DA">
                  <w:pPr>
                    <w:pStyle w:val="154"/>
                    <w:rPr>
                      <w:sz w:val="21"/>
                      <w:szCs w:val="21"/>
                    </w:rPr>
                  </w:pPr>
                  <w:r>
                    <w:rPr>
                      <w:rFonts w:hint="eastAsia"/>
                      <w:sz w:val="21"/>
                      <w:szCs w:val="21"/>
                    </w:rPr>
                    <w:t>/</w:t>
                  </w:r>
                </w:p>
              </w:tc>
              <w:tc>
                <w:tcPr>
                  <w:tcW w:w="906" w:type="pct"/>
                  <w:vAlign w:val="center"/>
                </w:tcPr>
                <w:p w14:paraId="29FAD73E">
                  <w:pPr>
                    <w:pStyle w:val="154"/>
                    <w:rPr>
                      <w:sz w:val="21"/>
                      <w:szCs w:val="21"/>
                    </w:rPr>
                  </w:pPr>
                  <w:r>
                    <w:rPr>
                      <w:rFonts w:hint="eastAsia"/>
                      <w:sz w:val="21"/>
                      <w:szCs w:val="21"/>
                    </w:rPr>
                    <w:t>2400</w:t>
                  </w:r>
                </w:p>
              </w:tc>
              <w:tc>
                <w:tcPr>
                  <w:tcW w:w="731" w:type="pct"/>
                  <w:vAlign w:val="center"/>
                </w:tcPr>
                <w:p w14:paraId="02C1289E">
                  <w:pPr>
                    <w:pStyle w:val="154"/>
                    <w:rPr>
                      <w:sz w:val="21"/>
                      <w:szCs w:val="21"/>
                    </w:rPr>
                  </w:pPr>
                  <w:r>
                    <w:rPr>
                      <w:sz w:val="21"/>
                      <w:szCs w:val="21"/>
                    </w:rPr>
                    <w:t>鞋面布切割</w:t>
                  </w:r>
                </w:p>
              </w:tc>
            </w:tr>
          </w:tbl>
          <w:p w14:paraId="494209D1">
            <w:pPr>
              <w:pStyle w:val="157"/>
            </w:pPr>
            <w:r>
              <w:t>6、产能核算</w:t>
            </w:r>
          </w:p>
          <w:p w14:paraId="55811272">
            <w:pPr>
              <w:pStyle w:val="156"/>
              <w:ind w:firstLine="480"/>
              <w:rPr>
                <w:rFonts w:eastAsia="宋体" w:cs="Times New Roman"/>
              </w:rPr>
            </w:pPr>
            <w:r>
              <w:rPr>
                <w:rFonts w:eastAsia="宋体" w:cs="Times New Roman"/>
              </w:rPr>
              <w:t>本项目共设置</w:t>
            </w:r>
            <w:r>
              <w:rPr>
                <w:rFonts w:hint="eastAsia" w:eastAsia="宋体" w:cs="Times New Roman"/>
              </w:rPr>
              <w:t>5</w:t>
            </w:r>
            <w:r>
              <w:rPr>
                <w:rFonts w:eastAsia="宋体" w:cs="Times New Roman"/>
              </w:rPr>
              <w:t>条注塑生产线，</w:t>
            </w:r>
            <w:r>
              <w:rPr>
                <w:rFonts w:hint="eastAsia" w:eastAsia="宋体" w:cs="Times New Roman"/>
              </w:rPr>
              <w:t>2条聚氨酯生产线，</w:t>
            </w:r>
            <w:r>
              <w:rPr>
                <w:rFonts w:eastAsia="宋体" w:cs="Times New Roman"/>
              </w:rPr>
              <w:t>单台注塑底片机产量为</w:t>
            </w:r>
            <w:r>
              <w:rPr>
                <w:rFonts w:hint="eastAsia" w:eastAsia="宋体" w:cs="Times New Roman"/>
              </w:rPr>
              <w:t>90</w:t>
            </w:r>
            <w:r>
              <w:rPr>
                <w:rFonts w:eastAsia="宋体" w:cs="Times New Roman"/>
              </w:rPr>
              <w:t>双/h，年运行时长为</w:t>
            </w:r>
            <w:r>
              <w:rPr>
                <w:rFonts w:hint="eastAsia" w:eastAsia="宋体" w:cs="Times New Roman"/>
              </w:rPr>
              <w:t>2400</w:t>
            </w:r>
            <w:r>
              <w:rPr>
                <w:rFonts w:eastAsia="宋体" w:cs="Times New Roman"/>
              </w:rPr>
              <w:t>h。单台注塑机产量为年生产鞋底片</w:t>
            </w:r>
            <w:r>
              <w:rPr>
                <w:rFonts w:hint="eastAsia" w:eastAsia="宋体" w:cs="Times New Roman"/>
              </w:rPr>
              <w:t>216000</w:t>
            </w:r>
            <w:r>
              <w:rPr>
                <w:rFonts w:eastAsia="宋体" w:cs="Times New Roman"/>
              </w:rPr>
              <w:t>双，</w:t>
            </w:r>
            <w:r>
              <w:rPr>
                <w:rFonts w:hint="eastAsia" w:eastAsia="宋体" w:cs="Times New Roman"/>
              </w:rPr>
              <w:t>5</w:t>
            </w:r>
            <w:r>
              <w:rPr>
                <w:rFonts w:eastAsia="宋体" w:cs="Times New Roman"/>
              </w:rPr>
              <w:t>台注塑底片机合计年生产量为</w:t>
            </w:r>
            <w:r>
              <w:rPr>
                <w:rFonts w:hint="eastAsia" w:eastAsia="宋体" w:cs="Times New Roman"/>
              </w:rPr>
              <w:t>1080000</w:t>
            </w:r>
            <w:r>
              <w:rPr>
                <w:rFonts w:eastAsia="宋体" w:cs="Times New Roman"/>
              </w:rPr>
              <w:t>双</w:t>
            </w:r>
            <w:r>
              <w:rPr>
                <w:rFonts w:hint="eastAsia" w:eastAsia="宋体" w:cs="Times New Roman"/>
              </w:rPr>
              <w:t>；单台</w:t>
            </w:r>
            <w:r>
              <w:rPr>
                <w:rFonts w:hint="eastAsia" w:eastAsia="宋体"/>
              </w:rPr>
              <w:t>聚氨酯浇注机</w:t>
            </w:r>
            <w:r>
              <w:rPr>
                <w:rFonts w:eastAsia="宋体" w:cs="Times New Roman"/>
              </w:rPr>
              <w:t>产量为</w:t>
            </w:r>
            <w:r>
              <w:rPr>
                <w:rFonts w:hint="eastAsia" w:eastAsia="宋体" w:cs="Times New Roman"/>
              </w:rPr>
              <w:t>110</w:t>
            </w:r>
            <w:r>
              <w:rPr>
                <w:rFonts w:eastAsia="宋体" w:cs="Times New Roman"/>
              </w:rPr>
              <w:t>双/h</w:t>
            </w:r>
            <w:r>
              <w:rPr>
                <w:rFonts w:hint="eastAsia" w:eastAsia="宋体" w:cs="Times New Roman"/>
              </w:rPr>
              <w:t>，</w:t>
            </w:r>
            <w:r>
              <w:rPr>
                <w:rFonts w:eastAsia="宋体" w:cs="Times New Roman"/>
              </w:rPr>
              <w:t>年运行时长为</w:t>
            </w:r>
            <w:r>
              <w:rPr>
                <w:rFonts w:hint="eastAsia" w:eastAsia="宋体" w:cs="Times New Roman"/>
              </w:rPr>
              <w:t>2400</w:t>
            </w:r>
            <w:r>
              <w:rPr>
                <w:rFonts w:eastAsia="宋体" w:cs="Times New Roman"/>
              </w:rPr>
              <w:t>h</w:t>
            </w:r>
            <w:r>
              <w:rPr>
                <w:rFonts w:hint="eastAsia" w:eastAsia="宋体" w:cs="Times New Roman"/>
              </w:rPr>
              <w:t>，单</w:t>
            </w:r>
            <w:r>
              <w:rPr>
                <w:rFonts w:eastAsia="宋体" w:cs="Times New Roman"/>
              </w:rPr>
              <w:t>台</w:t>
            </w:r>
            <w:r>
              <w:rPr>
                <w:rFonts w:hint="eastAsia" w:eastAsia="宋体" w:cs="Times New Roman"/>
              </w:rPr>
              <w:t>聚氨酯浇注机为年生产布鞋264000</w:t>
            </w:r>
            <w:r>
              <w:rPr>
                <w:rFonts w:eastAsia="宋体" w:cs="Times New Roman"/>
              </w:rPr>
              <w:t>双</w:t>
            </w:r>
            <w:r>
              <w:rPr>
                <w:rFonts w:hint="eastAsia" w:eastAsia="宋体" w:cs="Times New Roman"/>
              </w:rPr>
              <w:t>，2</w:t>
            </w:r>
            <w:r>
              <w:rPr>
                <w:rFonts w:eastAsia="宋体" w:cs="Times New Roman"/>
              </w:rPr>
              <w:t>台</w:t>
            </w:r>
            <w:r>
              <w:rPr>
                <w:rFonts w:hint="eastAsia" w:eastAsia="宋体"/>
              </w:rPr>
              <w:t>聚氨酯浇注机</w:t>
            </w:r>
            <w:r>
              <w:rPr>
                <w:rFonts w:eastAsia="宋体" w:cs="Times New Roman"/>
              </w:rPr>
              <w:t>合计年生产量为</w:t>
            </w:r>
            <w:r>
              <w:rPr>
                <w:rFonts w:hint="eastAsia" w:eastAsia="宋体" w:cs="Times New Roman"/>
              </w:rPr>
              <w:t>528000</w:t>
            </w:r>
            <w:r>
              <w:rPr>
                <w:rFonts w:eastAsia="宋体" w:cs="Times New Roman"/>
              </w:rPr>
              <w:t>双</w:t>
            </w:r>
            <w:r>
              <w:rPr>
                <w:rFonts w:hint="eastAsia" w:eastAsia="宋体" w:cs="Times New Roman"/>
              </w:rPr>
              <w:t>。</w:t>
            </w:r>
            <w:r>
              <w:rPr>
                <w:rFonts w:eastAsia="宋体" w:cs="Times New Roman"/>
              </w:rPr>
              <w:t>综上所述</w:t>
            </w:r>
            <w:r>
              <w:rPr>
                <w:rFonts w:hint="eastAsia" w:eastAsia="宋体" w:cs="Times New Roman"/>
              </w:rPr>
              <w:t>5</w:t>
            </w:r>
            <w:r>
              <w:rPr>
                <w:rFonts w:eastAsia="宋体" w:cs="Times New Roman"/>
              </w:rPr>
              <w:t>条注塑布鞋生产线</w:t>
            </w:r>
            <w:r>
              <w:rPr>
                <w:rFonts w:hint="eastAsia" w:eastAsia="宋体" w:cs="Times New Roman"/>
              </w:rPr>
              <w:t>和2条</w:t>
            </w:r>
            <w:r>
              <w:rPr>
                <w:rFonts w:hint="eastAsia" w:eastAsia="宋体"/>
              </w:rPr>
              <w:t>聚氨酯生产线能</w:t>
            </w:r>
            <w:r>
              <w:rPr>
                <w:rFonts w:eastAsia="宋体" w:cs="Times New Roman"/>
              </w:rPr>
              <w:t>满足本项目年产</w:t>
            </w:r>
            <w:r>
              <w:rPr>
                <w:rFonts w:hint="eastAsia" w:eastAsia="宋体" w:cs="Times New Roman"/>
              </w:rPr>
              <w:t>100</w:t>
            </w:r>
            <w:r>
              <w:rPr>
                <w:rFonts w:eastAsia="宋体" w:cs="Times New Roman"/>
              </w:rPr>
              <w:t>万双鞋底片和</w:t>
            </w:r>
            <w:r>
              <w:rPr>
                <w:rFonts w:hint="eastAsia" w:eastAsia="宋体" w:cs="Times New Roman"/>
              </w:rPr>
              <w:t>50万双布鞋</w:t>
            </w:r>
            <w:r>
              <w:rPr>
                <w:rFonts w:eastAsia="宋体" w:cs="Times New Roman"/>
              </w:rPr>
              <w:t>的产能需求。</w:t>
            </w:r>
          </w:p>
          <w:p w14:paraId="650B5A3C">
            <w:pPr>
              <w:pStyle w:val="157"/>
            </w:pPr>
            <w:r>
              <w:t>7、劳动定员与工作制度</w:t>
            </w:r>
          </w:p>
          <w:p w14:paraId="4EA1898D">
            <w:pPr>
              <w:pStyle w:val="157"/>
              <w:ind w:firstLine="480" w:firstLineChars="200"/>
              <w:rPr>
                <w:rFonts w:eastAsia="宋体"/>
                <w:b w:val="0"/>
              </w:rPr>
            </w:pPr>
            <w:r>
              <w:rPr>
                <w:rFonts w:eastAsia="宋体"/>
                <w:b w:val="0"/>
              </w:rPr>
              <w:t>项目劳动定员20人，每年工作300天，每天工作8h（8:00~12:00，14:00~18:00）。员工为附近村民，厂区不安排食宿。</w:t>
            </w:r>
          </w:p>
          <w:p w14:paraId="0E77D413">
            <w:pPr>
              <w:pStyle w:val="157"/>
            </w:pPr>
            <w:r>
              <w:t>8、建设周期及厂区现状</w:t>
            </w:r>
          </w:p>
          <w:p w14:paraId="1C5B3940">
            <w:pPr>
              <w:pStyle w:val="167"/>
              <w:ind w:firstLine="480"/>
              <w:rPr>
                <w:rFonts w:eastAsia="宋体"/>
              </w:rPr>
            </w:pPr>
            <w:r>
              <w:rPr>
                <w:rFonts w:eastAsia="宋体"/>
              </w:rPr>
              <w:t>本项目租赁偃师区山化镇东屯村现有生产厂房，建设周期为</w:t>
            </w:r>
            <w:r>
              <w:rPr>
                <w:rFonts w:hint="eastAsia" w:eastAsia="宋体"/>
              </w:rPr>
              <w:t>3</w:t>
            </w:r>
            <w:r>
              <w:rPr>
                <w:rFonts w:eastAsia="宋体"/>
              </w:rPr>
              <w:t>个月。</w:t>
            </w:r>
          </w:p>
          <w:p w14:paraId="4CC313DF">
            <w:pPr>
              <w:pStyle w:val="167"/>
              <w:ind w:firstLine="480"/>
              <w:rPr>
                <w:rFonts w:eastAsia="宋体"/>
              </w:rPr>
            </w:pPr>
            <w:r>
              <w:rPr>
                <w:rFonts w:eastAsia="宋体"/>
              </w:rPr>
              <w:t>现场勘查时，本项目生产车间相关生产设备及环保设备均未入驻。</w:t>
            </w:r>
          </w:p>
          <w:p w14:paraId="5A764B8C">
            <w:pPr>
              <w:pStyle w:val="157"/>
            </w:pPr>
            <w:r>
              <w:t>9、总平面布置</w:t>
            </w:r>
          </w:p>
          <w:p w14:paraId="3AC23910">
            <w:pPr>
              <w:pStyle w:val="167"/>
              <w:ind w:firstLine="480"/>
              <w:rPr>
                <w:rFonts w:eastAsia="宋体"/>
              </w:rPr>
            </w:pPr>
            <w:r>
              <w:rPr>
                <w:rFonts w:eastAsia="宋体"/>
              </w:rPr>
              <w:t>项目租赁现有厂房，厂区出入口位于厂区</w:t>
            </w:r>
            <w:r>
              <w:rPr>
                <w:rFonts w:hint="eastAsia" w:eastAsia="宋体"/>
              </w:rPr>
              <w:t>北</w:t>
            </w:r>
            <w:r>
              <w:rPr>
                <w:rFonts w:eastAsia="宋体"/>
              </w:rPr>
              <w:t>侧，办公</w:t>
            </w:r>
            <w:r>
              <w:rPr>
                <w:rFonts w:hint="eastAsia" w:eastAsia="宋体"/>
              </w:rPr>
              <w:t>楼</w:t>
            </w:r>
            <w:r>
              <w:rPr>
                <w:rFonts w:eastAsia="宋体"/>
              </w:rPr>
              <w:t>位于厂区入口处西侧</w:t>
            </w:r>
            <w:r>
              <w:rPr>
                <w:rFonts w:hint="eastAsia" w:eastAsia="宋体"/>
              </w:rPr>
              <w:t>和东侧，共四层</w:t>
            </w:r>
            <w:r>
              <w:rPr>
                <w:rFonts w:eastAsia="宋体"/>
              </w:rPr>
              <w:t>。生产车间共三层，</w:t>
            </w:r>
            <w:r>
              <w:rPr>
                <w:rFonts w:hint="eastAsia" w:eastAsia="宋体"/>
              </w:rPr>
              <w:t>一楼</w:t>
            </w:r>
            <w:r>
              <w:rPr>
                <w:rFonts w:eastAsia="宋体"/>
              </w:rPr>
              <w:t>设置</w:t>
            </w:r>
            <w:r>
              <w:rPr>
                <w:rFonts w:hint="eastAsia" w:eastAsia="宋体"/>
              </w:rPr>
              <w:t>5</w:t>
            </w:r>
            <w:r>
              <w:rPr>
                <w:rFonts w:eastAsia="宋体"/>
              </w:rPr>
              <w:t>条注塑生产线</w:t>
            </w:r>
            <w:r>
              <w:rPr>
                <w:rFonts w:hint="eastAsia" w:eastAsia="宋体"/>
              </w:rPr>
              <w:t>，二楼设置2条聚氨酯流水线</w:t>
            </w:r>
            <w:r>
              <w:rPr>
                <w:rFonts w:eastAsia="宋体"/>
              </w:rPr>
              <w:t>，三楼设置</w:t>
            </w:r>
            <w:r>
              <w:rPr>
                <w:rFonts w:hint="eastAsia" w:eastAsia="宋体"/>
              </w:rPr>
              <w:t>6台激光切割机和12台绣花机。</w:t>
            </w:r>
            <w:r>
              <w:rPr>
                <w:rFonts w:eastAsia="宋体"/>
              </w:rPr>
              <w:t>厂区平面布局图见附图</w:t>
            </w:r>
            <w:r>
              <w:rPr>
                <w:rFonts w:hint="eastAsia" w:eastAsia="宋体"/>
              </w:rPr>
              <w:t>3</w:t>
            </w:r>
            <w:r>
              <w:rPr>
                <w:rFonts w:eastAsia="宋体"/>
              </w:rPr>
              <w:t>，车间设备布局图见附图</w:t>
            </w:r>
            <w:r>
              <w:rPr>
                <w:rFonts w:hint="eastAsia" w:eastAsia="宋体"/>
              </w:rPr>
              <w:t>4</w:t>
            </w:r>
            <w:r>
              <w:rPr>
                <w:rFonts w:eastAsia="宋体"/>
              </w:rPr>
              <w:t>。</w:t>
            </w:r>
          </w:p>
          <w:p w14:paraId="1FB04956">
            <w:pPr>
              <w:pStyle w:val="157"/>
            </w:pPr>
            <w:r>
              <w:t>10、公用工程及辅助工程</w:t>
            </w:r>
          </w:p>
          <w:p w14:paraId="0AFD51DB">
            <w:pPr>
              <w:spacing w:line="520" w:lineRule="exact"/>
              <w:ind w:firstLine="480" w:firstLineChars="200"/>
              <w:rPr>
                <w:rFonts w:ascii="Times New Roman" w:hAnsi="Times New Roman"/>
              </w:rPr>
            </w:pPr>
            <w:r>
              <w:rPr>
                <w:rFonts w:ascii="Times New Roman" w:hAnsi="Times New Roman"/>
              </w:rPr>
              <w:t>（1）供水</w:t>
            </w:r>
          </w:p>
          <w:p w14:paraId="60E3333F">
            <w:pPr>
              <w:spacing w:line="520" w:lineRule="exact"/>
              <w:ind w:firstLine="480" w:firstLineChars="200"/>
              <w:rPr>
                <w:rFonts w:ascii="Times New Roman" w:hAnsi="Times New Roman"/>
              </w:rPr>
            </w:pPr>
            <w:r>
              <w:rPr>
                <w:rFonts w:ascii="Times New Roman" w:hAnsi="Times New Roman"/>
              </w:rPr>
              <w:t>项目用水由山化镇东屯村自来水管网供给。</w:t>
            </w:r>
          </w:p>
          <w:p w14:paraId="486DCA74">
            <w:pPr>
              <w:spacing w:line="520" w:lineRule="exact"/>
              <w:ind w:firstLine="480" w:firstLineChars="200"/>
              <w:rPr>
                <w:rFonts w:ascii="Times New Roman" w:hAnsi="Times New Roman"/>
              </w:rPr>
            </w:pPr>
            <w:r>
              <w:rPr>
                <w:rFonts w:ascii="Times New Roman" w:hAnsi="Times New Roman"/>
              </w:rPr>
              <w:t>（2）供电</w:t>
            </w:r>
          </w:p>
          <w:p w14:paraId="46E2B982">
            <w:pPr>
              <w:spacing w:line="520" w:lineRule="exact"/>
              <w:ind w:firstLine="480" w:firstLineChars="200"/>
              <w:rPr>
                <w:rFonts w:ascii="Times New Roman" w:hAnsi="Times New Roman"/>
              </w:rPr>
            </w:pPr>
            <w:r>
              <w:rPr>
                <w:rFonts w:ascii="Times New Roman" w:hAnsi="Times New Roman"/>
              </w:rPr>
              <w:t>由山化镇供电系统供给。</w:t>
            </w:r>
          </w:p>
          <w:p w14:paraId="2345A3A4">
            <w:pPr>
              <w:spacing w:line="520" w:lineRule="exact"/>
              <w:ind w:firstLine="480" w:firstLineChars="200"/>
              <w:rPr>
                <w:rFonts w:ascii="Times New Roman" w:hAnsi="Times New Roman"/>
              </w:rPr>
            </w:pPr>
            <w:r>
              <w:rPr>
                <w:rFonts w:ascii="Times New Roman" w:hAnsi="Times New Roman"/>
              </w:rPr>
              <w:t>（3）排水</w:t>
            </w:r>
          </w:p>
          <w:p w14:paraId="4BFFFAA5">
            <w:pPr>
              <w:spacing w:line="520" w:lineRule="exact"/>
              <w:ind w:firstLine="480" w:firstLineChars="200"/>
              <w:rPr>
                <w:rFonts w:ascii="Times New Roman" w:hAnsi="Times New Roman"/>
              </w:rPr>
            </w:pPr>
            <w:r>
              <w:rPr>
                <w:rFonts w:hint="eastAsia"/>
              </w:rPr>
              <w:t>本项目采取雨污分流方式，雨水通过雨水管网进入中州渠</w:t>
            </w:r>
            <w:r>
              <w:t>人工湿地</w:t>
            </w:r>
            <w:r>
              <w:rPr>
                <w:rFonts w:hint="eastAsia"/>
              </w:rPr>
              <w:t>；</w:t>
            </w:r>
            <w:r>
              <w:t>生活污水</w:t>
            </w:r>
            <w:r>
              <w:rPr>
                <w:rFonts w:hint="eastAsia"/>
              </w:rPr>
              <w:t>经</w:t>
            </w:r>
            <w:r>
              <w:t>厂区现有化粪池处理，由总排口外排经市政污水管网排入洛阳市中州渠人工湿地。</w:t>
            </w:r>
          </w:p>
          <w:p w14:paraId="28228F6A">
            <w:pPr>
              <w:pStyle w:val="157"/>
              <w:rPr>
                <w:color w:val="000000" w:themeColor="text1"/>
              </w:rPr>
            </w:pPr>
            <w:r>
              <w:rPr>
                <w:color w:val="000000" w:themeColor="text1"/>
              </w:rPr>
              <w:t>1</w:t>
            </w:r>
            <w:r>
              <w:rPr>
                <w:rFonts w:hint="eastAsia"/>
                <w:color w:val="000000" w:themeColor="text1"/>
              </w:rPr>
              <w:t>1</w:t>
            </w:r>
            <w:r>
              <w:rPr>
                <w:color w:val="000000" w:themeColor="text1"/>
              </w:rPr>
              <w:t>、</w:t>
            </w:r>
            <w:r>
              <w:rPr>
                <w:rFonts w:hint="eastAsia"/>
                <w:color w:val="000000" w:themeColor="text1"/>
              </w:rPr>
              <w:t>水平衡、物料平衡</w:t>
            </w:r>
          </w:p>
          <w:p w14:paraId="57948C85">
            <w:pPr>
              <w:pStyle w:val="156"/>
              <w:ind w:firstLine="482"/>
              <w:rPr>
                <w:rFonts w:eastAsia="宋体" w:cs="Times New Roman"/>
                <w:b/>
                <w:u w:val="single"/>
              </w:rPr>
            </w:pPr>
            <w:r>
              <w:rPr>
                <w:rFonts w:eastAsia="宋体" w:cs="Times New Roman"/>
                <w:b/>
                <w:u w:val="single"/>
              </w:rPr>
              <w:t>（1）</w:t>
            </w:r>
            <w:r>
              <w:rPr>
                <w:rFonts w:hint="eastAsia" w:eastAsia="宋体" w:cs="Times New Roman"/>
                <w:b/>
                <w:u w:val="single"/>
              </w:rPr>
              <w:t>水</w:t>
            </w:r>
            <w:r>
              <w:rPr>
                <w:rFonts w:eastAsia="宋体" w:cs="Times New Roman"/>
                <w:b/>
                <w:u w:val="single"/>
              </w:rPr>
              <w:t>平衡</w:t>
            </w:r>
          </w:p>
          <w:p w14:paraId="66CFC554">
            <w:pPr>
              <w:pStyle w:val="165"/>
              <w:spacing w:line="520" w:lineRule="exact"/>
              <w:ind w:firstLine="482"/>
              <w:rPr>
                <w:rFonts w:eastAsia="宋体" w:cs="Times New Roman"/>
                <w:b/>
                <w:sz w:val="24"/>
                <w:szCs w:val="24"/>
                <w:u w:val="single"/>
              </w:rPr>
            </w:pPr>
            <w:r>
              <w:rPr>
                <w:rFonts w:hint="eastAsia" w:eastAsia="宋体" w:cs="宋体"/>
                <w:b/>
                <w:sz w:val="24"/>
                <w:szCs w:val="24"/>
                <w:u w:val="single"/>
              </w:rPr>
              <w:t>①</w:t>
            </w:r>
            <w:r>
              <w:rPr>
                <w:rFonts w:eastAsia="宋体" w:cs="Times New Roman"/>
                <w:b/>
                <w:sz w:val="24"/>
                <w:szCs w:val="24"/>
                <w:u w:val="single"/>
              </w:rPr>
              <w:t>生活用水</w:t>
            </w:r>
          </w:p>
          <w:p w14:paraId="42C0DF5C">
            <w:pPr>
              <w:pStyle w:val="167"/>
              <w:ind w:firstLine="482"/>
              <w:rPr>
                <w:rFonts w:eastAsia="宋体"/>
                <w:b/>
                <w:u w:val="single"/>
              </w:rPr>
            </w:pPr>
            <w:r>
              <w:rPr>
                <w:rFonts w:eastAsia="宋体"/>
                <w:b/>
                <w:u w:val="single"/>
              </w:rPr>
              <w:t>本项目劳动定员20人，年工作300天，均不在厂区食宿。生活污水经厂区化粪池处理后经市政管网排入洛阳市中州渠人工湿地进行进一步处理。</w:t>
            </w:r>
          </w:p>
          <w:p w14:paraId="775CB257">
            <w:pPr>
              <w:pStyle w:val="156"/>
              <w:ind w:firstLine="482"/>
              <w:rPr>
                <w:b/>
                <w:u w:val="single"/>
              </w:rPr>
            </w:pPr>
            <w:r>
              <w:rPr>
                <w:rFonts w:hint="eastAsia"/>
                <w:b/>
                <w:u w:val="single"/>
              </w:rPr>
              <w:t>②循环冷却</w:t>
            </w:r>
            <w:r>
              <w:rPr>
                <w:b/>
                <w:u w:val="single"/>
              </w:rPr>
              <w:t>水</w:t>
            </w:r>
          </w:p>
          <w:p w14:paraId="6955E33D">
            <w:pPr>
              <w:pStyle w:val="156"/>
              <w:ind w:firstLine="482"/>
              <w:rPr>
                <w:rFonts w:eastAsia="宋体" w:cs="Times New Roman"/>
              </w:rPr>
            </w:pPr>
            <w:r>
              <w:rPr>
                <w:rFonts w:hint="eastAsia"/>
                <w:b/>
                <w:bCs/>
                <w:color w:val="000000"/>
                <w:u w:val="single"/>
              </w:rPr>
              <w:t>本项目循环冷却水循环使用，定期补充，不外排。</w:t>
            </w:r>
          </w:p>
          <w:p w14:paraId="2CD154F5">
            <w:pPr>
              <w:pStyle w:val="156"/>
              <w:spacing w:line="240" w:lineRule="auto"/>
              <w:ind w:firstLine="0" w:firstLineChars="0"/>
              <w:jc w:val="center"/>
              <w:rPr>
                <w:rFonts w:eastAsia="宋体" w:cs="Times New Roman"/>
              </w:rPr>
            </w:pPr>
            <w:r>
              <w:rPr>
                <w:rFonts w:eastAsia="宋体" w:cs="Times New Roman"/>
              </w:rPr>
              <w:drawing>
                <wp:inline distT="0" distB="0" distL="0" distR="0">
                  <wp:extent cx="4416425" cy="1276350"/>
                  <wp:effectExtent l="0" t="0" r="0" b="0"/>
                  <wp:docPr id="1" name="对象 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8072494" cy="2557651"/>
                            <a:chOff x="571472" y="1500174"/>
                            <a:chExt cx="8072494" cy="2557651"/>
                          </a:xfrm>
                        </a:grpSpPr>
                        <a:cxnSp>
                          <a:nvCxnSpPr>
                            <a:cNvPr id="34" name="直接连接符 33"/>
                            <a:cNvCxnSpPr/>
                          </a:nvCxnSpPr>
                          <a:spPr>
                            <a:xfrm rot="5400000">
                              <a:off x="816728" y="2969430"/>
                              <a:ext cx="1224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 name="直接箭头连接符 37"/>
                            <a:cNvCxnSpPr/>
                          </a:nvCxnSpPr>
                          <a:spPr>
                            <a:xfrm>
                              <a:off x="1428728" y="2357430"/>
                              <a:ext cx="1260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3" name="直接箭头连接符 42"/>
                            <a:cNvCxnSpPr/>
                          </a:nvCxnSpPr>
                          <a:spPr>
                            <a:xfrm>
                              <a:off x="1428728" y="3571876"/>
                              <a:ext cx="1260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4" name="直接连接符 53"/>
                            <a:cNvCxnSpPr/>
                          </a:nvCxnSpPr>
                          <a:spPr>
                            <a:xfrm>
                              <a:off x="714348" y="2928934"/>
                              <a:ext cx="720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55" name="TextBox 54"/>
                            <a:cNvSpPr txBox="1"/>
                          </a:nvSpPr>
                          <a:spPr>
                            <a:xfrm>
                              <a:off x="571472" y="2500306"/>
                              <a:ext cx="928694"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dirty="0" smtClean="0"/>
                                  <a:t>新鲜水</a:t>
                                </a:r>
                                <a:endParaRPr lang="zh-CN" altLang="en-US" dirty="0"/>
                              </a:p>
                            </a:txBody>
                            <a:useSpRect/>
                          </a:txSp>
                        </a:sp>
                        <a:sp>
                          <a:nvSpPr>
                            <a:cNvPr id="57" name="TextBox 56"/>
                            <a:cNvSpPr txBox="1"/>
                          </a:nvSpPr>
                          <a:spPr>
                            <a:xfrm>
                              <a:off x="2714612" y="2143116"/>
                              <a:ext cx="1428760" cy="369332"/>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循环冷却水</a:t>
                                </a:r>
                                <a:endParaRPr lang="zh-CN" altLang="en-US" dirty="0"/>
                              </a:p>
                            </a:txBody>
                            <a:useSpRect/>
                          </a:txSp>
                        </a:sp>
                        <a:sp>
                          <a:nvSpPr>
                            <a:cNvPr id="58" name="矩形 57"/>
                            <a:cNvSpPr/>
                          </a:nvSpPr>
                          <a:spPr>
                            <a:xfrm>
                              <a:off x="3929058" y="1500174"/>
                              <a:ext cx="938077" cy="369332"/>
                            </a:xfrm>
                            <a:prstGeom prst="rect">
                              <a:avLst/>
                            </a:prstGeom>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dirty="0" smtClean="0"/>
                                  <a:t>损耗</a:t>
                                </a:r>
                                <a:r>
                                  <a:rPr lang="en-US" altLang="zh-CN" dirty="0" smtClean="0"/>
                                  <a:t>0.1</a:t>
                                </a:r>
                                <a:endParaRPr lang="zh-CN" altLang="en-US" dirty="0" smtClean="0"/>
                              </a:p>
                            </a:txBody>
                            <a:useSpRect/>
                          </a:txSp>
                        </a:sp>
                        <a:sp>
                          <a:nvSpPr>
                            <a:cNvPr id="59" name="矩形 58"/>
                            <a:cNvSpPr/>
                          </a:nvSpPr>
                          <a:spPr>
                            <a:xfrm>
                              <a:off x="4357686" y="2500306"/>
                              <a:ext cx="301686" cy="369332"/>
                            </a:xfrm>
                            <a:prstGeom prst="rect">
                              <a:avLst/>
                            </a:prstGeom>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dirty="0" smtClean="0"/>
                                  <a:t>1</a:t>
                                </a:r>
                                <a:endParaRPr lang="zh-CN" altLang="en-US" dirty="0" smtClean="0"/>
                              </a:p>
                            </a:txBody>
                            <a:useSpRect/>
                          </a:txSp>
                        </a:sp>
                        <a:sp>
                          <a:nvSpPr>
                            <a:cNvPr id="60" name="TextBox 59"/>
                            <a:cNvSpPr txBox="1"/>
                          </a:nvSpPr>
                          <a:spPr>
                            <a:xfrm>
                              <a:off x="2714612" y="3357562"/>
                              <a:ext cx="1428760" cy="369332"/>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生活用水</a:t>
                                </a:r>
                                <a:endParaRPr lang="zh-CN" altLang="en-US" dirty="0"/>
                              </a:p>
                            </a:txBody>
                            <a:useSpRect/>
                          </a:txSp>
                        </a:sp>
                        <a:sp>
                          <a:nvSpPr>
                            <a:cNvPr id="62" name="矩形 61"/>
                            <a:cNvSpPr/>
                          </a:nvSpPr>
                          <a:spPr>
                            <a:xfrm>
                              <a:off x="3857620" y="2857496"/>
                              <a:ext cx="1055097" cy="369332"/>
                            </a:xfrm>
                            <a:prstGeom prst="rect">
                              <a:avLst/>
                            </a:prstGeom>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dirty="0" smtClean="0"/>
                                  <a:t>损耗</a:t>
                                </a:r>
                                <a:r>
                                  <a:rPr lang="en-US" altLang="zh-CN" dirty="0" smtClean="0"/>
                                  <a:t>0.16</a:t>
                                </a:r>
                                <a:endParaRPr lang="zh-CN" altLang="en-US" dirty="0" smtClean="0"/>
                              </a:p>
                            </a:txBody>
                            <a:useSpRect/>
                          </a:txSp>
                        </a:sp>
                        <a:cxnSp>
                          <a:nvCxnSpPr>
                            <a:cNvPr id="63" name="直接箭头连接符 62"/>
                            <a:cNvCxnSpPr/>
                          </a:nvCxnSpPr>
                          <a:spPr>
                            <a:xfrm>
                              <a:off x="4143372" y="3571876"/>
                              <a:ext cx="828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4" name="TextBox 63"/>
                            <a:cNvSpPr txBox="1"/>
                          </a:nvSpPr>
                          <a:spPr>
                            <a:xfrm>
                              <a:off x="5000628" y="3357562"/>
                              <a:ext cx="1428760" cy="369332"/>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化粪池</a:t>
                                </a:r>
                                <a:endParaRPr lang="zh-CN" altLang="en-US" dirty="0"/>
                              </a:p>
                            </a:txBody>
                            <a:useSpRect/>
                          </a:txSp>
                        </a:sp>
                        <a:cxnSp>
                          <a:nvCxnSpPr>
                            <a:cNvPr id="65" name="直接箭头连接符 64"/>
                            <a:cNvCxnSpPr/>
                          </a:nvCxnSpPr>
                          <a:spPr>
                            <a:xfrm>
                              <a:off x="6429388" y="3571876"/>
                              <a:ext cx="756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6" name="矩形 65"/>
                            <a:cNvSpPr/>
                          </a:nvSpPr>
                          <a:spPr>
                            <a:xfrm>
                              <a:off x="4214810" y="3214686"/>
                              <a:ext cx="593432" cy="369332"/>
                            </a:xfrm>
                            <a:prstGeom prst="rect">
                              <a:avLst/>
                            </a:prstGeom>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dirty="0" smtClean="0"/>
                                  <a:t>0.64</a:t>
                                </a:r>
                                <a:endParaRPr lang="zh-CN" altLang="en-US" dirty="0" smtClean="0"/>
                              </a:p>
                            </a:txBody>
                            <a:useSpRect/>
                          </a:txSp>
                        </a:sp>
                        <a:sp>
                          <a:nvSpPr>
                            <a:cNvPr id="67" name="矩形 66"/>
                            <a:cNvSpPr/>
                          </a:nvSpPr>
                          <a:spPr>
                            <a:xfrm>
                              <a:off x="6429388" y="3214686"/>
                              <a:ext cx="593432" cy="369332"/>
                            </a:xfrm>
                            <a:prstGeom prst="rect">
                              <a:avLst/>
                            </a:prstGeom>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dirty="0" smtClean="0"/>
                                  <a:t>0.64</a:t>
                                </a:r>
                                <a:endParaRPr lang="zh-CN" altLang="en-US" dirty="0" smtClean="0"/>
                              </a:p>
                            </a:txBody>
                            <a:useSpRect/>
                          </a:txSp>
                        </a:sp>
                        <a:sp>
                          <a:nvSpPr>
                            <a:cNvPr id="68" name="矩形 67"/>
                            <a:cNvSpPr/>
                          </a:nvSpPr>
                          <a:spPr>
                            <a:xfrm>
                              <a:off x="7215206" y="2857496"/>
                              <a:ext cx="1428760" cy="1200329"/>
                            </a:xfrm>
                            <a:prstGeom prst="rect">
                              <a:avLst/>
                            </a:prstGeom>
                          </a:spPr>
                          <a:txSp>
                            <a:txBody>
                              <a:bodyPr wrap="squar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dirty="0" smtClean="0"/>
                                  <a:t>经市政管网排入洛阳市中州渠人工湿地处理。</a:t>
                                </a:r>
                                <a:endParaRPr lang="zh-CN" altLang="en-US" dirty="0" smtClean="0"/>
                              </a:p>
                            </a:txBody>
                            <a:useSpRect/>
                          </a:txSp>
                        </a:sp>
                        <a:sp>
                          <a:nvSpPr>
                            <a:cNvPr id="69" name="矩形 68"/>
                            <a:cNvSpPr/>
                          </a:nvSpPr>
                          <a:spPr>
                            <a:xfrm>
                              <a:off x="1714480" y="3214686"/>
                              <a:ext cx="476412" cy="369332"/>
                            </a:xfrm>
                            <a:prstGeom prst="rect">
                              <a:avLst/>
                            </a:prstGeom>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dirty="0" smtClean="0"/>
                                  <a:t>0.8</a:t>
                                </a:r>
                                <a:endParaRPr lang="zh-CN" altLang="en-US" dirty="0" smtClean="0"/>
                              </a:p>
                            </a:txBody>
                            <a:useSpRect/>
                          </a:txSp>
                        </a:sp>
                        <a:sp>
                          <a:nvSpPr>
                            <a:cNvPr id="70" name="矩形 69"/>
                            <a:cNvSpPr/>
                          </a:nvSpPr>
                          <a:spPr>
                            <a:xfrm>
                              <a:off x="1714480" y="2000240"/>
                              <a:ext cx="476412" cy="369332"/>
                            </a:xfrm>
                            <a:prstGeom prst="rect">
                              <a:avLst/>
                            </a:prstGeom>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dirty="0" smtClean="0"/>
                                  <a:t>0.1</a:t>
                                </a:r>
                                <a:endParaRPr lang="zh-CN" altLang="en-US" dirty="0" smtClean="0"/>
                              </a:p>
                            </a:txBody>
                            <a:useSpRect/>
                          </a:txSp>
                        </a:sp>
                        <a:sp>
                          <a:nvSpPr>
                            <a:cNvPr id="71" name="矩形 70"/>
                            <a:cNvSpPr/>
                          </a:nvSpPr>
                          <a:spPr>
                            <a:xfrm>
                              <a:off x="785786" y="2928934"/>
                              <a:ext cx="476412" cy="369332"/>
                            </a:xfrm>
                            <a:prstGeom prst="rect">
                              <a:avLst/>
                            </a:prstGeom>
                          </a:spPr>
                          <a:txSp>
                            <a:txBody>
                              <a:bodyPr wrap="none">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dirty="0" smtClean="0"/>
                                  <a:t>0.9</a:t>
                                </a:r>
                                <a:endParaRPr lang="zh-CN" altLang="en-US" dirty="0" smtClean="0"/>
                              </a:p>
                            </a:txBody>
                            <a:useSpRect/>
                          </a:txSp>
                        </a:sp>
                        <a:cxnSp>
                          <a:nvCxnSpPr>
                            <a:cNvPr id="73" name="直接箭头连接符 72"/>
                            <a:cNvCxnSpPr/>
                          </a:nvCxnSpPr>
                          <a:spPr>
                            <a:xfrm flipV="1">
                              <a:off x="3571868" y="1785926"/>
                              <a:ext cx="428628" cy="285752"/>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76" name="直接箭头连接符 75"/>
                            <a:cNvCxnSpPr/>
                          </a:nvCxnSpPr>
                          <a:spPr>
                            <a:xfrm flipV="1">
                              <a:off x="3428992" y="3143248"/>
                              <a:ext cx="500066" cy="142876"/>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80" name="直接连接符 79"/>
                            <a:cNvCxnSpPr/>
                          </a:nvCxnSpPr>
                          <a:spPr>
                            <a:xfrm>
                              <a:off x="4143372" y="2285992"/>
                              <a:ext cx="928694"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2" name="直接箭头连接符 81"/>
                            <a:cNvCxnSpPr/>
                          </a:nvCxnSpPr>
                          <a:spPr>
                            <a:xfrm rot="5400000">
                              <a:off x="4820066" y="2537992"/>
                              <a:ext cx="504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4" name="直接连接符 83"/>
                            <a:cNvCxnSpPr/>
                          </a:nvCxnSpPr>
                          <a:spPr>
                            <a:xfrm>
                              <a:off x="3786182" y="2786058"/>
                              <a:ext cx="1296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6" name="直接箭头连接符 85"/>
                            <a:cNvCxnSpPr/>
                          </a:nvCxnSpPr>
                          <a:spPr>
                            <a:xfrm rot="5400000" flipH="1" flipV="1">
                              <a:off x="3679819" y="2678107"/>
                              <a:ext cx="214314"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14:paraId="3AE7B4A6">
            <w:pPr>
              <w:pStyle w:val="156"/>
              <w:ind w:firstLine="482"/>
              <w:jc w:val="center"/>
              <w:rPr>
                <w:rFonts w:ascii="黑体" w:hAnsi="黑体" w:eastAsia="黑体"/>
                <w:b/>
                <w:u w:val="single"/>
              </w:rPr>
            </w:pPr>
            <w:r>
              <w:rPr>
                <w:rFonts w:hAnsi="黑体" w:eastAsia="黑体" w:cs="Times New Roman"/>
                <w:b/>
                <w:u w:val="single"/>
              </w:rPr>
              <w:t>图</w:t>
            </w:r>
            <w:r>
              <w:rPr>
                <w:rFonts w:eastAsia="黑体" w:cs="Times New Roman"/>
                <w:b/>
                <w:u w:val="single"/>
              </w:rPr>
              <w:t xml:space="preserve">2-1  </w:t>
            </w:r>
            <w:r>
              <w:rPr>
                <w:rFonts w:hint="eastAsia" w:ascii="黑体" w:hAnsi="黑体" w:eastAsia="黑体"/>
                <w:b/>
                <w:u w:val="single"/>
              </w:rPr>
              <w:t xml:space="preserve">             </w:t>
            </w:r>
            <w:r>
              <w:rPr>
                <w:rFonts w:ascii="黑体" w:hAnsi="黑体" w:eastAsia="黑体"/>
                <w:b/>
                <w:u w:val="single"/>
              </w:rPr>
              <w:t>项目水平衡图</w:t>
            </w:r>
            <w:r>
              <w:rPr>
                <w:rFonts w:hint="eastAsia" w:ascii="黑体" w:hAnsi="黑体" w:eastAsia="黑体"/>
                <w:b/>
                <w:u w:val="single"/>
              </w:rPr>
              <w:t xml:space="preserve">           </w:t>
            </w:r>
            <w:r>
              <w:rPr>
                <w:rFonts w:ascii="黑体" w:hAnsi="黑体" w:eastAsia="黑体"/>
                <w:b/>
                <w:u w:val="single"/>
              </w:rPr>
              <w:t>单位：m</w:t>
            </w:r>
            <w:r>
              <w:rPr>
                <w:rFonts w:ascii="黑体" w:hAnsi="黑体" w:eastAsia="黑体"/>
                <w:b/>
                <w:u w:val="single"/>
                <w:vertAlign w:val="superscript"/>
              </w:rPr>
              <w:t>3</w:t>
            </w:r>
            <w:r>
              <w:rPr>
                <w:rFonts w:ascii="黑体" w:hAnsi="黑体" w:eastAsia="黑体"/>
                <w:b/>
                <w:u w:val="single"/>
              </w:rPr>
              <w:t>/d</w:t>
            </w:r>
          </w:p>
          <w:p w14:paraId="6D9FD9DC">
            <w:pPr>
              <w:pStyle w:val="156"/>
              <w:ind w:firstLine="480"/>
              <w:rPr>
                <w:rFonts w:eastAsia="宋体" w:cs="Times New Roman"/>
              </w:rPr>
            </w:pPr>
            <w:r>
              <w:rPr>
                <w:rFonts w:eastAsia="宋体" w:cs="Times New Roman"/>
              </w:rPr>
              <w:t>（</w:t>
            </w:r>
            <w:r>
              <w:rPr>
                <w:rFonts w:hint="eastAsia" w:eastAsia="宋体" w:cs="Times New Roman"/>
              </w:rPr>
              <w:t>2</w:t>
            </w:r>
            <w:r>
              <w:rPr>
                <w:rFonts w:eastAsia="宋体" w:cs="Times New Roman"/>
              </w:rPr>
              <w:t>）物料平衡</w:t>
            </w:r>
          </w:p>
          <w:p w14:paraId="507ECC2D">
            <w:pPr>
              <w:pStyle w:val="182"/>
              <w:ind w:firstLine="588" w:firstLineChars="245"/>
              <w:jc w:val="center"/>
            </w:pPr>
            <w:r>
              <w:drawing>
                <wp:anchor distT="0" distB="0" distL="114300" distR="114300" simplePos="0" relativeHeight="251664384" behindDoc="0" locked="0" layoutInCell="1" allowOverlap="1">
                  <wp:simplePos x="0" y="0"/>
                  <wp:positionH relativeFrom="column">
                    <wp:posOffset>303530</wp:posOffset>
                  </wp:positionH>
                  <wp:positionV relativeFrom="paragraph">
                    <wp:posOffset>184150</wp:posOffset>
                  </wp:positionV>
                  <wp:extent cx="5398135" cy="4126865"/>
                  <wp:effectExtent l="19050" t="0" r="0" b="0"/>
                  <wp:wrapSquare wrapText="bothSides"/>
                  <wp:docPr id="5" name="图片 5" descr="C:\Users\1\Desktop\a7808c625d1ca757afe0ed6963cc4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Desktop\a7808c625d1ca757afe0ed6963cc47e.png"/>
                          <pic:cNvPicPr>
                            <a:picLocks noChangeAspect="1" noChangeArrowheads="1"/>
                          </pic:cNvPicPr>
                        </pic:nvPicPr>
                        <pic:blipFill>
                          <a:blip r:embed="rId8" cstate="print"/>
                          <a:stretch>
                            <a:fillRect/>
                          </a:stretch>
                        </pic:blipFill>
                        <pic:spPr>
                          <a:xfrm>
                            <a:off x="0" y="0"/>
                            <a:ext cx="5398135" cy="4126865"/>
                          </a:xfrm>
                          <a:prstGeom prst="rect">
                            <a:avLst/>
                          </a:prstGeom>
                          <a:noFill/>
                          <a:ln w="9525">
                            <a:noFill/>
                            <a:miter lim="800000"/>
                            <a:headEnd/>
                            <a:tailEnd/>
                          </a:ln>
                        </pic:spPr>
                      </pic:pic>
                    </a:graphicData>
                  </a:graphic>
                </wp:anchor>
              </w:drawing>
            </w:r>
            <w:r>
              <w:t>图2-</w:t>
            </w:r>
            <w:r>
              <w:rPr>
                <w:rFonts w:hint="eastAsia"/>
              </w:rPr>
              <w:t xml:space="preserve">2          </w:t>
            </w:r>
            <w:r>
              <w:t>注塑工艺</w:t>
            </w:r>
            <w:r>
              <w:rPr>
                <w:rFonts w:hint="eastAsia"/>
              </w:rPr>
              <w:t>鞋底片</w:t>
            </w:r>
            <w:r>
              <w:t>物料平衡图</w:t>
            </w:r>
            <w:r>
              <w:rPr>
                <w:rFonts w:hint="eastAsia"/>
              </w:rPr>
              <w:t xml:space="preserve">            </w:t>
            </w:r>
            <w:r>
              <w:t>单位：t/a</w:t>
            </w:r>
          </w:p>
          <w:p w14:paraId="626CE11D">
            <w:pPr>
              <w:jc w:val="center"/>
            </w:pPr>
          </w:p>
          <w:p w14:paraId="3CDBEE69"/>
          <w:p w14:paraId="61158ED7">
            <w:pPr>
              <w:spacing w:before="100" w:beforeAutospacing="1" w:after="100" w:afterAutospacing="1"/>
              <w:jc w:val="center"/>
            </w:pPr>
            <w:r>
              <w:drawing>
                <wp:inline distT="0" distB="0" distL="0" distR="0">
                  <wp:extent cx="4690745" cy="5077460"/>
                  <wp:effectExtent l="19050" t="0" r="0" b="0"/>
                  <wp:docPr id="3" name="图片 3" descr="C:\Users\1\Desktop\聚氨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Desktop\聚氨酯.png"/>
                          <pic:cNvPicPr>
                            <a:picLocks noChangeAspect="1" noChangeArrowheads="1"/>
                          </pic:cNvPicPr>
                        </pic:nvPicPr>
                        <pic:blipFill>
                          <a:blip r:embed="rId9" cstate="print"/>
                          <a:srcRect/>
                          <a:stretch>
                            <a:fillRect/>
                          </a:stretch>
                        </pic:blipFill>
                        <pic:spPr>
                          <a:xfrm>
                            <a:off x="0" y="0"/>
                            <a:ext cx="4700835" cy="5088450"/>
                          </a:xfrm>
                          <a:prstGeom prst="rect">
                            <a:avLst/>
                          </a:prstGeom>
                          <a:noFill/>
                          <a:ln w="9525">
                            <a:noFill/>
                            <a:miter lim="800000"/>
                            <a:headEnd/>
                            <a:tailEnd/>
                          </a:ln>
                        </pic:spPr>
                      </pic:pic>
                    </a:graphicData>
                  </a:graphic>
                </wp:inline>
              </w:drawing>
            </w:r>
          </w:p>
          <w:p w14:paraId="128A350F">
            <w:pPr>
              <w:pStyle w:val="182"/>
              <w:ind w:firstLine="480"/>
              <w:jc w:val="center"/>
            </w:pPr>
            <w:r>
              <w:t>图2-</w:t>
            </w:r>
            <w:r>
              <w:rPr>
                <w:rFonts w:hint="eastAsia"/>
              </w:rPr>
              <w:t>3           聚氨酯工艺布鞋</w:t>
            </w:r>
            <w:r>
              <w:t>物料平衡图</w:t>
            </w:r>
            <w:r>
              <w:rPr>
                <w:rFonts w:hint="eastAsia"/>
              </w:rPr>
              <w:t xml:space="preserve">      </w:t>
            </w:r>
            <w:r>
              <w:t>单位：t/a</w:t>
            </w:r>
          </w:p>
        </w:tc>
      </w:tr>
      <w:tr w14:paraId="34CA6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429" w:hRule="atLeast"/>
          <w:jc w:val="center"/>
        </w:trPr>
        <w:tc>
          <w:tcPr>
            <w:tcW w:w="5000" w:type="pct"/>
            <w:tcBorders>
              <w:top w:val="single" w:color="auto" w:sz="12" w:space="0"/>
              <w:bottom w:val="single" w:color="auto" w:sz="12" w:space="0"/>
            </w:tcBorders>
            <w:tcMar>
              <w:top w:w="0" w:type="dxa"/>
              <w:left w:w="108" w:type="dxa"/>
              <w:bottom w:w="0" w:type="dxa"/>
              <w:right w:w="108" w:type="dxa"/>
            </w:tcMar>
          </w:tcPr>
          <w:p w14:paraId="2AF77A0E">
            <w:pPr>
              <w:pStyle w:val="158"/>
              <w:spacing w:before="156"/>
            </w:pPr>
            <w:r>
              <w:t>工艺流程和产排污环节</w:t>
            </w:r>
          </w:p>
          <w:p w14:paraId="1BE84160">
            <w:pPr>
              <w:pStyle w:val="157"/>
            </w:pPr>
            <w:r>
              <w:t>1、注塑工艺鞋底片生产线</w:t>
            </w:r>
          </w:p>
          <w:p w14:paraId="4E113B5E">
            <w:pPr>
              <w:pStyle w:val="45"/>
              <w:jc w:val="center"/>
            </w:pPr>
            <w:r>
              <w:pict>
                <v:shape id="_x0000_s2077" o:spid="_x0000_s2077" o:spt="202" type="#_x0000_t202" style="position:absolute;left:0pt;margin-left:233.3pt;margin-top:288.6pt;height:26.85pt;width:116.9pt;z-index:251662336;mso-width-relative:margin;mso-height-relative:margin;" filled="f" stroked="f" coordsize="21600,21600">
                  <v:path/>
                  <v:fill on="f" focussize="0,0"/>
                  <v:stroke on="f" joinstyle="miter"/>
                  <v:imagedata o:title=""/>
                  <o:lock v:ext="edit"/>
                  <v:textbox>
                    <w:txbxContent>
                      <w:p w14:paraId="4230D379">
                        <w:pPr>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G：废气 W：废水</w:t>
                        </w:r>
                        <w:r>
                          <w:rPr>
                            <w:rFonts w:asciiTheme="minorEastAsia" w:hAnsiTheme="minorEastAsia" w:eastAsiaTheme="minorEastAsia"/>
                            <w:sz w:val="21"/>
                            <w:szCs w:val="21"/>
                          </w:rPr>
                          <w:t>）</w:t>
                        </w:r>
                      </w:p>
                    </w:txbxContent>
                  </v:textbox>
                </v:shape>
              </w:pict>
            </w:r>
            <w:r>
              <w:rPr>
                <w:rFonts w:cs="Times New Roman"/>
              </w:rPr>
              <w:object>
                <v:shape id="_x0000_i1025" o:spt="75" type="#_x0000_t75" style="height:309.75pt;width:210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14:paraId="33DA19C4">
            <w:pPr>
              <w:pStyle w:val="182"/>
              <w:ind w:firstLine="480"/>
              <w:jc w:val="center"/>
            </w:pPr>
            <w:r>
              <w:t>图2-</w:t>
            </w:r>
            <w:r>
              <w:rPr>
                <w:rFonts w:hint="eastAsia"/>
              </w:rPr>
              <w:t xml:space="preserve">4     </w:t>
            </w:r>
            <w:r>
              <w:t>注塑工艺鞋底片生产线工艺流程及产污环节图</w:t>
            </w:r>
          </w:p>
          <w:p w14:paraId="13703FD8">
            <w:pPr>
              <w:pStyle w:val="156"/>
              <w:ind w:firstLine="480"/>
              <w:rPr>
                <w:rFonts w:eastAsia="宋体" w:cs="Times New Roman"/>
              </w:rPr>
            </w:pPr>
            <w:r>
              <w:rPr>
                <w:rFonts w:eastAsia="宋体" w:cs="Times New Roman"/>
              </w:rPr>
              <w:t>工艺流程简述：</w:t>
            </w:r>
          </w:p>
          <w:p w14:paraId="418E2453">
            <w:pPr>
              <w:pStyle w:val="156"/>
              <w:ind w:firstLine="480"/>
              <w:rPr>
                <w:rFonts w:eastAsia="宋体" w:cs="Times New Roman"/>
              </w:rPr>
            </w:pPr>
            <w:r>
              <w:rPr>
                <w:rFonts w:eastAsia="宋体" w:cs="Times New Roman"/>
              </w:rPr>
              <w:t>（</w:t>
            </w:r>
            <w:r>
              <w:rPr>
                <w:rFonts w:hint="eastAsia" w:eastAsia="宋体" w:cs="Times New Roman"/>
              </w:rPr>
              <w:t>1</w:t>
            </w:r>
            <w:r>
              <w:rPr>
                <w:rFonts w:eastAsia="宋体" w:cs="Times New Roman"/>
              </w:rPr>
              <w:t>）</w:t>
            </w:r>
            <w:r>
              <w:rPr>
                <w:rFonts w:hint="eastAsia" w:eastAsia="宋体" w:cs="Times New Roman"/>
              </w:rPr>
              <w:t>混合搅拌：</w:t>
            </w:r>
          </w:p>
          <w:p w14:paraId="5FC4A6FE">
            <w:pPr>
              <w:pStyle w:val="156"/>
              <w:ind w:firstLine="480"/>
              <w:rPr>
                <w:rFonts w:eastAsia="宋体" w:cs="Times New Roman"/>
              </w:rPr>
            </w:pPr>
            <w:r>
              <w:rPr>
                <w:rFonts w:cs="Times New Roman"/>
                <w:bCs/>
              </w:rPr>
              <w:t>PVC鞋底片料（PVC树脂、二丁酯、钙粉等）按比例通过人工投料至搅拌机内，搅拌均匀</w:t>
            </w:r>
            <w:r>
              <w:rPr>
                <w:rFonts w:hint="eastAsia" w:cs="Times New Roman"/>
                <w:bCs/>
              </w:rPr>
              <w:t>后运至注塑机旁，通过打料锅进行二次搅拌并加热。</w:t>
            </w:r>
          </w:p>
          <w:p w14:paraId="55FCBE71">
            <w:pPr>
              <w:pStyle w:val="156"/>
              <w:ind w:firstLine="480"/>
              <w:rPr>
                <w:rFonts w:eastAsia="宋体" w:cs="Times New Roman"/>
              </w:rPr>
            </w:pPr>
            <w:r>
              <w:rPr>
                <w:rFonts w:eastAsia="宋体" w:cs="Times New Roman"/>
              </w:rPr>
              <w:t>（</w:t>
            </w:r>
            <w:r>
              <w:rPr>
                <w:rFonts w:hint="eastAsia" w:eastAsia="宋体" w:cs="Times New Roman"/>
              </w:rPr>
              <w:t>2</w:t>
            </w:r>
            <w:r>
              <w:rPr>
                <w:rFonts w:eastAsia="宋体" w:cs="Times New Roman"/>
              </w:rPr>
              <w:t>）注塑</w:t>
            </w:r>
            <w:r>
              <w:rPr>
                <w:rFonts w:hint="eastAsia" w:eastAsia="宋体" w:cs="Times New Roman"/>
              </w:rPr>
              <w:t>：</w:t>
            </w:r>
            <w:r>
              <w:rPr>
                <w:rFonts w:eastAsia="宋体" w:cs="Times New Roman"/>
              </w:rPr>
              <w:t>搅拌后的物料由人工加入料斗里，进而加入热料缸，</w:t>
            </w:r>
            <w:r>
              <w:rPr>
                <w:rFonts w:cs="Times New Roman"/>
              </w:rPr>
              <w:t>再将PVC鞋底片料注入模具中注塑鞋底片</w:t>
            </w:r>
            <w:r>
              <w:rPr>
                <w:rFonts w:eastAsia="宋体" w:cs="Times New Roman"/>
              </w:rPr>
              <w:t>，注塑过程为电加热，加热温度为190</w:t>
            </w:r>
            <w:r>
              <w:rPr>
                <w:rFonts w:hint="eastAsia" w:eastAsia="宋体" w:cs="宋体"/>
              </w:rPr>
              <w:t>℃</w:t>
            </w:r>
            <w:r>
              <w:rPr>
                <w:rFonts w:eastAsia="宋体" w:cs="Times New Roman"/>
              </w:rPr>
              <w:t>左右。该过程会产生非甲烷总烃和氯化氢。</w:t>
            </w:r>
          </w:p>
          <w:p w14:paraId="516270E5">
            <w:pPr>
              <w:pStyle w:val="156"/>
              <w:ind w:firstLine="480"/>
              <w:rPr>
                <w:rFonts w:eastAsia="宋体" w:cs="Times New Roman"/>
              </w:rPr>
            </w:pPr>
            <w:r>
              <w:rPr>
                <w:rFonts w:eastAsia="宋体" w:cs="Times New Roman"/>
              </w:rPr>
              <w:t>（</w:t>
            </w:r>
            <w:r>
              <w:rPr>
                <w:rFonts w:hint="eastAsia" w:eastAsia="宋体" w:cs="Times New Roman"/>
              </w:rPr>
              <w:t>3</w:t>
            </w:r>
            <w:r>
              <w:rPr>
                <w:rFonts w:eastAsia="宋体" w:cs="Times New Roman"/>
              </w:rPr>
              <w:t>）冷却</w:t>
            </w:r>
            <w:r>
              <w:rPr>
                <w:rFonts w:hint="eastAsia" w:eastAsia="宋体" w:cs="Times New Roman"/>
              </w:rPr>
              <w:t>：</w:t>
            </w:r>
            <w:r>
              <w:rPr>
                <w:rFonts w:cs="Times New Roman"/>
              </w:rPr>
              <w:t>注塑好的鞋底片通过定型机冷却定型。鞋底片冷却过程中使用水冷却，冷却水循环使用。</w:t>
            </w:r>
          </w:p>
          <w:p w14:paraId="6A9E4F5B">
            <w:pPr>
              <w:pStyle w:val="156"/>
              <w:ind w:firstLine="480"/>
              <w:rPr>
                <w:rFonts w:eastAsia="宋体" w:cs="Times New Roman"/>
              </w:rPr>
            </w:pPr>
            <w:r>
              <w:rPr>
                <w:rFonts w:eastAsia="宋体" w:cs="Times New Roman"/>
              </w:rPr>
              <w:t>（</w:t>
            </w:r>
            <w:r>
              <w:rPr>
                <w:rFonts w:hint="eastAsia" w:eastAsia="宋体" w:cs="Times New Roman"/>
              </w:rPr>
              <w:t>4</w:t>
            </w:r>
            <w:r>
              <w:rPr>
                <w:rFonts w:eastAsia="宋体" w:cs="Times New Roman"/>
              </w:rPr>
              <w:t>）</w:t>
            </w:r>
            <w:r>
              <w:rPr>
                <w:rFonts w:hint="eastAsia" w:eastAsia="宋体" w:cs="Times New Roman"/>
              </w:rPr>
              <w:t>修边：</w:t>
            </w:r>
            <w:r>
              <w:rPr>
                <w:rFonts w:cs="Times New Roman"/>
              </w:rPr>
              <w:t>人工整理剪去鞋底片的多余的部分等，检验合格后可包装入库。</w:t>
            </w:r>
            <w:r>
              <w:rPr>
                <w:rFonts w:hint="eastAsia" w:eastAsia="宋体"/>
              </w:rPr>
              <w:t>该过程产生修边废料。</w:t>
            </w:r>
          </w:p>
          <w:p w14:paraId="6783464E">
            <w:pPr>
              <w:pStyle w:val="157"/>
            </w:pPr>
            <w:r>
              <w:rPr>
                <w:rFonts w:hint="eastAsia"/>
              </w:rPr>
              <w:t>2、聚氨酯浇注工艺</w:t>
            </w:r>
          </w:p>
          <w:p w14:paraId="6D25DF39">
            <w:pPr>
              <w:pStyle w:val="182"/>
              <w:spacing w:line="520" w:lineRule="exact"/>
              <w:ind w:firstLine="0" w:firstLineChars="0"/>
              <w:jc w:val="center"/>
            </w:pPr>
            <w:r>
              <w:pict>
                <v:shape id="_x0000_s2078" o:spid="_x0000_s2078" o:spt="202" type="#_x0000_t202" style="position:absolute;left:0pt;margin-left:322.35pt;margin-top:358.4pt;height:21.75pt;width:117.25pt;z-index:251663360;mso-width-relative:margin;mso-height-relative:margin;" stroked="f" coordsize="21600,21600">
                  <v:path/>
                  <v:fill focussize="0,0"/>
                  <v:stroke on="f" joinstyle="miter"/>
                  <v:imagedata o:title=""/>
                  <o:lock v:ext="edit"/>
                  <v:textbox>
                    <w:txbxContent>
                      <w:p w14:paraId="1DCC6D26">
                        <w:pPr>
                          <w:rPr>
                            <w:sz w:val="21"/>
                            <w:szCs w:val="21"/>
                          </w:rPr>
                        </w:pPr>
                        <w:r>
                          <w:rPr>
                            <w:rFonts w:hint="eastAsia"/>
                            <w:sz w:val="21"/>
                            <w:szCs w:val="21"/>
                          </w:rPr>
                          <w:t>（G：废气 S：固废）</w:t>
                        </w:r>
                      </w:p>
                    </w:txbxContent>
                  </v:textbox>
                </v:shape>
              </w:pict>
            </w:r>
            <w:r>
              <w:rPr>
                <w:rFonts w:hint="eastAsia"/>
              </w:rPr>
              <w:drawing>
                <wp:anchor distT="0" distB="0" distL="114300" distR="114300" simplePos="0" relativeHeight="251661312" behindDoc="0" locked="0" layoutInCell="1" allowOverlap="1">
                  <wp:simplePos x="0" y="0"/>
                  <wp:positionH relativeFrom="column">
                    <wp:posOffset>843280</wp:posOffset>
                  </wp:positionH>
                  <wp:positionV relativeFrom="paragraph">
                    <wp:posOffset>49530</wp:posOffset>
                  </wp:positionV>
                  <wp:extent cx="3966210" cy="4735830"/>
                  <wp:effectExtent l="19050" t="0" r="0" b="0"/>
                  <wp:wrapTopAndBottom/>
                  <wp:docPr id="2" name="对象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7664307" cy="8272514"/>
                            <a:chOff x="644693" y="396531"/>
                            <a:chExt cx="7664307" cy="8272514"/>
                          </a:xfrm>
                        </a:grpSpPr>
                        <a:sp>
                          <a:nvSpPr>
                            <a:cNvPr id="15" name="TextBox 14"/>
                            <a:cNvSpPr txBox="1"/>
                          </a:nvSpPr>
                          <a:spPr>
                            <a:xfrm>
                              <a:off x="2555863" y="396531"/>
                              <a:ext cx="2500331" cy="584775"/>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600" dirty="0" smtClean="0"/>
                                  <a:t>聚氨酯</a:t>
                                </a:r>
                                <a:r>
                                  <a:rPr lang="en-US" altLang="zh-CN" sz="1600" dirty="0" smtClean="0"/>
                                  <a:t>A</a:t>
                                </a:r>
                                <a:r>
                                  <a:rPr lang="zh-CN" altLang="en-US" sz="1600" dirty="0" smtClean="0"/>
                                  <a:t>料、</a:t>
                                </a:r>
                                <a:r>
                                  <a:rPr lang="en-US" altLang="zh-CN" sz="1600" dirty="0" smtClean="0"/>
                                  <a:t>B</a:t>
                                </a:r>
                                <a:r>
                                  <a:rPr lang="zh-CN" altLang="en-US" sz="1600" dirty="0" smtClean="0"/>
                                  <a:t>料、</a:t>
                                </a:r>
                                <a:r>
                                  <a:rPr lang="en-US" altLang="zh-CN" sz="1600" dirty="0" smtClean="0"/>
                                  <a:t>C</a:t>
                                </a:r>
                                <a:r>
                                  <a:rPr lang="zh-CN" altLang="en-US" sz="1600" dirty="0" smtClean="0"/>
                                  <a:t>料、色浆</a:t>
                                </a:r>
                                <a:endParaRPr lang="zh-CN" altLang="en-US" sz="1600" dirty="0" smtClean="0"/>
                              </a:p>
                            </a:txBody>
                            <a:useSpRect/>
                          </a:txSp>
                        </a:sp>
                        <a:sp>
                          <a:nvSpPr>
                            <a:cNvPr id="16" name="TextBox 15"/>
                            <a:cNvSpPr txBox="1"/>
                          </a:nvSpPr>
                          <a:spPr>
                            <a:xfrm>
                              <a:off x="3072757" y="2482405"/>
                              <a:ext cx="1428760" cy="369332"/>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中转罐</a:t>
                                </a:r>
                                <a:endParaRPr lang="zh-CN" altLang="en-US" dirty="0"/>
                              </a:p>
                            </a:txBody>
                            <a:useSpRect/>
                          </a:txSp>
                        </a:sp>
                        <a:cxnSp>
                          <a:nvCxnSpPr>
                            <a:cNvPr id="17" name="直接箭头连接符 16"/>
                            <a:cNvCxnSpPr/>
                          </a:nvCxnSpPr>
                          <a:spPr>
                            <a:xfrm rot="5400000">
                              <a:off x="3499137" y="2170435"/>
                              <a:ext cx="5760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4717099" y="4771205"/>
                              <a:ext cx="1429200" cy="3708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浇注</a:t>
                                </a:r>
                                <a:endParaRPr lang="zh-CN" altLang="en-US" dirty="0" smtClean="0"/>
                              </a:p>
                              <a:p>
                                <a:pPr algn="ctr"/>
                                <a:endParaRPr lang="zh-CN" altLang="en-US" dirty="0"/>
                              </a:p>
                            </a:txBody>
                            <a:useSpRect/>
                          </a:txSp>
                        </a:sp>
                        <a:cxnSp>
                          <a:nvCxnSpPr>
                            <a:cNvPr id="21" name="直接箭头连接符 20"/>
                            <a:cNvCxnSpPr/>
                          </a:nvCxnSpPr>
                          <a:spPr>
                            <a:xfrm rot="5400000">
                              <a:off x="5195679" y="4547127"/>
                              <a:ext cx="4716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2" name="TextBox 21"/>
                            <a:cNvSpPr txBox="1"/>
                          </a:nvSpPr>
                          <a:spPr>
                            <a:xfrm>
                              <a:off x="4717099" y="5628461"/>
                              <a:ext cx="1429200" cy="3708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烘干</a:t>
                                </a:r>
                                <a:endParaRPr lang="zh-CN" altLang="en-US" dirty="0" smtClean="0"/>
                              </a:p>
                              <a:p>
                                <a:pPr algn="ctr"/>
                                <a:endParaRPr lang="zh-CN" altLang="en-US" dirty="0"/>
                              </a:p>
                            </a:txBody>
                            <a:useSpRect/>
                          </a:txSp>
                        </a:sp>
                        <a:sp>
                          <a:nvSpPr>
                            <a:cNvPr id="33" name="TextBox 32"/>
                            <a:cNvSpPr txBox="1"/>
                          </a:nvSpPr>
                          <a:spPr>
                            <a:xfrm>
                              <a:off x="4786960" y="3347708"/>
                              <a:ext cx="1428760" cy="369332"/>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喷脱模剂</a:t>
                                </a:r>
                                <a:endParaRPr lang="zh-CN" altLang="en-US" dirty="0"/>
                              </a:p>
                            </a:txBody>
                            <a:useSpRect/>
                          </a:txSp>
                        </a:sp>
                        <a:sp>
                          <a:nvSpPr>
                            <a:cNvPr id="38" name="TextBox 37"/>
                            <a:cNvSpPr txBox="1"/>
                          </a:nvSpPr>
                          <a:spPr>
                            <a:xfrm>
                              <a:off x="3072757" y="3342445"/>
                              <a:ext cx="1428760" cy="369332"/>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混合搅拌</a:t>
                                </a:r>
                                <a:endParaRPr lang="zh-CN" altLang="en-US" dirty="0"/>
                              </a:p>
                            </a:txBody>
                            <a:useSpRect/>
                          </a:txSp>
                        </a:sp>
                        <a:cxnSp>
                          <a:nvCxnSpPr>
                            <a:cNvPr id="43" name="直接箭头连接符 42"/>
                            <a:cNvCxnSpPr/>
                          </a:nvCxnSpPr>
                          <a:spPr>
                            <a:xfrm rot="5400000">
                              <a:off x="3551337" y="3075395"/>
                              <a:ext cx="4716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5" name="直接箭头连接符 44"/>
                            <a:cNvCxnSpPr/>
                          </a:nvCxnSpPr>
                          <a:spPr>
                            <a:xfrm>
                              <a:off x="5435619" y="3741287"/>
                              <a:ext cx="0" cy="575945"/>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4" name="直接箭头连接符 53"/>
                            <a:cNvCxnSpPr/>
                          </a:nvCxnSpPr>
                          <a:spPr>
                            <a:xfrm rot="5400000">
                              <a:off x="5195679" y="5404383"/>
                              <a:ext cx="4716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5" name="直接箭头连接符 54"/>
                            <a:cNvCxnSpPr/>
                          </a:nvCxnSpPr>
                          <a:spPr>
                            <a:xfrm rot="5400000">
                              <a:off x="5195679" y="6261639"/>
                              <a:ext cx="4716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4717099" y="6557155"/>
                              <a:ext cx="1429200" cy="3708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脱模</a:t>
                                </a:r>
                                <a:endParaRPr lang="zh-CN" altLang="en-US" dirty="0" smtClean="0"/>
                              </a:p>
                              <a:p>
                                <a:pPr algn="ctr"/>
                                <a:endParaRPr lang="zh-CN" altLang="en-US" dirty="0"/>
                              </a:p>
                            </a:txBody>
                            <a:useSpRect/>
                          </a:txSp>
                        </a:sp>
                        <a:sp>
                          <a:nvSpPr>
                            <a:cNvPr id="61" name="TextBox 60"/>
                            <a:cNvSpPr txBox="1"/>
                          </a:nvSpPr>
                          <a:spPr>
                            <a:xfrm>
                              <a:off x="4717099" y="8298245"/>
                              <a:ext cx="1429200" cy="3708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包装入库</a:t>
                                </a:r>
                                <a:endParaRPr lang="en-US" altLang="zh-CN" dirty="0" smtClean="0"/>
                              </a:p>
                              <a:p>
                                <a:pPr algn="ctr"/>
                                <a:endParaRPr lang="zh-CN" altLang="en-US" dirty="0" smtClean="0"/>
                              </a:p>
                              <a:p>
                                <a:pPr algn="ctr"/>
                                <a:endParaRPr lang="zh-CN" altLang="en-US" dirty="0"/>
                              </a:p>
                            </a:txBody>
                            <a:useSpRect/>
                          </a:txSp>
                        </a:sp>
                        <a:sp>
                          <a:nvSpPr>
                            <a:cNvPr id="62" name="TextBox 61"/>
                            <a:cNvSpPr txBox="1"/>
                          </a:nvSpPr>
                          <a:spPr>
                            <a:xfrm>
                              <a:off x="4717099" y="7414411"/>
                              <a:ext cx="1429200" cy="3708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修边</a:t>
                                </a:r>
                                <a:endParaRPr lang="zh-CN" altLang="en-US" dirty="0" smtClean="0"/>
                              </a:p>
                              <a:p>
                                <a:pPr algn="ctr"/>
                                <a:endParaRPr lang="zh-CN" altLang="en-US" dirty="0"/>
                              </a:p>
                            </a:txBody>
                            <a:useSpRect/>
                          </a:txSp>
                        </a:sp>
                        <a:cxnSp>
                          <a:nvCxnSpPr>
                            <a:cNvPr id="63" name="直接箭头连接符 62"/>
                            <a:cNvCxnSpPr/>
                          </a:nvCxnSpPr>
                          <a:spPr>
                            <a:xfrm rot="5400000">
                              <a:off x="5195679" y="7150145"/>
                              <a:ext cx="4716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4" name="直接箭头连接符 63"/>
                            <a:cNvCxnSpPr/>
                          </a:nvCxnSpPr>
                          <a:spPr>
                            <a:xfrm rot="5400000">
                              <a:off x="5195679" y="8047589"/>
                              <a:ext cx="4716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 name="直接箭头连接符 26"/>
                            <a:cNvCxnSpPr/>
                          </a:nvCxnSpPr>
                          <a:spPr>
                            <a:xfrm flipV="1">
                              <a:off x="4287203" y="2239625"/>
                              <a:ext cx="357190" cy="214314"/>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28" name="TextBox 27"/>
                            <a:cNvSpPr txBox="1"/>
                          </a:nvSpPr>
                          <a:spPr>
                            <a:xfrm>
                              <a:off x="4644393" y="2025311"/>
                              <a:ext cx="500066"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t>G</a:t>
                                </a:r>
                                <a:endParaRPr lang="zh-CN" altLang="en-US" b="1" dirty="0"/>
                              </a:p>
                            </a:txBody>
                            <a:useSpRect/>
                          </a:txSp>
                        </a:sp>
                        <a:cxnSp>
                          <a:nvCxnSpPr>
                            <a:cNvPr id="36" name="直接箭头连接符 35"/>
                            <a:cNvCxnSpPr/>
                          </a:nvCxnSpPr>
                          <a:spPr>
                            <a:xfrm flipV="1">
                              <a:off x="6145859" y="4954269"/>
                              <a:ext cx="357190" cy="0"/>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37" name="TextBox 36"/>
                            <a:cNvSpPr txBox="1"/>
                          </a:nvSpPr>
                          <a:spPr>
                            <a:xfrm>
                              <a:off x="6503049" y="4739955"/>
                              <a:ext cx="500066"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t>G</a:t>
                                </a:r>
                                <a:endParaRPr lang="zh-CN" altLang="en-US" b="1" dirty="0"/>
                              </a:p>
                            </a:txBody>
                            <a:useSpRect/>
                          </a:txSp>
                        </a:sp>
                        <a:cxnSp>
                          <a:nvCxnSpPr>
                            <a:cNvPr id="39" name="直接箭头连接符 38"/>
                            <a:cNvCxnSpPr/>
                          </a:nvCxnSpPr>
                          <a:spPr>
                            <a:xfrm flipV="1">
                              <a:off x="6145859" y="5811525"/>
                              <a:ext cx="357190" cy="0"/>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0" name="TextBox 39"/>
                            <a:cNvSpPr txBox="1"/>
                          </a:nvSpPr>
                          <a:spPr>
                            <a:xfrm>
                              <a:off x="6144599" y="2842879"/>
                              <a:ext cx="500066"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t>G</a:t>
                                </a:r>
                                <a:endParaRPr lang="zh-CN" altLang="en-US" b="1" dirty="0"/>
                              </a:p>
                            </a:txBody>
                            <a:useSpRect/>
                          </a:txSp>
                        </a:sp>
                        <a:cxnSp>
                          <a:nvCxnSpPr>
                            <a:cNvPr id="41" name="直接箭头连接符 40"/>
                            <a:cNvCxnSpPr/>
                          </a:nvCxnSpPr>
                          <a:spPr>
                            <a:xfrm flipV="1">
                              <a:off x="6145859" y="7597475"/>
                              <a:ext cx="357190" cy="0"/>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42" name="TextBox 41"/>
                            <a:cNvSpPr txBox="1"/>
                          </a:nvSpPr>
                          <a:spPr>
                            <a:xfrm>
                              <a:off x="6503049" y="7383161"/>
                              <a:ext cx="500066"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t>S</a:t>
                                </a:r>
                                <a:endParaRPr lang="zh-CN" altLang="en-US" b="1" dirty="0"/>
                              </a:p>
                            </a:txBody>
                            <a:useSpRect/>
                          </a:txSp>
                        </a:sp>
                        <a:sp>
                          <a:nvSpPr>
                            <a:cNvPr id="44" name="TextBox 43"/>
                            <a:cNvSpPr txBox="1"/>
                          </a:nvSpPr>
                          <a:spPr>
                            <a:xfrm>
                              <a:off x="2573959" y="4797783"/>
                              <a:ext cx="1429200" cy="3708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套楦</a:t>
                                </a:r>
                                <a:endParaRPr lang="zh-CN" altLang="en-US" dirty="0" smtClean="0"/>
                              </a:p>
                              <a:p>
                                <a:pPr algn="ctr"/>
                                <a:endParaRPr lang="zh-CN" altLang="en-US" dirty="0"/>
                              </a:p>
                            </a:txBody>
                            <a:useSpRect/>
                          </a:txSp>
                        </a:sp>
                        <a:sp>
                          <a:nvSpPr>
                            <a:cNvPr id="46" name="TextBox 45"/>
                            <a:cNvSpPr txBox="1"/>
                          </a:nvSpPr>
                          <a:spPr>
                            <a:xfrm>
                              <a:off x="644693" y="3940527"/>
                              <a:ext cx="1429200" cy="3708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加热软化</a:t>
                                </a:r>
                                <a:endParaRPr lang="zh-CN" altLang="en-US" dirty="0" smtClean="0"/>
                              </a:p>
                              <a:p>
                                <a:pPr algn="ctr"/>
                                <a:endParaRPr lang="zh-CN" altLang="en-US" dirty="0"/>
                              </a:p>
                            </a:txBody>
                            <a:useSpRect/>
                          </a:txSp>
                        </a:sp>
                        <a:cxnSp>
                          <a:nvCxnSpPr>
                            <a:cNvPr id="48" name="直接连接符 47"/>
                            <a:cNvCxnSpPr/>
                          </a:nvCxnSpPr>
                          <a:spPr>
                            <a:xfrm rot="5400000">
                              <a:off x="1053403" y="4648159"/>
                              <a:ext cx="612000" cy="22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3" name="直接箭头连接符 52"/>
                            <a:cNvCxnSpPr/>
                          </a:nvCxnSpPr>
                          <a:spPr>
                            <a:xfrm rot="5400000">
                              <a:off x="1123713" y="3646899"/>
                              <a:ext cx="4716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6" name="TextBox 55"/>
                            <a:cNvSpPr txBox="1"/>
                          </a:nvSpPr>
                          <a:spPr>
                            <a:xfrm>
                              <a:off x="753719" y="3058684"/>
                              <a:ext cx="1285884" cy="337185"/>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600" dirty="0" smtClean="0"/>
                                  <a:t>鞋面</a:t>
                                </a:r>
                                <a:endParaRPr lang="zh-CN" altLang="en-US" sz="1600" dirty="0" smtClean="0"/>
                              </a:p>
                            </a:txBody>
                            <a:useSpRect/>
                          </a:txSp>
                        </a:sp>
                        <a:cxnSp>
                          <a:nvCxnSpPr>
                            <a:cNvPr id="57" name="直接箭头连接符 56"/>
                            <a:cNvCxnSpPr/>
                          </a:nvCxnSpPr>
                          <a:spPr>
                            <a:xfrm>
                              <a:off x="4002719" y="4954269"/>
                              <a:ext cx="703267"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0" name="直接箭头连接符 59"/>
                            <a:cNvCxnSpPr/>
                          </a:nvCxnSpPr>
                          <a:spPr>
                            <a:xfrm flipV="1">
                              <a:off x="5929967" y="3136886"/>
                              <a:ext cx="285752" cy="214314"/>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5" name="TextBox 64"/>
                            <a:cNvSpPr txBox="1"/>
                          </a:nvSpPr>
                          <a:spPr>
                            <a:xfrm>
                              <a:off x="6503049" y="5597211"/>
                              <a:ext cx="500066"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t>G</a:t>
                                </a:r>
                                <a:endParaRPr lang="zh-CN" altLang="en-US" b="1" dirty="0"/>
                              </a:p>
                            </a:txBody>
                            <a:useSpRect/>
                          </a:txSp>
                        </a:sp>
                        <a:cxnSp>
                          <a:nvCxnSpPr>
                            <a:cNvPr id="50" name="直接箭头连接符 49"/>
                            <a:cNvCxnSpPr/>
                          </a:nvCxnSpPr>
                          <a:spPr>
                            <a:xfrm rot="5400000">
                              <a:off x="3570575" y="4023327"/>
                              <a:ext cx="5760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2" name="直接连接符 51"/>
                            <a:cNvCxnSpPr/>
                          </a:nvCxnSpPr>
                          <a:spPr>
                            <a:xfrm flipV="1">
                              <a:off x="3858575" y="4311327"/>
                              <a:ext cx="32400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6" name="直接箭头连接符 65"/>
                            <a:cNvCxnSpPr/>
                          </a:nvCxnSpPr>
                          <a:spPr>
                            <a:xfrm flipV="1">
                              <a:off x="4287203" y="3096881"/>
                              <a:ext cx="357190" cy="214314"/>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7" name="TextBox 66"/>
                            <a:cNvSpPr txBox="1"/>
                          </a:nvSpPr>
                          <a:spPr>
                            <a:xfrm>
                              <a:off x="4715831" y="2882567"/>
                              <a:ext cx="500066"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t>G</a:t>
                                </a:r>
                                <a:endParaRPr lang="zh-CN" altLang="en-US" b="1" dirty="0"/>
                              </a:p>
                            </a:txBody>
                            <a:useSpRect/>
                          </a:txSp>
                        </a:sp>
                        <a:cxnSp>
                          <a:nvCxnSpPr>
                            <a:cNvPr id="49" name="直接箭头连接符 48"/>
                            <a:cNvCxnSpPr/>
                          </a:nvCxnSpPr>
                          <a:spPr>
                            <a:xfrm>
                              <a:off x="1349959" y="4954269"/>
                              <a:ext cx="12240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 name="直接箭头连接符 1"/>
                            <a:cNvCxnSpPr/>
                          </a:nvCxnSpPr>
                          <a:spPr>
                            <a:xfrm rot="5400000">
                              <a:off x="6773059" y="4028492"/>
                              <a:ext cx="576000" cy="1589"/>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 name="TextBox 32"/>
                            <a:cNvSpPr txBox="1"/>
                          </a:nvSpPr>
                          <a:spPr>
                            <a:xfrm>
                              <a:off x="6370015" y="3342628"/>
                              <a:ext cx="1428760" cy="3683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浇注头清洗</a:t>
                                </a:r>
                                <a:endParaRPr lang="zh-CN" altLang="en-US" dirty="0" smtClean="0"/>
                              </a:p>
                            </a:txBody>
                            <a:useSpRect/>
                          </a:txSp>
                        </a:sp>
                        <a:cxnSp>
                          <a:nvCxnSpPr>
                            <a:cNvPr id="4" name="直接箭头连接符 3"/>
                            <a:cNvCxnSpPr/>
                          </a:nvCxnSpPr>
                          <a:spPr>
                            <a:xfrm rot="5400000">
                              <a:off x="6790543" y="3081024"/>
                              <a:ext cx="5400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 name="TextBox 55"/>
                            <a:cNvSpPr txBox="1"/>
                          </a:nvSpPr>
                          <a:spPr>
                            <a:xfrm>
                              <a:off x="6442684" y="2502424"/>
                              <a:ext cx="1285884" cy="337185"/>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600" dirty="0" smtClean="0"/>
                                  <a:t>水性清洗剂</a:t>
                                </a:r>
                                <a:endParaRPr lang="zh-CN" altLang="en-US" sz="1600" dirty="0" smtClean="0"/>
                              </a:p>
                            </a:txBody>
                            <a:useSpRect/>
                          </a:txSp>
                        </a:sp>
                        <a:cxnSp>
                          <a:nvCxnSpPr>
                            <a:cNvPr id="6" name="直接箭头连接符 5"/>
                            <a:cNvCxnSpPr/>
                          </a:nvCxnSpPr>
                          <a:spPr>
                            <a:xfrm rot="5400000">
                              <a:off x="5237333" y="3071499"/>
                              <a:ext cx="5400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7" name="TextBox 55"/>
                            <a:cNvSpPr txBox="1"/>
                          </a:nvSpPr>
                          <a:spPr>
                            <a:xfrm>
                              <a:off x="4860264" y="2502424"/>
                              <a:ext cx="1285884" cy="337185"/>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sz="1600" dirty="0" smtClean="0"/>
                                  <a:t>水性脱模剂</a:t>
                                </a:r>
                                <a:endParaRPr lang="zh-CN" altLang="en-US" sz="1600" dirty="0" smtClean="0"/>
                              </a:p>
                            </a:txBody>
                            <a:useSpRect/>
                          </a:txSp>
                        </a:sp>
                        <a:sp>
                          <a:nvSpPr>
                            <a:cNvPr id="8" name="TextBox 39"/>
                            <a:cNvSpPr txBox="1"/>
                          </a:nvSpPr>
                          <a:spPr>
                            <a:xfrm>
                              <a:off x="7808934" y="2832719"/>
                              <a:ext cx="500066" cy="369332"/>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b="1" dirty="0" smtClean="0"/>
                                  <a:t>G</a:t>
                                </a:r>
                                <a:endParaRPr lang="zh-CN" altLang="en-US" b="1" dirty="0"/>
                              </a:p>
                            </a:txBody>
                            <a:useSpRect/>
                          </a:txSp>
                        </a:sp>
                        <a:cxnSp>
                          <a:nvCxnSpPr>
                            <a:cNvPr id="9" name="直接箭头连接符 8"/>
                            <a:cNvCxnSpPr/>
                          </a:nvCxnSpPr>
                          <a:spPr>
                            <a:xfrm flipV="1">
                              <a:off x="7594302" y="3126726"/>
                              <a:ext cx="285752" cy="214314"/>
                            </a:xfrm>
                            <a:prstGeom prst="straightConnector1">
                              <a:avLst/>
                            </a:prstGeom>
                            <a:ln w="28575">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10" name="TextBox 15"/>
                            <a:cNvSpPr txBox="1"/>
                          </a:nvSpPr>
                          <a:spPr>
                            <a:xfrm>
                              <a:off x="3058152" y="1512760"/>
                              <a:ext cx="1428760" cy="368300"/>
                            </a:xfrm>
                            <a:prstGeom prst="rect">
                              <a:avLst/>
                            </a:prstGeom>
                            <a:noFill/>
                            <a:ln w="28575">
                              <a:solidFill>
                                <a:schemeClr val="tx1"/>
                              </a:solidFill>
                            </a:ln>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zh-CN" altLang="en-US" dirty="0" smtClean="0"/>
                                  <a:t>加热</a:t>
                                </a:r>
                                <a:endParaRPr lang="zh-CN" altLang="en-US" dirty="0" smtClean="0"/>
                              </a:p>
                            </a:txBody>
                            <a:useSpRect/>
                          </a:txSp>
                        </a:sp>
                        <a:cxnSp>
                          <a:nvCxnSpPr>
                            <a:cNvPr id="11" name="直接箭头连接符 10"/>
                            <a:cNvCxnSpPr/>
                          </a:nvCxnSpPr>
                          <a:spPr>
                            <a:xfrm rot="5400000">
                              <a:off x="3484532" y="1200790"/>
                              <a:ext cx="576000" cy="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hint="eastAsia"/>
              </w:rPr>
              <w:t>图</w:t>
            </w:r>
            <w:r>
              <w:t>2-</w:t>
            </w:r>
            <w:r>
              <w:rPr>
                <w:rFonts w:hint="eastAsia"/>
              </w:rPr>
              <w:t>5</w:t>
            </w:r>
            <w:r>
              <w:t xml:space="preserve"> </w:t>
            </w:r>
            <w:r>
              <w:rPr>
                <w:rFonts w:hint="eastAsia"/>
              </w:rPr>
              <w:t xml:space="preserve">      聚氨酯浇注生产线工艺流程及产污环节图</w:t>
            </w:r>
          </w:p>
          <w:p w14:paraId="42D6E6C8">
            <w:pPr>
              <w:pStyle w:val="156"/>
              <w:ind w:firstLine="480"/>
              <w:rPr>
                <w:rFonts w:eastAsia="宋体"/>
              </w:rPr>
            </w:pPr>
            <w:r>
              <w:rPr>
                <w:rFonts w:hint="eastAsia" w:eastAsia="宋体"/>
              </w:rPr>
              <w:t>工艺流程简述：</w:t>
            </w:r>
          </w:p>
          <w:p w14:paraId="55891B49">
            <w:pPr>
              <w:pStyle w:val="156"/>
              <w:ind w:firstLine="480"/>
              <w:rPr>
                <w:rFonts w:eastAsia="宋体"/>
              </w:rPr>
            </w:pPr>
            <w:r>
              <w:rPr>
                <w:rFonts w:hint="eastAsia" w:eastAsia="宋体"/>
              </w:rPr>
              <w:t>（</w:t>
            </w:r>
            <w:r>
              <w:rPr>
                <w:rFonts w:eastAsia="宋体"/>
              </w:rPr>
              <w:t>1</w:t>
            </w:r>
            <w:r>
              <w:rPr>
                <w:rFonts w:hint="eastAsia" w:eastAsia="宋体"/>
              </w:rPr>
              <w:t>）原料预热：桶装聚氨酯</w:t>
            </w:r>
            <w:r>
              <w:rPr>
                <w:rFonts w:eastAsia="宋体"/>
              </w:rPr>
              <w:t>A</w:t>
            </w:r>
            <w:r>
              <w:rPr>
                <w:rFonts w:hint="eastAsia" w:eastAsia="宋体"/>
              </w:rPr>
              <w:t>料、</w:t>
            </w:r>
            <w:r>
              <w:rPr>
                <w:rFonts w:eastAsia="宋体"/>
              </w:rPr>
              <w:t>B</w:t>
            </w:r>
            <w:r>
              <w:rPr>
                <w:rFonts w:hint="eastAsia" w:eastAsia="宋体"/>
              </w:rPr>
              <w:t>料需要在预热烘箱中加热以降低物料粘度（温度为</w:t>
            </w:r>
            <w:r>
              <w:rPr>
                <w:rFonts w:eastAsia="宋体"/>
              </w:rPr>
              <w:t>40~50</w:t>
            </w:r>
            <w:r>
              <w:rPr>
                <w:rFonts w:hint="eastAsia" w:eastAsia="宋体"/>
              </w:rPr>
              <w:t>℃），保持物料的流动性。</w:t>
            </w:r>
          </w:p>
          <w:p w14:paraId="645DCA82">
            <w:pPr>
              <w:pStyle w:val="156"/>
              <w:ind w:firstLine="480"/>
              <w:rPr>
                <w:rFonts w:eastAsia="宋体"/>
              </w:rPr>
            </w:pPr>
            <w:r>
              <w:rPr>
                <w:rFonts w:hint="eastAsia" w:eastAsia="宋体"/>
              </w:rPr>
              <w:t>（</w:t>
            </w:r>
            <w:r>
              <w:rPr>
                <w:rFonts w:eastAsia="宋体"/>
              </w:rPr>
              <w:t>2</w:t>
            </w:r>
            <w:r>
              <w:rPr>
                <w:rFonts w:hint="eastAsia" w:eastAsia="宋体"/>
              </w:rPr>
              <w:t>）中转罐：将聚氨酯</w:t>
            </w:r>
            <w:r>
              <w:rPr>
                <w:rFonts w:eastAsia="宋体"/>
              </w:rPr>
              <w:t>A</w:t>
            </w:r>
            <w:r>
              <w:rPr>
                <w:rFonts w:hint="eastAsia" w:eastAsia="宋体"/>
              </w:rPr>
              <w:t>料、</w:t>
            </w:r>
            <w:r>
              <w:rPr>
                <w:rFonts w:eastAsia="宋体"/>
              </w:rPr>
              <w:t>B</w:t>
            </w:r>
            <w:r>
              <w:rPr>
                <w:rFonts w:hint="eastAsia" w:eastAsia="宋体"/>
              </w:rPr>
              <w:t>料、</w:t>
            </w:r>
            <w:r>
              <w:rPr>
                <w:rFonts w:eastAsia="宋体"/>
              </w:rPr>
              <w:t>C</w:t>
            </w:r>
            <w:r>
              <w:rPr>
                <w:rFonts w:hint="eastAsia" w:eastAsia="宋体"/>
              </w:rPr>
              <w:t>料和色浆分别倒入中转罐内。</w:t>
            </w:r>
          </w:p>
          <w:p w14:paraId="6D2BC23D">
            <w:pPr>
              <w:pStyle w:val="156"/>
              <w:ind w:firstLine="480"/>
              <w:rPr>
                <w:rFonts w:eastAsia="宋体"/>
              </w:rPr>
            </w:pPr>
            <w:r>
              <w:rPr>
                <w:rFonts w:hint="eastAsia" w:eastAsia="宋体"/>
              </w:rPr>
              <w:t>（</w:t>
            </w:r>
            <w:r>
              <w:rPr>
                <w:rFonts w:eastAsia="宋体"/>
              </w:rPr>
              <w:t>3</w:t>
            </w:r>
            <w:r>
              <w:rPr>
                <w:rFonts w:hint="eastAsia" w:eastAsia="宋体"/>
              </w:rPr>
              <w:t>）混合搅拌：将聚氨酯</w:t>
            </w:r>
            <w:r>
              <w:rPr>
                <w:rFonts w:eastAsia="宋体"/>
              </w:rPr>
              <w:t>A</w:t>
            </w:r>
            <w:r>
              <w:rPr>
                <w:rFonts w:hint="eastAsia" w:eastAsia="宋体"/>
              </w:rPr>
              <w:t>料和色浆泵入搅拌机内搅拌均匀，然后按配比泵入聚氨酯</w:t>
            </w:r>
            <w:r>
              <w:rPr>
                <w:rFonts w:eastAsia="宋体"/>
              </w:rPr>
              <w:t>B</w:t>
            </w:r>
            <w:r>
              <w:rPr>
                <w:rFonts w:hint="eastAsia" w:eastAsia="宋体"/>
              </w:rPr>
              <w:t>料、</w:t>
            </w:r>
            <w:r>
              <w:rPr>
                <w:rFonts w:eastAsia="宋体"/>
              </w:rPr>
              <w:t>C</w:t>
            </w:r>
            <w:r>
              <w:rPr>
                <w:rFonts w:hint="eastAsia" w:eastAsia="宋体"/>
              </w:rPr>
              <w:t>料，进一步搅拌均匀。此过程为管道泵入，物料的输送过程全部在密闭管道内进行，进料采用底部、浸入管给料方式。</w:t>
            </w:r>
          </w:p>
          <w:p w14:paraId="31A0510D">
            <w:pPr>
              <w:pStyle w:val="156"/>
              <w:ind w:firstLine="480"/>
              <w:rPr>
                <w:rFonts w:eastAsia="宋体"/>
              </w:rPr>
            </w:pPr>
            <w:r>
              <w:rPr>
                <w:rFonts w:hint="eastAsia" w:eastAsia="宋体"/>
              </w:rPr>
              <w:t>（</w:t>
            </w:r>
            <w:r>
              <w:rPr>
                <w:rFonts w:eastAsia="宋体"/>
              </w:rPr>
              <w:t>4</w:t>
            </w:r>
            <w:r>
              <w:rPr>
                <w:rFonts w:hint="eastAsia" w:eastAsia="宋体"/>
              </w:rPr>
              <w:t>）鞋面软化、套楦：外购鞋帮经电烘箱（</w:t>
            </w:r>
            <w:r>
              <w:rPr>
                <w:rFonts w:eastAsia="宋体"/>
              </w:rPr>
              <w:t>70</w:t>
            </w:r>
            <w:r>
              <w:rPr>
                <w:rFonts w:hint="eastAsia" w:eastAsia="宋体"/>
              </w:rPr>
              <w:t>℃）软化后由人工安装至鞋楦上。</w:t>
            </w:r>
          </w:p>
          <w:p w14:paraId="5A4F7843">
            <w:pPr>
              <w:pStyle w:val="156"/>
              <w:ind w:firstLine="480"/>
              <w:rPr>
                <w:rFonts w:eastAsia="宋体"/>
              </w:rPr>
            </w:pPr>
            <w:r>
              <w:rPr>
                <w:rFonts w:hint="eastAsia" w:eastAsia="宋体"/>
              </w:rPr>
              <w:t>（</w:t>
            </w:r>
            <w:r>
              <w:rPr>
                <w:rFonts w:eastAsia="宋体"/>
              </w:rPr>
              <w:t>5</w:t>
            </w:r>
            <w:r>
              <w:rPr>
                <w:rFonts w:hint="eastAsia" w:eastAsia="宋体"/>
              </w:rPr>
              <w:t>）喷脱模剂</w:t>
            </w:r>
            <w:bookmarkStart w:id="3" w:name="OLE_LINK3"/>
            <w:r>
              <w:rPr>
                <w:rFonts w:hint="eastAsia" w:eastAsia="宋体"/>
              </w:rPr>
              <w:t>、清洗浇注头：浇注前在模具上面喷上一层脱模剂（主要成分是水、硅油），然后将混合均匀鞋底原液注入模具中，循环流水线；定期用水性清洗剂对浇注头进行清洗（采用喷涂和抹布擦拭方式清洗），防止注孔堵塞。在喷脱模剂工段模具轨道下方设置不锈钢托盘，对滴洒的脱模剂进行收集回用。该工序产生非甲烷总烃、废包装桶和废抹布。</w:t>
            </w:r>
            <w:bookmarkEnd w:id="3"/>
          </w:p>
          <w:p w14:paraId="51D2D95A">
            <w:pPr>
              <w:pStyle w:val="156"/>
              <w:ind w:firstLine="480"/>
              <w:rPr>
                <w:rFonts w:eastAsia="宋体"/>
              </w:rPr>
            </w:pPr>
            <w:r>
              <w:rPr>
                <w:rFonts w:hint="eastAsia" w:eastAsia="宋体"/>
              </w:rPr>
              <w:t>（</w:t>
            </w:r>
            <w:r>
              <w:rPr>
                <w:rFonts w:eastAsia="宋体"/>
              </w:rPr>
              <w:t>6</w:t>
            </w:r>
            <w:r>
              <w:rPr>
                <w:rFonts w:hint="eastAsia" w:eastAsia="宋体"/>
              </w:rPr>
              <w:t>）浇注、烘干、脱模：聚氨酯混合液由计量泵计量后将料浇注到鞋模中；将套有鞋帮的鞋楦放入模具固定，然后鞋楦下压与鞋底模具进行压合，人工合模后进入流水线，模具缓慢通过聚氨酯</w:t>
            </w:r>
            <w:r>
              <w:rPr>
                <w:rFonts w:hint="eastAsia"/>
              </w:rPr>
              <w:t>加热定型烘道，</w:t>
            </w:r>
            <w:r>
              <w:rPr>
                <w:rFonts w:hint="eastAsia" w:eastAsia="宋体"/>
              </w:rPr>
              <w:t>该通道使用电加热保温，将模具温度保持在</w:t>
            </w:r>
            <w:r>
              <w:rPr>
                <w:rFonts w:eastAsia="宋体"/>
              </w:rPr>
              <w:t>70~80</w:t>
            </w:r>
            <w:r>
              <w:rPr>
                <w:rFonts w:hint="eastAsia" w:eastAsia="宋体"/>
              </w:rPr>
              <w:t>℃，等聚氨酯原液发泡成型后与鞋面完全贴合，将模具打开，取出成品鞋。然后进行喷脱模剂、注入聚氨酯混合液，循环流水线。此过程会产生非甲烷总烃。</w:t>
            </w:r>
          </w:p>
          <w:p w14:paraId="56E3FDA7">
            <w:pPr>
              <w:pStyle w:val="156"/>
              <w:ind w:firstLine="480"/>
              <w:rPr>
                <w:rFonts w:eastAsia="宋体"/>
              </w:rPr>
            </w:pPr>
            <w:r>
              <w:rPr>
                <w:rFonts w:hint="eastAsia" w:eastAsia="宋体"/>
              </w:rPr>
              <w:t>（</w:t>
            </w:r>
            <w:r>
              <w:rPr>
                <w:rFonts w:eastAsia="宋体"/>
              </w:rPr>
              <w:t>7</w:t>
            </w:r>
            <w:r>
              <w:rPr>
                <w:rFonts w:hint="eastAsia" w:eastAsia="宋体"/>
              </w:rPr>
              <w:t>）修边：成品鞋在修边机完成修边，去除鞋底毛刺。该过程产生</w:t>
            </w:r>
            <w:r>
              <w:rPr>
                <w:rFonts w:hint="eastAsia"/>
              </w:rPr>
              <w:t>废边角料</w:t>
            </w:r>
            <w:r>
              <w:rPr>
                <w:rFonts w:hint="eastAsia" w:eastAsia="宋体"/>
              </w:rPr>
              <w:t>。</w:t>
            </w:r>
          </w:p>
          <w:p w14:paraId="6800CF6D">
            <w:pPr>
              <w:pStyle w:val="156"/>
              <w:ind w:firstLine="480"/>
              <w:rPr>
                <w:rFonts w:eastAsia="宋体"/>
              </w:rPr>
            </w:pPr>
            <w:r>
              <w:rPr>
                <w:rFonts w:hint="eastAsia" w:eastAsia="宋体"/>
              </w:rPr>
              <w:t>（8）包装：将注塑完成的鞋子内加装鞋垫，并收纳至鞋盒。将包装后的鞋盒使用包装箱进行打包，之后入库待售。</w:t>
            </w:r>
          </w:p>
          <w:p w14:paraId="372BCA14">
            <w:pPr>
              <w:pStyle w:val="157"/>
            </w:pPr>
            <w:r>
              <w:rPr>
                <w:rFonts w:hint="eastAsia"/>
              </w:rPr>
              <w:t>3</w:t>
            </w:r>
            <w:r>
              <w:t>、产污环节</w:t>
            </w:r>
          </w:p>
          <w:p w14:paraId="2C5EE14E">
            <w:pPr>
              <w:pStyle w:val="156"/>
              <w:ind w:firstLine="480"/>
              <w:rPr>
                <w:rFonts w:eastAsia="宋体" w:cs="Times New Roman"/>
              </w:rPr>
            </w:pPr>
            <w:r>
              <w:rPr>
                <w:rFonts w:eastAsia="宋体" w:cs="Times New Roman"/>
              </w:rPr>
              <w:t>本项目产污环节见下表。</w:t>
            </w:r>
          </w:p>
          <w:p w14:paraId="68B0F94A">
            <w:pPr>
              <w:pStyle w:val="182"/>
              <w:ind w:firstLine="480"/>
            </w:pPr>
            <w:r>
              <w:t>表2-</w:t>
            </w:r>
            <w:r>
              <w:rPr>
                <w:rFonts w:hint="eastAsia"/>
              </w:rPr>
              <w:t xml:space="preserve">10          </w:t>
            </w:r>
            <w:r>
              <w:t>项目产污环节汇总表</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94"/>
              <w:gridCol w:w="2169"/>
              <w:gridCol w:w="99"/>
              <w:gridCol w:w="3119"/>
              <w:gridCol w:w="2960"/>
            </w:tblGrid>
            <w:tr w14:paraId="62EB6E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Align w:val="center"/>
                </w:tcPr>
                <w:p w14:paraId="4F262560">
                  <w:pPr>
                    <w:pStyle w:val="154"/>
                    <w:rPr>
                      <w:sz w:val="21"/>
                      <w:szCs w:val="21"/>
                    </w:rPr>
                  </w:pPr>
                  <w:r>
                    <w:rPr>
                      <w:sz w:val="21"/>
                      <w:szCs w:val="21"/>
                    </w:rPr>
                    <w:t>类别</w:t>
                  </w:r>
                </w:p>
              </w:tc>
              <w:tc>
                <w:tcPr>
                  <w:tcW w:w="5387" w:type="dxa"/>
                  <w:gridSpan w:val="3"/>
                  <w:vAlign w:val="center"/>
                </w:tcPr>
                <w:p w14:paraId="7C05BF53">
                  <w:pPr>
                    <w:pStyle w:val="154"/>
                    <w:rPr>
                      <w:sz w:val="21"/>
                      <w:szCs w:val="21"/>
                    </w:rPr>
                  </w:pPr>
                  <w:r>
                    <w:rPr>
                      <w:sz w:val="21"/>
                      <w:szCs w:val="21"/>
                    </w:rPr>
                    <w:t>产污环节</w:t>
                  </w:r>
                </w:p>
              </w:tc>
              <w:tc>
                <w:tcPr>
                  <w:tcW w:w="2960" w:type="dxa"/>
                  <w:vAlign w:val="center"/>
                </w:tcPr>
                <w:p w14:paraId="1EB6CB63">
                  <w:pPr>
                    <w:pStyle w:val="154"/>
                    <w:rPr>
                      <w:sz w:val="21"/>
                      <w:szCs w:val="21"/>
                    </w:rPr>
                  </w:pPr>
                  <w:r>
                    <w:rPr>
                      <w:sz w:val="21"/>
                      <w:szCs w:val="21"/>
                    </w:rPr>
                    <w:t>污染因子</w:t>
                  </w:r>
                </w:p>
              </w:tc>
            </w:tr>
            <w:tr w14:paraId="12CD1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restart"/>
                  <w:vAlign w:val="center"/>
                </w:tcPr>
                <w:p w14:paraId="2617A492">
                  <w:pPr>
                    <w:pStyle w:val="154"/>
                    <w:rPr>
                      <w:sz w:val="21"/>
                      <w:szCs w:val="21"/>
                    </w:rPr>
                  </w:pPr>
                  <w:r>
                    <w:rPr>
                      <w:rFonts w:hint="eastAsia"/>
                      <w:sz w:val="21"/>
                      <w:szCs w:val="21"/>
                    </w:rPr>
                    <w:t>废气</w:t>
                  </w:r>
                </w:p>
              </w:tc>
              <w:tc>
                <w:tcPr>
                  <w:tcW w:w="2169" w:type="dxa"/>
                  <w:vMerge w:val="restart"/>
                  <w:tcBorders>
                    <w:right w:val="single" w:color="auto" w:sz="6" w:space="0"/>
                  </w:tcBorders>
                  <w:vAlign w:val="center"/>
                </w:tcPr>
                <w:p w14:paraId="762A62BC">
                  <w:pPr>
                    <w:pStyle w:val="154"/>
                    <w:rPr>
                      <w:sz w:val="21"/>
                      <w:szCs w:val="21"/>
                    </w:rPr>
                  </w:pPr>
                  <w:r>
                    <w:rPr>
                      <w:rFonts w:hint="eastAsia"/>
                      <w:sz w:val="21"/>
                      <w:szCs w:val="21"/>
                    </w:rPr>
                    <w:t>注塑工艺鞋底片生产线</w:t>
                  </w:r>
                </w:p>
              </w:tc>
              <w:tc>
                <w:tcPr>
                  <w:tcW w:w="3218" w:type="dxa"/>
                  <w:gridSpan w:val="2"/>
                  <w:tcBorders>
                    <w:left w:val="single" w:color="auto" w:sz="6" w:space="0"/>
                  </w:tcBorders>
                  <w:vAlign w:val="center"/>
                </w:tcPr>
                <w:p w14:paraId="7DCA38BC">
                  <w:pPr>
                    <w:pStyle w:val="154"/>
                    <w:rPr>
                      <w:sz w:val="21"/>
                      <w:szCs w:val="21"/>
                    </w:rPr>
                  </w:pPr>
                  <w:r>
                    <w:rPr>
                      <w:rFonts w:hint="eastAsia"/>
                      <w:sz w:val="21"/>
                      <w:szCs w:val="21"/>
                    </w:rPr>
                    <w:t>混合搅拌</w:t>
                  </w:r>
                </w:p>
              </w:tc>
              <w:tc>
                <w:tcPr>
                  <w:tcW w:w="2960" w:type="dxa"/>
                  <w:vAlign w:val="center"/>
                </w:tcPr>
                <w:p w14:paraId="7C2892BB">
                  <w:pPr>
                    <w:pStyle w:val="154"/>
                    <w:rPr>
                      <w:sz w:val="21"/>
                      <w:szCs w:val="21"/>
                    </w:rPr>
                  </w:pPr>
                  <w:r>
                    <w:rPr>
                      <w:sz w:val="21"/>
                      <w:szCs w:val="21"/>
                    </w:rPr>
                    <w:t>颗粒物、非甲烷总烃</w:t>
                  </w:r>
                </w:p>
              </w:tc>
            </w:tr>
            <w:tr w14:paraId="46F5D9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continue"/>
                  <w:vAlign w:val="center"/>
                </w:tcPr>
                <w:p w14:paraId="440FC0DE">
                  <w:pPr>
                    <w:pStyle w:val="154"/>
                    <w:rPr>
                      <w:sz w:val="21"/>
                      <w:szCs w:val="21"/>
                    </w:rPr>
                  </w:pPr>
                </w:p>
              </w:tc>
              <w:tc>
                <w:tcPr>
                  <w:tcW w:w="2169" w:type="dxa"/>
                  <w:vMerge w:val="continue"/>
                  <w:tcBorders>
                    <w:right w:val="single" w:color="auto" w:sz="6" w:space="0"/>
                  </w:tcBorders>
                  <w:vAlign w:val="center"/>
                </w:tcPr>
                <w:p w14:paraId="64360A93">
                  <w:pPr>
                    <w:pStyle w:val="154"/>
                    <w:rPr>
                      <w:sz w:val="21"/>
                      <w:szCs w:val="21"/>
                    </w:rPr>
                  </w:pPr>
                </w:p>
              </w:tc>
              <w:tc>
                <w:tcPr>
                  <w:tcW w:w="3218" w:type="dxa"/>
                  <w:gridSpan w:val="2"/>
                  <w:tcBorders>
                    <w:left w:val="single" w:color="auto" w:sz="6" w:space="0"/>
                  </w:tcBorders>
                  <w:vAlign w:val="center"/>
                </w:tcPr>
                <w:p w14:paraId="3A92F19D">
                  <w:pPr>
                    <w:pStyle w:val="154"/>
                    <w:rPr>
                      <w:sz w:val="21"/>
                      <w:szCs w:val="21"/>
                    </w:rPr>
                  </w:pPr>
                  <w:r>
                    <w:rPr>
                      <w:rFonts w:hint="eastAsia"/>
                      <w:sz w:val="21"/>
                      <w:szCs w:val="21"/>
                    </w:rPr>
                    <w:t>破碎</w:t>
                  </w:r>
                </w:p>
              </w:tc>
              <w:tc>
                <w:tcPr>
                  <w:tcW w:w="2960" w:type="dxa"/>
                  <w:vAlign w:val="center"/>
                </w:tcPr>
                <w:p w14:paraId="5F71AD34">
                  <w:pPr>
                    <w:pStyle w:val="154"/>
                    <w:rPr>
                      <w:sz w:val="21"/>
                      <w:szCs w:val="21"/>
                    </w:rPr>
                  </w:pPr>
                  <w:r>
                    <w:rPr>
                      <w:sz w:val="21"/>
                      <w:szCs w:val="21"/>
                    </w:rPr>
                    <w:t>颗粒物</w:t>
                  </w:r>
                </w:p>
              </w:tc>
            </w:tr>
            <w:tr w14:paraId="255F42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continue"/>
                  <w:vAlign w:val="center"/>
                </w:tcPr>
                <w:p w14:paraId="698A9FA8">
                  <w:pPr>
                    <w:pStyle w:val="154"/>
                    <w:rPr>
                      <w:sz w:val="21"/>
                      <w:szCs w:val="21"/>
                    </w:rPr>
                  </w:pPr>
                </w:p>
              </w:tc>
              <w:tc>
                <w:tcPr>
                  <w:tcW w:w="2169" w:type="dxa"/>
                  <w:vMerge w:val="continue"/>
                  <w:tcBorders>
                    <w:right w:val="single" w:color="auto" w:sz="6" w:space="0"/>
                  </w:tcBorders>
                  <w:vAlign w:val="center"/>
                </w:tcPr>
                <w:p w14:paraId="7FCAC37B">
                  <w:pPr>
                    <w:pStyle w:val="154"/>
                    <w:rPr>
                      <w:sz w:val="21"/>
                      <w:szCs w:val="21"/>
                    </w:rPr>
                  </w:pPr>
                </w:p>
              </w:tc>
              <w:tc>
                <w:tcPr>
                  <w:tcW w:w="3218" w:type="dxa"/>
                  <w:gridSpan w:val="2"/>
                  <w:tcBorders>
                    <w:left w:val="single" w:color="auto" w:sz="6" w:space="0"/>
                  </w:tcBorders>
                  <w:vAlign w:val="center"/>
                </w:tcPr>
                <w:p w14:paraId="77FE1D53">
                  <w:pPr>
                    <w:pStyle w:val="154"/>
                    <w:rPr>
                      <w:sz w:val="21"/>
                      <w:szCs w:val="21"/>
                    </w:rPr>
                  </w:pPr>
                  <w:r>
                    <w:rPr>
                      <w:sz w:val="21"/>
                      <w:szCs w:val="21"/>
                    </w:rPr>
                    <w:t>注塑工序</w:t>
                  </w:r>
                </w:p>
              </w:tc>
              <w:tc>
                <w:tcPr>
                  <w:tcW w:w="2960" w:type="dxa"/>
                  <w:vAlign w:val="center"/>
                </w:tcPr>
                <w:p w14:paraId="1835DD26">
                  <w:pPr>
                    <w:pStyle w:val="154"/>
                    <w:rPr>
                      <w:sz w:val="21"/>
                      <w:szCs w:val="21"/>
                    </w:rPr>
                  </w:pPr>
                  <w:r>
                    <w:rPr>
                      <w:sz w:val="21"/>
                      <w:szCs w:val="21"/>
                    </w:rPr>
                    <w:t>非甲烷总烃、氯化氢</w:t>
                  </w:r>
                </w:p>
              </w:tc>
            </w:tr>
            <w:tr w14:paraId="2F347E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694" w:type="dxa"/>
                  <w:vMerge w:val="continue"/>
                  <w:vAlign w:val="center"/>
                </w:tcPr>
                <w:p w14:paraId="21ACA23A">
                  <w:pPr>
                    <w:pStyle w:val="154"/>
                    <w:rPr>
                      <w:sz w:val="21"/>
                      <w:szCs w:val="21"/>
                    </w:rPr>
                  </w:pPr>
                </w:p>
              </w:tc>
              <w:tc>
                <w:tcPr>
                  <w:tcW w:w="2169" w:type="dxa"/>
                  <w:vMerge w:val="restart"/>
                  <w:tcBorders>
                    <w:right w:val="single" w:color="auto" w:sz="6" w:space="0"/>
                  </w:tcBorders>
                  <w:vAlign w:val="center"/>
                </w:tcPr>
                <w:p w14:paraId="2C53A45D">
                  <w:pPr>
                    <w:pStyle w:val="154"/>
                    <w:rPr>
                      <w:sz w:val="21"/>
                      <w:szCs w:val="21"/>
                    </w:rPr>
                  </w:pPr>
                  <w:r>
                    <w:rPr>
                      <w:rFonts w:hint="eastAsia"/>
                      <w:sz w:val="21"/>
                      <w:szCs w:val="21"/>
                    </w:rPr>
                    <w:t>聚氨酯工艺布鞋生产线</w:t>
                  </w:r>
                </w:p>
              </w:tc>
              <w:tc>
                <w:tcPr>
                  <w:tcW w:w="3218" w:type="dxa"/>
                  <w:gridSpan w:val="2"/>
                  <w:tcBorders>
                    <w:left w:val="single" w:color="auto" w:sz="6" w:space="0"/>
                  </w:tcBorders>
                  <w:vAlign w:val="center"/>
                </w:tcPr>
                <w:p w14:paraId="576AD8E7">
                  <w:pPr>
                    <w:pStyle w:val="154"/>
                    <w:rPr>
                      <w:sz w:val="21"/>
                      <w:szCs w:val="21"/>
                    </w:rPr>
                  </w:pPr>
                  <w:r>
                    <w:rPr>
                      <w:rFonts w:hint="eastAsia"/>
                      <w:sz w:val="21"/>
                      <w:szCs w:val="21"/>
                    </w:rPr>
                    <w:t>中转罐投料、搅拌</w:t>
                  </w:r>
                </w:p>
              </w:tc>
              <w:tc>
                <w:tcPr>
                  <w:tcW w:w="2960" w:type="dxa"/>
                  <w:vAlign w:val="center"/>
                </w:tcPr>
                <w:p w14:paraId="409BAAA7">
                  <w:pPr>
                    <w:pStyle w:val="154"/>
                    <w:rPr>
                      <w:sz w:val="21"/>
                      <w:szCs w:val="21"/>
                    </w:rPr>
                  </w:pPr>
                  <w:r>
                    <w:rPr>
                      <w:rFonts w:hint="eastAsia"/>
                      <w:sz w:val="21"/>
                      <w:szCs w:val="21"/>
                    </w:rPr>
                    <w:t>非甲烷总烃</w:t>
                  </w:r>
                </w:p>
              </w:tc>
            </w:tr>
            <w:tr w14:paraId="119EA1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694" w:type="dxa"/>
                  <w:vMerge w:val="continue"/>
                  <w:vAlign w:val="center"/>
                </w:tcPr>
                <w:p w14:paraId="6F0620FE">
                  <w:pPr>
                    <w:pStyle w:val="154"/>
                    <w:rPr>
                      <w:sz w:val="21"/>
                      <w:szCs w:val="21"/>
                    </w:rPr>
                  </w:pPr>
                </w:p>
              </w:tc>
              <w:tc>
                <w:tcPr>
                  <w:tcW w:w="2169" w:type="dxa"/>
                  <w:vMerge w:val="continue"/>
                  <w:tcBorders>
                    <w:right w:val="single" w:color="auto" w:sz="6" w:space="0"/>
                  </w:tcBorders>
                  <w:vAlign w:val="center"/>
                </w:tcPr>
                <w:p w14:paraId="035DB2AF">
                  <w:pPr>
                    <w:pStyle w:val="154"/>
                    <w:rPr>
                      <w:sz w:val="21"/>
                      <w:szCs w:val="21"/>
                    </w:rPr>
                  </w:pPr>
                </w:p>
              </w:tc>
              <w:tc>
                <w:tcPr>
                  <w:tcW w:w="3218" w:type="dxa"/>
                  <w:gridSpan w:val="2"/>
                  <w:tcBorders>
                    <w:left w:val="single" w:color="auto" w:sz="6" w:space="0"/>
                  </w:tcBorders>
                  <w:vAlign w:val="center"/>
                </w:tcPr>
                <w:p w14:paraId="673FB5FB">
                  <w:pPr>
                    <w:pStyle w:val="154"/>
                    <w:rPr>
                      <w:sz w:val="21"/>
                      <w:szCs w:val="21"/>
                    </w:rPr>
                  </w:pPr>
                  <w:r>
                    <w:rPr>
                      <w:rFonts w:hint="eastAsia"/>
                      <w:sz w:val="21"/>
                      <w:szCs w:val="21"/>
                    </w:rPr>
                    <w:t>喷脱模剂</w:t>
                  </w:r>
                </w:p>
              </w:tc>
              <w:tc>
                <w:tcPr>
                  <w:tcW w:w="2960" w:type="dxa"/>
                  <w:vAlign w:val="center"/>
                </w:tcPr>
                <w:p w14:paraId="0886B11C">
                  <w:pPr>
                    <w:pStyle w:val="154"/>
                    <w:rPr>
                      <w:sz w:val="21"/>
                      <w:szCs w:val="21"/>
                    </w:rPr>
                  </w:pPr>
                  <w:r>
                    <w:rPr>
                      <w:rFonts w:hint="eastAsia"/>
                      <w:sz w:val="21"/>
                      <w:szCs w:val="21"/>
                    </w:rPr>
                    <w:t>非甲烷总烃</w:t>
                  </w:r>
                </w:p>
              </w:tc>
            </w:tr>
            <w:tr w14:paraId="7690F7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694" w:type="dxa"/>
                  <w:vMerge w:val="continue"/>
                  <w:vAlign w:val="center"/>
                </w:tcPr>
                <w:p w14:paraId="073DCE67">
                  <w:pPr>
                    <w:pStyle w:val="154"/>
                    <w:rPr>
                      <w:sz w:val="21"/>
                      <w:szCs w:val="21"/>
                    </w:rPr>
                  </w:pPr>
                </w:p>
              </w:tc>
              <w:tc>
                <w:tcPr>
                  <w:tcW w:w="2169" w:type="dxa"/>
                  <w:vMerge w:val="continue"/>
                  <w:tcBorders>
                    <w:right w:val="single" w:color="auto" w:sz="6" w:space="0"/>
                  </w:tcBorders>
                  <w:vAlign w:val="center"/>
                </w:tcPr>
                <w:p w14:paraId="052C083B">
                  <w:pPr>
                    <w:pStyle w:val="154"/>
                    <w:rPr>
                      <w:sz w:val="21"/>
                      <w:szCs w:val="21"/>
                    </w:rPr>
                  </w:pPr>
                </w:p>
              </w:tc>
              <w:tc>
                <w:tcPr>
                  <w:tcW w:w="3218" w:type="dxa"/>
                  <w:gridSpan w:val="2"/>
                  <w:tcBorders>
                    <w:left w:val="single" w:color="auto" w:sz="6" w:space="0"/>
                  </w:tcBorders>
                  <w:vAlign w:val="center"/>
                </w:tcPr>
                <w:p w14:paraId="648150DF">
                  <w:pPr>
                    <w:pStyle w:val="154"/>
                    <w:rPr>
                      <w:sz w:val="21"/>
                      <w:szCs w:val="21"/>
                    </w:rPr>
                  </w:pPr>
                  <w:r>
                    <w:rPr>
                      <w:rFonts w:hint="eastAsia"/>
                      <w:sz w:val="21"/>
                      <w:szCs w:val="21"/>
                    </w:rPr>
                    <w:t>浇注头清洗、聚氨酯浇注</w:t>
                  </w:r>
                </w:p>
              </w:tc>
              <w:tc>
                <w:tcPr>
                  <w:tcW w:w="2960" w:type="dxa"/>
                  <w:vAlign w:val="center"/>
                </w:tcPr>
                <w:p w14:paraId="78FDA2CE">
                  <w:pPr>
                    <w:pStyle w:val="154"/>
                    <w:rPr>
                      <w:sz w:val="21"/>
                      <w:szCs w:val="21"/>
                    </w:rPr>
                  </w:pPr>
                  <w:r>
                    <w:rPr>
                      <w:rFonts w:hint="eastAsia"/>
                      <w:sz w:val="21"/>
                      <w:szCs w:val="21"/>
                    </w:rPr>
                    <w:t>非甲烷总烃</w:t>
                  </w:r>
                </w:p>
              </w:tc>
            </w:tr>
            <w:tr w14:paraId="04269B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694" w:type="dxa"/>
                  <w:vMerge w:val="continue"/>
                  <w:vAlign w:val="center"/>
                </w:tcPr>
                <w:p w14:paraId="0D76A2BA">
                  <w:pPr>
                    <w:pStyle w:val="154"/>
                    <w:rPr>
                      <w:sz w:val="21"/>
                      <w:szCs w:val="21"/>
                    </w:rPr>
                  </w:pPr>
                </w:p>
              </w:tc>
              <w:tc>
                <w:tcPr>
                  <w:tcW w:w="2169" w:type="dxa"/>
                  <w:vMerge w:val="continue"/>
                  <w:tcBorders>
                    <w:right w:val="single" w:color="auto" w:sz="6" w:space="0"/>
                  </w:tcBorders>
                  <w:vAlign w:val="center"/>
                </w:tcPr>
                <w:p w14:paraId="31CCD5A5">
                  <w:pPr>
                    <w:pStyle w:val="154"/>
                    <w:rPr>
                      <w:sz w:val="21"/>
                      <w:szCs w:val="21"/>
                    </w:rPr>
                  </w:pPr>
                </w:p>
              </w:tc>
              <w:tc>
                <w:tcPr>
                  <w:tcW w:w="3218" w:type="dxa"/>
                  <w:gridSpan w:val="2"/>
                  <w:tcBorders>
                    <w:left w:val="single" w:color="auto" w:sz="6" w:space="0"/>
                  </w:tcBorders>
                  <w:vAlign w:val="center"/>
                </w:tcPr>
                <w:p w14:paraId="3F2E4FA6">
                  <w:pPr>
                    <w:pStyle w:val="154"/>
                    <w:rPr>
                      <w:sz w:val="21"/>
                      <w:szCs w:val="21"/>
                    </w:rPr>
                  </w:pPr>
                  <w:r>
                    <w:rPr>
                      <w:rFonts w:hint="eastAsia"/>
                      <w:sz w:val="21"/>
                      <w:szCs w:val="21"/>
                    </w:rPr>
                    <w:t>加热定型</w:t>
                  </w:r>
                </w:p>
              </w:tc>
              <w:tc>
                <w:tcPr>
                  <w:tcW w:w="2960" w:type="dxa"/>
                  <w:vAlign w:val="center"/>
                </w:tcPr>
                <w:p w14:paraId="2F3EE34F">
                  <w:pPr>
                    <w:pStyle w:val="154"/>
                    <w:rPr>
                      <w:sz w:val="21"/>
                      <w:szCs w:val="21"/>
                    </w:rPr>
                  </w:pPr>
                  <w:r>
                    <w:rPr>
                      <w:rFonts w:hint="eastAsia"/>
                      <w:sz w:val="21"/>
                      <w:szCs w:val="21"/>
                    </w:rPr>
                    <w:t>非甲烷总烃</w:t>
                  </w:r>
                </w:p>
              </w:tc>
            </w:tr>
            <w:tr w14:paraId="6CDCD4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694" w:type="dxa"/>
                  <w:vMerge w:val="continue"/>
                  <w:vAlign w:val="center"/>
                </w:tcPr>
                <w:p w14:paraId="706CA37B">
                  <w:pPr>
                    <w:pStyle w:val="154"/>
                    <w:rPr>
                      <w:sz w:val="21"/>
                      <w:szCs w:val="21"/>
                    </w:rPr>
                  </w:pPr>
                </w:p>
              </w:tc>
              <w:tc>
                <w:tcPr>
                  <w:tcW w:w="2169" w:type="dxa"/>
                  <w:tcBorders>
                    <w:right w:val="single" w:color="auto" w:sz="6" w:space="0"/>
                  </w:tcBorders>
                  <w:vAlign w:val="center"/>
                </w:tcPr>
                <w:p w14:paraId="79F52EBC">
                  <w:pPr>
                    <w:pStyle w:val="154"/>
                    <w:rPr>
                      <w:sz w:val="21"/>
                      <w:szCs w:val="21"/>
                    </w:rPr>
                  </w:pPr>
                  <w:r>
                    <w:rPr>
                      <w:sz w:val="21"/>
                      <w:szCs w:val="21"/>
                    </w:rPr>
                    <w:t>鞋帮加工</w:t>
                  </w:r>
                </w:p>
              </w:tc>
              <w:tc>
                <w:tcPr>
                  <w:tcW w:w="3218" w:type="dxa"/>
                  <w:gridSpan w:val="2"/>
                  <w:tcBorders>
                    <w:left w:val="single" w:color="auto" w:sz="6" w:space="0"/>
                  </w:tcBorders>
                  <w:vAlign w:val="center"/>
                </w:tcPr>
                <w:p w14:paraId="1D28E1BB">
                  <w:pPr>
                    <w:pStyle w:val="154"/>
                    <w:rPr>
                      <w:sz w:val="21"/>
                      <w:szCs w:val="21"/>
                    </w:rPr>
                  </w:pPr>
                  <w:r>
                    <w:rPr>
                      <w:sz w:val="21"/>
                      <w:szCs w:val="21"/>
                    </w:rPr>
                    <w:t>激光切割</w:t>
                  </w:r>
                </w:p>
              </w:tc>
              <w:tc>
                <w:tcPr>
                  <w:tcW w:w="2960" w:type="dxa"/>
                  <w:vAlign w:val="center"/>
                </w:tcPr>
                <w:p w14:paraId="2F8CBCD9">
                  <w:pPr>
                    <w:pStyle w:val="154"/>
                    <w:rPr>
                      <w:sz w:val="21"/>
                      <w:szCs w:val="21"/>
                    </w:rPr>
                  </w:pPr>
                  <w:r>
                    <w:rPr>
                      <w:sz w:val="21"/>
                      <w:szCs w:val="21"/>
                    </w:rPr>
                    <w:t>非甲烷总烃</w:t>
                  </w:r>
                </w:p>
              </w:tc>
            </w:tr>
            <w:tr w14:paraId="2FE94C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694" w:type="dxa"/>
                  <w:vAlign w:val="center"/>
                </w:tcPr>
                <w:p w14:paraId="7B2E50CC">
                  <w:pPr>
                    <w:pStyle w:val="154"/>
                    <w:rPr>
                      <w:sz w:val="21"/>
                      <w:szCs w:val="21"/>
                    </w:rPr>
                  </w:pPr>
                  <w:r>
                    <w:rPr>
                      <w:sz w:val="21"/>
                      <w:szCs w:val="21"/>
                    </w:rPr>
                    <w:t>废水</w:t>
                  </w:r>
                </w:p>
              </w:tc>
              <w:tc>
                <w:tcPr>
                  <w:tcW w:w="2169" w:type="dxa"/>
                  <w:tcBorders>
                    <w:right w:val="single" w:color="auto" w:sz="6" w:space="0"/>
                  </w:tcBorders>
                  <w:vAlign w:val="center"/>
                </w:tcPr>
                <w:p w14:paraId="18A485A7">
                  <w:pPr>
                    <w:pStyle w:val="154"/>
                    <w:rPr>
                      <w:sz w:val="21"/>
                      <w:szCs w:val="21"/>
                    </w:rPr>
                  </w:pPr>
                  <w:r>
                    <w:rPr>
                      <w:sz w:val="21"/>
                      <w:szCs w:val="21"/>
                    </w:rPr>
                    <w:t>办公生活</w:t>
                  </w:r>
                </w:p>
              </w:tc>
              <w:tc>
                <w:tcPr>
                  <w:tcW w:w="3218" w:type="dxa"/>
                  <w:gridSpan w:val="2"/>
                  <w:tcBorders>
                    <w:left w:val="single" w:color="auto" w:sz="6" w:space="0"/>
                  </w:tcBorders>
                  <w:vAlign w:val="center"/>
                </w:tcPr>
                <w:p w14:paraId="7195A207">
                  <w:pPr>
                    <w:pStyle w:val="154"/>
                    <w:rPr>
                      <w:sz w:val="21"/>
                      <w:szCs w:val="21"/>
                    </w:rPr>
                  </w:pPr>
                  <w:r>
                    <w:rPr>
                      <w:sz w:val="21"/>
                      <w:szCs w:val="21"/>
                    </w:rPr>
                    <w:t>生活污水</w:t>
                  </w:r>
                </w:p>
              </w:tc>
              <w:tc>
                <w:tcPr>
                  <w:tcW w:w="2960" w:type="dxa"/>
                  <w:vAlign w:val="center"/>
                </w:tcPr>
                <w:p w14:paraId="37F54827">
                  <w:pPr>
                    <w:pStyle w:val="154"/>
                    <w:rPr>
                      <w:sz w:val="21"/>
                      <w:szCs w:val="21"/>
                    </w:rPr>
                  </w:pPr>
                  <w:r>
                    <w:rPr>
                      <w:sz w:val="21"/>
                      <w:szCs w:val="21"/>
                    </w:rPr>
                    <w:t>COD、BOD</w:t>
                  </w:r>
                  <w:r>
                    <w:rPr>
                      <w:sz w:val="21"/>
                      <w:szCs w:val="21"/>
                      <w:vertAlign w:val="subscript"/>
                    </w:rPr>
                    <w:t>5</w:t>
                  </w:r>
                  <w:r>
                    <w:rPr>
                      <w:sz w:val="21"/>
                      <w:szCs w:val="21"/>
                    </w:rPr>
                    <w:t>、NH</w:t>
                  </w:r>
                  <w:r>
                    <w:rPr>
                      <w:sz w:val="21"/>
                      <w:szCs w:val="21"/>
                      <w:vertAlign w:val="subscript"/>
                    </w:rPr>
                    <w:t>3</w:t>
                  </w:r>
                  <w:r>
                    <w:rPr>
                      <w:sz w:val="21"/>
                      <w:szCs w:val="21"/>
                    </w:rPr>
                    <w:t>-N、SS</w:t>
                  </w:r>
                </w:p>
              </w:tc>
            </w:tr>
            <w:tr w14:paraId="6C338C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Align w:val="center"/>
                </w:tcPr>
                <w:p w14:paraId="4E314EC5">
                  <w:pPr>
                    <w:pStyle w:val="154"/>
                    <w:rPr>
                      <w:sz w:val="21"/>
                      <w:szCs w:val="21"/>
                    </w:rPr>
                  </w:pPr>
                  <w:r>
                    <w:rPr>
                      <w:sz w:val="21"/>
                      <w:szCs w:val="21"/>
                    </w:rPr>
                    <w:t>噪声</w:t>
                  </w:r>
                </w:p>
              </w:tc>
              <w:tc>
                <w:tcPr>
                  <w:tcW w:w="5387" w:type="dxa"/>
                  <w:gridSpan w:val="3"/>
                  <w:vAlign w:val="center"/>
                </w:tcPr>
                <w:p w14:paraId="1B4B64D1">
                  <w:pPr>
                    <w:pStyle w:val="154"/>
                    <w:rPr>
                      <w:sz w:val="21"/>
                      <w:szCs w:val="21"/>
                    </w:rPr>
                  </w:pPr>
                  <w:r>
                    <w:rPr>
                      <w:sz w:val="21"/>
                      <w:szCs w:val="21"/>
                    </w:rPr>
                    <w:t>设备噪声</w:t>
                  </w:r>
                </w:p>
              </w:tc>
              <w:tc>
                <w:tcPr>
                  <w:tcW w:w="2960" w:type="dxa"/>
                  <w:vAlign w:val="center"/>
                </w:tcPr>
                <w:p w14:paraId="7E6616E6">
                  <w:pPr>
                    <w:pStyle w:val="154"/>
                    <w:rPr>
                      <w:sz w:val="21"/>
                      <w:szCs w:val="21"/>
                    </w:rPr>
                  </w:pPr>
                  <w:r>
                    <w:rPr>
                      <w:sz w:val="21"/>
                      <w:szCs w:val="21"/>
                    </w:rPr>
                    <w:t>等效连续A声级</w:t>
                  </w:r>
                </w:p>
              </w:tc>
            </w:tr>
            <w:tr w14:paraId="45E65D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694" w:type="dxa"/>
                  <w:vMerge w:val="restart"/>
                  <w:vAlign w:val="center"/>
                </w:tcPr>
                <w:p w14:paraId="35F9E50F">
                  <w:pPr>
                    <w:pStyle w:val="154"/>
                    <w:rPr>
                      <w:sz w:val="21"/>
                      <w:szCs w:val="21"/>
                    </w:rPr>
                  </w:pPr>
                  <w:r>
                    <w:rPr>
                      <w:sz w:val="21"/>
                      <w:szCs w:val="21"/>
                    </w:rPr>
                    <w:t>固废</w:t>
                  </w:r>
                </w:p>
              </w:tc>
              <w:tc>
                <w:tcPr>
                  <w:tcW w:w="2268" w:type="dxa"/>
                  <w:gridSpan w:val="2"/>
                  <w:vMerge w:val="restart"/>
                  <w:tcBorders>
                    <w:right w:val="single" w:color="auto" w:sz="6" w:space="0"/>
                  </w:tcBorders>
                  <w:vAlign w:val="center"/>
                </w:tcPr>
                <w:p w14:paraId="27F8FBEC">
                  <w:pPr>
                    <w:pStyle w:val="154"/>
                    <w:rPr>
                      <w:sz w:val="21"/>
                      <w:szCs w:val="21"/>
                    </w:rPr>
                  </w:pPr>
                  <w:r>
                    <w:rPr>
                      <w:sz w:val="21"/>
                      <w:szCs w:val="21"/>
                    </w:rPr>
                    <w:t>注塑工艺鞋底片生产线</w:t>
                  </w:r>
                </w:p>
              </w:tc>
              <w:tc>
                <w:tcPr>
                  <w:tcW w:w="3119" w:type="dxa"/>
                  <w:tcBorders>
                    <w:left w:val="single" w:color="auto" w:sz="6" w:space="0"/>
                  </w:tcBorders>
                  <w:vAlign w:val="center"/>
                </w:tcPr>
                <w:p w14:paraId="1AB8B3CA">
                  <w:pPr>
                    <w:pStyle w:val="154"/>
                    <w:rPr>
                      <w:sz w:val="21"/>
                      <w:szCs w:val="21"/>
                    </w:rPr>
                  </w:pPr>
                  <w:r>
                    <w:rPr>
                      <w:sz w:val="21"/>
                      <w:szCs w:val="21"/>
                    </w:rPr>
                    <w:t>原料拆包</w:t>
                  </w:r>
                </w:p>
              </w:tc>
              <w:tc>
                <w:tcPr>
                  <w:tcW w:w="2960" w:type="dxa"/>
                  <w:vAlign w:val="center"/>
                </w:tcPr>
                <w:p w14:paraId="609BB9F6">
                  <w:pPr>
                    <w:pStyle w:val="154"/>
                    <w:rPr>
                      <w:sz w:val="21"/>
                      <w:szCs w:val="21"/>
                    </w:rPr>
                  </w:pPr>
                  <w:r>
                    <w:rPr>
                      <w:sz w:val="21"/>
                      <w:szCs w:val="21"/>
                    </w:rPr>
                    <w:t>废包装材料</w:t>
                  </w:r>
                </w:p>
              </w:tc>
            </w:tr>
            <w:tr w14:paraId="6A938D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continue"/>
                  <w:vAlign w:val="center"/>
                </w:tcPr>
                <w:p w14:paraId="05EB31C2">
                  <w:pPr>
                    <w:pStyle w:val="154"/>
                    <w:rPr>
                      <w:sz w:val="21"/>
                      <w:szCs w:val="21"/>
                    </w:rPr>
                  </w:pPr>
                </w:p>
              </w:tc>
              <w:tc>
                <w:tcPr>
                  <w:tcW w:w="2268" w:type="dxa"/>
                  <w:gridSpan w:val="2"/>
                  <w:vMerge w:val="continue"/>
                  <w:tcBorders>
                    <w:right w:val="single" w:color="auto" w:sz="6" w:space="0"/>
                  </w:tcBorders>
                  <w:vAlign w:val="center"/>
                </w:tcPr>
                <w:p w14:paraId="68E26BBD">
                  <w:pPr>
                    <w:pStyle w:val="154"/>
                    <w:rPr>
                      <w:sz w:val="21"/>
                      <w:szCs w:val="21"/>
                    </w:rPr>
                  </w:pPr>
                </w:p>
              </w:tc>
              <w:tc>
                <w:tcPr>
                  <w:tcW w:w="3119" w:type="dxa"/>
                  <w:tcBorders>
                    <w:left w:val="single" w:color="auto" w:sz="6" w:space="0"/>
                  </w:tcBorders>
                  <w:vAlign w:val="center"/>
                </w:tcPr>
                <w:p w14:paraId="3CD0A2A2">
                  <w:pPr>
                    <w:pStyle w:val="154"/>
                    <w:rPr>
                      <w:sz w:val="21"/>
                      <w:szCs w:val="21"/>
                    </w:rPr>
                  </w:pPr>
                  <w:r>
                    <w:rPr>
                      <w:sz w:val="21"/>
                      <w:szCs w:val="21"/>
                    </w:rPr>
                    <w:t>粉尘治理</w:t>
                  </w:r>
                </w:p>
              </w:tc>
              <w:tc>
                <w:tcPr>
                  <w:tcW w:w="2960" w:type="dxa"/>
                  <w:vAlign w:val="center"/>
                </w:tcPr>
                <w:p w14:paraId="7E5BA71C">
                  <w:pPr>
                    <w:pStyle w:val="154"/>
                    <w:rPr>
                      <w:sz w:val="21"/>
                      <w:szCs w:val="21"/>
                    </w:rPr>
                  </w:pPr>
                  <w:r>
                    <w:rPr>
                      <w:rFonts w:hint="eastAsia"/>
                      <w:sz w:val="21"/>
                      <w:szCs w:val="21"/>
                    </w:rPr>
                    <w:t>废滤袋</w:t>
                  </w:r>
                </w:p>
              </w:tc>
            </w:tr>
            <w:tr w14:paraId="74A602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continue"/>
                  <w:vAlign w:val="center"/>
                </w:tcPr>
                <w:p w14:paraId="2FBD22F3">
                  <w:pPr>
                    <w:pStyle w:val="154"/>
                    <w:rPr>
                      <w:sz w:val="21"/>
                      <w:szCs w:val="21"/>
                    </w:rPr>
                  </w:pPr>
                </w:p>
              </w:tc>
              <w:tc>
                <w:tcPr>
                  <w:tcW w:w="2268" w:type="dxa"/>
                  <w:gridSpan w:val="2"/>
                  <w:vMerge w:val="restart"/>
                  <w:tcBorders>
                    <w:right w:val="single" w:color="auto" w:sz="6" w:space="0"/>
                  </w:tcBorders>
                  <w:vAlign w:val="center"/>
                </w:tcPr>
                <w:p w14:paraId="02057992">
                  <w:pPr>
                    <w:pStyle w:val="154"/>
                    <w:rPr>
                      <w:sz w:val="21"/>
                      <w:szCs w:val="21"/>
                    </w:rPr>
                  </w:pPr>
                  <w:r>
                    <w:rPr>
                      <w:rFonts w:hint="eastAsia"/>
                      <w:sz w:val="21"/>
                      <w:szCs w:val="21"/>
                    </w:rPr>
                    <w:t>聚氨酯工艺布鞋生产线</w:t>
                  </w:r>
                </w:p>
              </w:tc>
              <w:tc>
                <w:tcPr>
                  <w:tcW w:w="3119" w:type="dxa"/>
                  <w:tcBorders>
                    <w:left w:val="single" w:color="auto" w:sz="6" w:space="0"/>
                  </w:tcBorders>
                  <w:vAlign w:val="center"/>
                </w:tcPr>
                <w:p w14:paraId="678BF654">
                  <w:pPr>
                    <w:pStyle w:val="154"/>
                    <w:rPr>
                      <w:sz w:val="21"/>
                      <w:szCs w:val="21"/>
                    </w:rPr>
                  </w:pPr>
                  <w:r>
                    <w:rPr>
                      <w:rFonts w:hint="eastAsia"/>
                      <w:sz w:val="21"/>
                      <w:szCs w:val="21"/>
                    </w:rPr>
                    <w:t>原料拆包</w:t>
                  </w:r>
                </w:p>
              </w:tc>
              <w:tc>
                <w:tcPr>
                  <w:tcW w:w="2960" w:type="dxa"/>
                  <w:vAlign w:val="center"/>
                </w:tcPr>
                <w:p w14:paraId="4FB668EB">
                  <w:pPr>
                    <w:pStyle w:val="154"/>
                    <w:rPr>
                      <w:sz w:val="21"/>
                      <w:szCs w:val="21"/>
                    </w:rPr>
                  </w:pPr>
                  <w:r>
                    <w:rPr>
                      <w:rFonts w:hint="eastAsia"/>
                      <w:sz w:val="21"/>
                      <w:szCs w:val="21"/>
                    </w:rPr>
                    <w:t>废包装桶（废聚氨酯A桶、废聚氨酯B桶、废聚氨酯C桶、废清洗剂桶、废脱模剂桶、废色浆桶）</w:t>
                  </w:r>
                </w:p>
              </w:tc>
            </w:tr>
            <w:tr w14:paraId="02C099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694" w:type="dxa"/>
                  <w:vMerge w:val="continue"/>
                  <w:vAlign w:val="center"/>
                </w:tcPr>
                <w:p w14:paraId="731710CE">
                  <w:pPr>
                    <w:pStyle w:val="154"/>
                    <w:rPr>
                      <w:sz w:val="21"/>
                      <w:szCs w:val="21"/>
                    </w:rPr>
                  </w:pPr>
                </w:p>
              </w:tc>
              <w:tc>
                <w:tcPr>
                  <w:tcW w:w="2268" w:type="dxa"/>
                  <w:gridSpan w:val="2"/>
                  <w:vMerge w:val="continue"/>
                  <w:tcBorders>
                    <w:right w:val="single" w:color="auto" w:sz="6" w:space="0"/>
                  </w:tcBorders>
                  <w:vAlign w:val="center"/>
                </w:tcPr>
                <w:p w14:paraId="0EF3084F">
                  <w:pPr>
                    <w:pStyle w:val="154"/>
                    <w:rPr>
                      <w:sz w:val="21"/>
                      <w:szCs w:val="21"/>
                    </w:rPr>
                  </w:pPr>
                </w:p>
              </w:tc>
              <w:tc>
                <w:tcPr>
                  <w:tcW w:w="3119" w:type="dxa"/>
                  <w:tcBorders>
                    <w:left w:val="single" w:color="auto" w:sz="6" w:space="0"/>
                  </w:tcBorders>
                  <w:vAlign w:val="center"/>
                </w:tcPr>
                <w:p w14:paraId="388C4307">
                  <w:pPr>
                    <w:pStyle w:val="154"/>
                    <w:rPr>
                      <w:sz w:val="21"/>
                      <w:szCs w:val="21"/>
                    </w:rPr>
                  </w:pPr>
                  <w:r>
                    <w:rPr>
                      <w:rFonts w:hint="eastAsia"/>
                      <w:sz w:val="21"/>
                      <w:szCs w:val="21"/>
                    </w:rPr>
                    <w:t>浇注头清洗</w:t>
                  </w:r>
                </w:p>
              </w:tc>
              <w:tc>
                <w:tcPr>
                  <w:tcW w:w="2960" w:type="dxa"/>
                  <w:vAlign w:val="center"/>
                </w:tcPr>
                <w:p w14:paraId="3CDCD2B1">
                  <w:pPr>
                    <w:pStyle w:val="154"/>
                    <w:rPr>
                      <w:sz w:val="21"/>
                      <w:szCs w:val="21"/>
                    </w:rPr>
                  </w:pPr>
                  <w:r>
                    <w:rPr>
                      <w:rFonts w:hint="eastAsia"/>
                      <w:sz w:val="21"/>
                      <w:szCs w:val="21"/>
                    </w:rPr>
                    <w:t>废抹布、废手套</w:t>
                  </w:r>
                </w:p>
              </w:tc>
            </w:tr>
            <w:tr w14:paraId="30A6B8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694" w:type="dxa"/>
                  <w:vMerge w:val="continue"/>
                  <w:vAlign w:val="center"/>
                </w:tcPr>
                <w:p w14:paraId="5CBB4BAC">
                  <w:pPr>
                    <w:pStyle w:val="154"/>
                    <w:rPr>
                      <w:sz w:val="21"/>
                      <w:szCs w:val="21"/>
                    </w:rPr>
                  </w:pPr>
                </w:p>
              </w:tc>
              <w:tc>
                <w:tcPr>
                  <w:tcW w:w="2268" w:type="dxa"/>
                  <w:gridSpan w:val="2"/>
                  <w:vMerge w:val="continue"/>
                  <w:tcBorders>
                    <w:right w:val="single" w:color="auto" w:sz="6" w:space="0"/>
                  </w:tcBorders>
                  <w:vAlign w:val="center"/>
                </w:tcPr>
                <w:p w14:paraId="0E5518D2">
                  <w:pPr>
                    <w:pStyle w:val="154"/>
                    <w:rPr>
                      <w:sz w:val="21"/>
                      <w:szCs w:val="21"/>
                    </w:rPr>
                  </w:pPr>
                </w:p>
              </w:tc>
              <w:tc>
                <w:tcPr>
                  <w:tcW w:w="3119" w:type="dxa"/>
                  <w:tcBorders>
                    <w:left w:val="single" w:color="auto" w:sz="6" w:space="0"/>
                  </w:tcBorders>
                  <w:vAlign w:val="center"/>
                </w:tcPr>
                <w:p w14:paraId="5A06F30F">
                  <w:pPr>
                    <w:pStyle w:val="154"/>
                    <w:rPr>
                      <w:sz w:val="21"/>
                      <w:szCs w:val="21"/>
                    </w:rPr>
                  </w:pPr>
                  <w:r>
                    <w:rPr>
                      <w:rFonts w:hint="eastAsia"/>
                      <w:sz w:val="21"/>
                      <w:szCs w:val="21"/>
                    </w:rPr>
                    <w:t>修边工序</w:t>
                  </w:r>
                </w:p>
              </w:tc>
              <w:tc>
                <w:tcPr>
                  <w:tcW w:w="2960" w:type="dxa"/>
                  <w:vAlign w:val="center"/>
                </w:tcPr>
                <w:p w14:paraId="0A02AD9D">
                  <w:pPr>
                    <w:pStyle w:val="154"/>
                    <w:rPr>
                      <w:sz w:val="21"/>
                      <w:szCs w:val="21"/>
                    </w:rPr>
                  </w:pPr>
                  <w:r>
                    <w:rPr>
                      <w:rFonts w:hint="eastAsia"/>
                      <w:sz w:val="21"/>
                      <w:szCs w:val="21"/>
                    </w:rPr>
                    <w:t>废</w:t>
                  </w:r>
                  <w:r>
                    <w:rPr>
                      <w:sz w:val="21"/>
                      <w:szCs w:val="21"/>
                    </w:rPr>
                    <w:t>PU</w:t>
                  </w:r>
                  <w:r>
                    <w:rPr>
                      <w:rFonts w:hint="eastAsia"/>
                      <w:sz w:val="21"/>
                      <w:szCs w:val="21"/>
                    </w:rPr>
                    <w:t>边角料</w:t>
                  </w:r>
                </w:p>
              </w:tc>
            </w:tr>
            <w:tr w14:paraId="2668A7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continue"/>
                  <w:vAlign w:val="center"/>
                </w:tcPr>
                <w:p w14:paraId="764BF7F8">
                  <w:pPr>
                    <w:pStyle w:val="154"/>
                    <w:rPr>
                      <w:sz w:val="21"/>
                      <w:szCs w:val="21"/>
                    </w:rPr>
                  </w:pPr>
                </w:p>
              </w:tc>
              <w:tc>
                <w:tcPr>
                  <w:tcW w:w="2268" w:type="dxa"/>
                  <w:gridSpan w:val="2"/>
                  <w:vAlign w:val="center"/>
                </w:tcPr>
                <w:p w14:paraId="4EF60312">
                  <w:pPr>
                    <w:pStyle w:val="154"/>
                    <w:rPr>
                      <w:sz w:val="21"/>
                      <w:szCs w:val="21"/>
                    </w:rPr>
                  </w:pPr>
                  <w:r>
                    <w:rPr>
                      <w:rFonts w:hint="eastAsia"/>
                      <w:sz w:val="21"/>
                      <w:szCs w:val="21"/>
                    </w:rPr>
                    <w:t>鞋帮加工</w:t>
                  </w:r>
                </w:p>
              </w:tc>
              <w:tc>
                <w:tcPr>
                  <w:tcW w:w="3119" w:type="dxa"/>
                  <w:vAlign w:val="center"/>
                </w:tcPr>
                <w:p w14:paraId="58AF138E">
                  <w:pPr>
                    <w:pStyle w:val="154"/>
                    <w:rPr>
                      <w:sz w:val="21"/>
                      <w:szCs w:val="21"/>
                    </w:rPr>
                  </w:pPr>
                  <w:r>
                    <w:rPr>
                      <w:sz w:val="21"/>
                      <w:szCs w:val="21"/>
                    </w:rPr>
                    <w:t>激光切割</w:t>
                  </w:r>
                </w:p>
              </w:tc>
              <w:tc>
                <w:tcPr>
                  <w:tcW w:w="2960" w:type="dxa"/>
                  <w:vAlign w:val="center"/>
                </w:tcPr>
                <w:p w14:paraId="3C31CD88">
                  <w:pPr>
                    <w:pStyle w:val="154"/>
                    <w:rPr>
                      <w:sz w:val="21"/>
                      <w:szCs w:val="21"/>
                    </w:rPr>
                  </w:pPr>
                  <w:r>
                    <w:rPr>
                      <w:sz w:val="21"/>
                      <w:szCs w:val="21"/>
                    </w:rPr>
                    <w:t>废边角料</w:t>
                  </w:r>
                </w:p>
              </w:tc>
            </w:tr>
            <w:tr w14:paraId="62B1AF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continue"/>
                  <w:vAlign w:val="center"/>
                </w:tcPr>
                <w:p w14:paraId="7EB1FC37">
                  <w:pPr>
                    <w:pStyle w:val="154"/>
                    <w:rPr>
                      <w:sz w:val="21"/>
                      <w:szCs w:val="21"/>
                    </w:rPr>
                  </w:pPr>
                </w:p>
              </w:tc>
              <w:tc>
                <w:tcPr>
                  <w:tcW w:w="5387" w:type="dxa"/>
                  <w:gridSpan w:val="3"/>
                  <w:vAlign w:val="center"/>
                </w:tcPr>
                <w:p w14:paraId="38C66480">
                  <w:pPr>
                    <w:pStyle w:val="154"/>
                    <w:rPr>
                      <w:sz w:val="21"/>
                      <w:szCs w:val="21"/>
                    </w:rPr>
                  </w:pPr>
                  <w:r>
                    <w:rPr>
                      <w:sz w:val="21"/>
                      <w:szCs w:val="21"/>
                    </w:rPr>
                    <w:t>有机废气治理</w:t>
                  </w:r>
                </w:p>
              </w:tc>
              <w:tc>
                <w:tcPr>
                  <w:tcW w:w="2960" w:type="dxa"/>
                  <w:vAlign w:val="center"/>
                </w:tcPr>
                <w:p w14:paraId="01CA8696">
                  <w:pPr>
                    <w:pStyle w:val="154"/>
                    <w:rPr>
                      <w:sz w:val="21"/>
                      <w:szCs w:val="21"/>
                    </w:rPr>
                  </w:pPr>
                  <w:r>
                    <w:rPr>
                      <w:sz w:val="21"/>
                      <w:szCs w:val="21"/>
                    </w:rPr>
                    <w:t>废活性炭</w:t>
                  </w:r>
                </w:p>
              </w:tc>
            </w:tr>
            <w:tr w14:paraId="0FFB0D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continue"/>
                  <w:vAlign w:val="center"/>
                </w:tcPr>
                <w:p w14:paraId="590246B9">
                  <w:pPr>
                    <w:pStyle w:val="154"/>
                    <w:rPr>
                      <w:sz w:val="21"/>
                      <w:szCs w:val="21"/>
                    </w:rPr>
                  </w:pPr>
                </w:p>
              </w:tc>
              <w:tc>
                <w:tcPr>
                  <w:tcW w:w="5387" w:type="dxa"/>
                  <w:gridSpan w:val="3"/>
                  <w:vAlign w:val="center"/>
                </w:tcPr>
                <w:p w14:paraId="0466D56B">
                  <w:pPr>
                    <w:pStyle w:val="154"/>
                    <w:rPr>
                      <w:sz w:val="21"/>
                      <w:szCs w:val="21"/>
                    </w:rPr>
                  </w:pPr>
                  <w:r>
                    <w:rPr>
                      <w:sz w:val="21"/>
                      <w:szCs w:val="21"/>
                    </w:rPr>
                    <w:t>设备维修、维护</w:t>
                  </w:r>
                </w:p>
              </w:tc>
              <w:tc>
                <w:tcPr>
                  <w:tcW w:w="2960" w:type="dxa"/>
                  <w:vAlign w:val="center"/>
                </w:tcPr>
                <w:p w14:paraId="1AC0D551">
                  <w:pPr>
                    <w:pStyle w:val="154"/>
                    <w:rPr>
                      <w:sz w:val="21"/>
                      <w:szCs w:val="21"/>
                    </w:rPr>
                  </w:pPr>
                  <w:r>
                    <w:rPr>
                      <w:sz w:val="21"/>
                      <w:szCs w:val="21"/>
                    </w:rPr>
                    <w:t>废润滑油、废液压油</w:t>
                  </w:r>
                  <w:r>
                    <w:rPr>
                      <w:rFonts w:hint="eastAsia"/>
                      <w:sz w:val="21"/>
                      <w:szCs w:val="21"/>
                    </w:rPr>
                    <w:t>、废抹布、废手套</w:t>
                  </w:r>
                </w:p>
              </w:tc>
            </w:tr>
            <w:tr w14:paraId="26788B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94" w:type="dxa"/>
                  <w:vMerge w:val="continue"/>
                  <w:vAlign w:val="center"/>
                </w:tcPr>
                <w:p w14:paraId="5DF934AB">
                  <w:pPr>
                    <w:pStyle w:val="154"/>
                    <w:rPr>
                      <w:sz w:val="21"/>
                      <w:szCs w:val="21"/>
                    </w:rPr>
                  </w:pPr>
                </w:p>
              </w:tc>
              <w:tc>
                <w:tcPr>
                  <w:tcW w:w="5387" w:type="dxa"/>
                  <w:gridSpan w:val="3"/>
                  <w:vAlign w:val="center"/>
                </w:tcPr>
                <w:p w14:paraId="13EC9F84">
                  <w:pPr>
                    <w:pStyle w:val="154"/>
                    <w:rPr>
                      <w:sz w:val="21"/>
                      <w:szCs w:val="21"/>
                    </w:rPr>
                  </w:pPr>
                  <w:r>
                    <w:rPr>
                      <w:sz w:val="21"/>
                      <w:szCs w:val="21"/>
                    </w:rPr>
                    <w:t>办公生活</w:t>
                  </w:r>
                </w:p>
              </w:tc>
              <w:tc>
                <w:tcPr>
                  <w:tcW w:w="2960" w:type="dxa"/>
                  <w:vAlign w:val="center"/>
                </w:tcPr>
                <w:p w14:paraId="4B0F5BC8">
                  <w:pPr>
                    <w:pStyle w:val="154"/>
                    <w:rPr>
                      <w:sz w:val="21"/>
                      <w:szCs w:val="21"/>
                    </w:rPr>
                  </w:pPr>
                  <w:r>
                    <w:rPr>
                      <w:sz w:val="21"/>
                      <w:szCs w:val="21"/>
                    </w:rPr>
                    <w:t>生活垃圾</w:t>
                  </w:r>
                </w:p>
              </w:tc>
            </w:tr>
          </w:tbl>
          <w:p w14:paraId="5217F637">
            <w:pPr>
              <w:pStyle w:val="158"/>
              <w:spacing w:before="156"/>
            </w:pPr>
            <w:r>
              <w:t>与项目有关的原有环境污染问题</w:t>
            </w:r>
          </w:p>
          <w:p w14:paraId="1D30C80A">
            <w:pPr>
              <w:pStyle w:val="182"/>
              <w:ind w:firstLine="588" w:firstLineChars="245"/>
              <w:rPr>
                <w:rFonts w:eastAsia="宋体"/>
              </w:rPr>
            </w:pPr>
            <w:r>
              <w:rPr>
                <w:rFonts w:eastAsia="宋体"/>
              </w:rPr>
              <w:t>本项目为新建项目，租赁现有已建成的厂房，不存在与项目有关的原有环境污染问题。</w:t>
            </w:r>
          </w:p>
        </w:tc>
      </w:tr>
    </w:tbl>
    <w:p w14:paraId="50E6F639">
      <w:pPr>
        <w:pStyle w:val="152"/>
      </w:pPr>
      <w:r>
        <w:t>三、区域环境质量现状、环境保护目标及评价标准</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9287"/>
      </w:tblGrid>
      <w:tr w14:paraId="622A3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000" w:type="pct"/>
            <w:tcBorders>
              <w:top w:val="single" w:color="auto" w:sz="12" w:space="0"/>
            </w:tcBorders>
            <w:tcMar>
              <w:top w:w="0" w:type="dxa"/>
              <w:left w:w="108" w:type="dxa"/>
              <w:bottom w:w="0" w:type="dxa"/>
              <w:right w:w="108" w:type="dxa"/>
            </w:tcMar>
          </w:tcPr>
          <w:p w14:paraId="4CE03AA1">
            <w:pPr>
              <w:pStyle w:val="158"/>
              <w:spacing w:before="156"/>
            </w:pPr>
            <w:r>
              <w:t>区域环境质量现状</w:t>
            </w:r>
          </w:p>
          <w:p w14:paraId="13ABE6AC">
            <w:pPr>
              <w:pStyle w:val="157"/>
            </w:pPr>
            <w:r>
              <w:t>1、大气环境</w:t>
            </w:r>
          </w:p>
          <w:p w14:paraId="1B314F63">
            <w:pPr>
              <w:pStyle w:val="156"/>
              <w:ind w:firstLine="480"/>
              <w:rPr>
                <w:rFonts w:eastAsia="宋体" w:cs="Times New Roman"/>
              </w:rPr>
            </w:pPr>
            <w:r>
              <w:rPr>
                <w:rFonts w:eastAsia="宋体" w:cs="Times New Roman"/>
              </w:rPr>
              <w:t>（1）环境空气质量达标区判定</w:t>
            </w:r>
          </w:p>
          <w:p w14:paraId="1DED39AA">
            <w:pPr>
              <w:pStyle w:val="156"/>
              <w:ind w:firstLine="480"/>
              <w:rPr>
                <w:rFonts w:eastAsia="宋体" w:cs="Times New Roman"/>
              </w:rPr>
            </w:pPr>
            <w:r>
              <w:rPr>
                <w:rFonts w:hint="eastAsia" w:eastAsia="宋体" w:cs="Times New Roman"/>
              </w:rPr>
              <w:t>根据洛阳市生态环境局发布的《2024年洛阳市生态环境状况公报》，洛阳市2024年环境空气质量：</w:t>
            </w:r>
          </w:p>
          <w:p w14:paraId="1E0F2B6E">
            <w:pPr>
              <w:pStyle w:val="156"/>
              <w:ind w:firstLine="480"/>
              <w:rPr>
                <w:rFonts w:eastAsia="宋体" w:cs="Times New Roman"/>
              </w:rPr>
            </w:pPr>
            <w:r>
              <w:rPr>
                <w:rFonts w:hint="eastAsia" w:eastAsia="宋体" w:cs="Times New Roman"/>
              </w:rPr>
              <w:t>2024年，洛阳市环境空气质量共监测366天。其中，优良天数234天（占63.9%），污染天数132天。在污染天数中“轻度污染”114天（占31.2%）、“中度污染”11天（占3.0%）、“重度污染”7天（占1.9%）、无“严重污染”。2024年，洛阳市城市环境空气质量级别为超二级标准，城区环境空气质量综合指数为4.504，细颗粒物(PM2.5)为主要污染物。豫西宾馆、市委党校和英才小学点位综合指数较高，吉利监测站点位综合指数最低，西南区域空气质量好于九都路以北区域。各点位细颗粒物单项指数最高，可吸入颗粒物和臭氧次之。</w:t>
            </w:r>
          </w:p>
          <w:p w14:paraId="4424E052">
            <w:pPr>
              <w:pStyle w:val="156"/>
              <w:ind w:firstLine="480"/>
              <w:rPr>
                <w:rFonts w:eastAsia="宋体" w:cs="Times New Roman"/>
              </w:rPr>
            </w:pPr>
            <w:r>
              <w:rPr>
                <w:rFonts w:hint="eastAsia" w:eastAsia="宋体" w:cs="Times New Roman"/>
              </w:rPr>
              <w:t>2024年，二氧化硫、二氧化氮、一氧化碳达标，可吸入颗粒物、细颗粒物、臭氧超标。与2023年相比，二氧化氮、一氧化碳监测浓度均有所下降，二氧化硫监测浓度与上年持平，细颗粒物、可吸入颗粒物、臭氧监测浓度有所上升。洛阳市为不达标区。</w:t>
            </w:r>
          </w:p>
          <w:p w14:paraId="5BA417A8">
            <w:pPr>
              <w:pStyle w:val="156"/>
              <w:ind w:firstLine="480"/>
              <w:rPr>
                <w:rFonts w:eastAsia="宋体" w:cs="Times New Roman"/>
              </w:rPr>
            </w:pPr>
            <w:r>
              <w:rPr>
                <w:rFonts w:eastAsia="宋体" w:cs="Times New Roman"/>
              </w:rPr>
              <w:t>环境质量改善计划：</w:t>
            </w:r>
          </w:p>
          <w:p w14:paraId="4BFCD611">
            <w:pPr>
              <w:pStyle w:val="157"/>
              <w:ind w:firstLine="480" w:firstLineChars="200"/>
              <w:rPr>
                <w:rFonts w:asciiTheme="minorEastAsia" w:hAnsiTheme="minorEastAsia" w:eastAsiaTheme="minorEastAsia"/>
                <w:b w:val="0"/>
              </w:rPr>
            </w:pPr>
            <w:r>
              <w:rPr>
                <w:rFonts w:asciiTheme="minorEastAsia" w:hAnsiTheme="minorEastAsia" w:eastAsiaTheme="minorEastAsia"/>
                <w:b w:val="0"/>
              </w:rPr>
              <w:t>目前</w:t>
            </w:r>
            <w:r>
              <w:rPr>
                <w:rFonts w:hint="eastAsia" w:asciiTheme="minorEastAsia" w:hAnsiTheme="minorEastAsia" w:eastAsiaTheme="minorEastAsia"/>
                <w:b w:val="0"/>
              </w:rPr>
              <w:t>洛阳市</w:t>
            </w:r>
            <w:r>
              <w:rPr>
                <w:rFonts w:asciiTheme="minorEastAsia" w:hAnsiTheme="minorEastAsia" w:eastAsiaTheme="minorEastAsia"/>
                <w:b w:val="0"/>
              </w:rPr>
              <w:t>生态环境保护委员会办公室</w:t>
            </w:r>
            <w:r>
              <w:rPr>
                <w:rFonts w:hint="eastAsia" w:asciiTheme="minorEastAsia" w:hAnsiTheme="minorEastAsia" w:eastAsiaTheme="minorEastAsia"/>
                <w:b w:val="0"/>
              </w:rPr>
              <w:t>关于印发《洛阳市</w:t>
            </w:r>
            <w:r>
              <w:rPr>
                <w:rFonts w:asciiTheme="minorEastAsia" w:hAnsiTheme="minorEastAsia" w:eastAsiaTheme="minorEastAsia"/>
                <w:b w:val="0"/>
              </w:rPr>
              <w:t>2025年蓝天保卫战实施方案》</w:t>
            </w:r>
            <w:r>
              <w:rPr>
                <w:rFonts w:hint="eastAsia" w:asciiTheme="minorEastAsia" w:hAnsiTheme="minorEastAsia" w:eastAsiaTheme="minorEastAsia"/>
                <w:b w:val="0"/>
              </w:rPr>
              <w:t>《洛阳市</w:t>
            </w:r>
            <w:r>
              <w:rPr>
                <w:rFonts w:asciiTheme="minorEastAsia" w:hAnsiTheme="minorEastAsia" w:eastAsiaTheme="minorEastAsia"/>
                <w:b w:val="0"/>
              </w:rPr>
              <w:t>2025年碧水保卫战实施方案》</w:t>
            </w:r>
            <w:r>
              <w:rPr>
                <w:rFonts w:hint="eastAsia" w:asciiTheme="minorEastAsia" w:hAnsiTheme="minorEastAsia" w:eastAsiaTheme="minorEastAsia"/>
                <w:b w:val="0"/>
              </w:rPr>
              <w:t>《洛阳市</w:t>
            </w:r>
            <w:r>
              <w:rPr>
                <w:rFonts w:asciiTheme="minorEastAsia" w:hAnsiTheme="minorEastAsia" w:eastAsiaTheme="minorEastAsia"/>
                <w:b w:val="0"/>
              </w:rPr>
              <w:t>2025年净土保卫战实施方案》</w:t>
            </w:r>
            <w:r>
              <w:rPr>
                <w:rFonts w:hint="eastAsia" w:asciiTheme="minorEastAsia" w:hAnsiTheme="minorEastAsia" w:eastAsiaTheme="minorEastAsia"/>
                <w:b w:val="0"/>
              </w:rPr>
              <w:t>《洛阳市</w:t>
            </w:r>
            <w:r>
              <w:rPr>
                <w:rFonts w:asciiTheme="minorEastAsia" w:hAnsiTheme="minorEastAsia" w:eastAsiaTheme="minorEastAsia"/>
                <w:b w:val="0"/>
              </w:rPr>
              <w:t>2025年柴油货车污染治理</w:t>
            </w:r>
            <w:r>
              <w:rPr>
                <w:rFonts w:hint="eastAsia" w:asciiTheme="minorEastAsia" w:hAnsiTheme="minorEastAsia" w:eastAsiaTheme="minorEastAsia"/>
                <w:b w:val="0"/>
              </w:rPr>
              <w:t>攻坚战实施方案》</w:t>
            </w:r>
            <w:r>
              <w:rPr>
                <w:rFonts w:asciiTheme="minorEastAsia" w:hAnsiTheme="minorEastAsia" w:eastAsiaTheme="minorEastAsia"/>
                <w:b w:val="0"/>
              </w:rPr>
              <w:t>的通知（</w:t>
            </w:r>
            <w:r>
              <w:rPr>
                <w:rFonts w:hint="eastAsia" w:asciiTheme="minorEastAsia" w:hAnsiTheme="minorEastAsia" w:eastAsiaTheme="minorEastAsia"/>
                <w:b w:val="0"/>
              </w:rPr>
              <w:t>洛</w:t>
            </w:r>
            <w:r>
              <w:rPr>
                <w:rFonts w:asciiTheme="minorEastAsia" w:hAnsiTheme="minorEastAsia" w:eastAsiaTheme="minorEastAsia"/>
                <w:b w:val="0"/>
              </w:rPr>
              <w:t>环委办</w:t>
            </w:r>
            <w:r>
              <w:rPr>
                <w:rFonts w:hint="eastAsia" w:asciiTheme="minorEastAsia" w:hAnsiTheme="minorEastAsia" w:eastAsiaTheme="minorEastAsia"/>
                <w:b w:val="0"/>
              </w:rPr>
              <w:t>〔</w:t>
            </w:r>
            <w:r>
              <w:rPr>
                <w:rFonts w:asciiTheme="minorEastAsia" w:hAnsiTheme="minorEastAsia" w:eastAsiaTheme="minorEastAsia"/>
                <w:b w:val="0"/>
              </w:rPr>
              <w:t>202</w:t>
            </w:r>
            <w:r>
              <w:rPr>
                <w:rFonts w:hint="eastAsia" w:asciiTheme="minorEastAsia" w:hAnsiTheme="minorEastAsia" w:eastAsiaTheme="minorEastAsia"/>
                <w:b w:val="0"/>
              </w:rPr>
              <w:t>5〕21</w:t>
            </w:r>
            <w:r>
              <w:rPr>
                <w:rFonts w:asciiTheme="minorEastAsia" w:hAnsiTheme="minorEastAsia" w:eastAsiaTheme="minorEastAsia"/>
                <w:b w:val="0"/>
              </w:rPr>
              <w:t>号）</w:t>
            </w:r>
            <w:r>
              <w:rPr>
                <w:rFonts w:hint="eastAsia" w:asciiTheme="minorEastAsia" w:hAnsiTheme="minorEastAsia" w:eastAsiaTheme="minorEastAsia"/>
                <w:b w:val="0"/>
              </w:rPr>
              <w:t>，洛阳市</w:t>
            </w:r>
            <w:r>
              <w:rPr>
                <w:rFonts w:asciiTheme="minorEastAsia" w:hAnsiTheme="minorEastAsia" w:eastAsiaTheme="minorEastAsia"/>
                <w:b w:val="0"/>
              </w:rPr>
              <w:t>正在实施，将不断改善区域大气环境质量。</w:t>
            </w:r>
          </w:p>
          <w:p w14:paraId="39F135CC">
            <w:pPr>
              <w:pStyle w:val="167"/>
              <w:ind w:firstLine="480"/>
              <w:rPr>
                <w:rFonts w:eastAsia="宋体"/>
              </w:rPr>
            </w:pPr>
            <w:r>
              <w:rPr>
                <w:rFonts w:eastAsia="宋体"/>
              </w:rPr>
              <w:t>环境空气质量改善目标：</w:t>
            </w:r>
          </w:p>
          <w:p w14:paraId="2874C18B">
            <w:pPr>
              <w:pStyle w:val="167"/>
              <w:ind w:firstLine="480"/>
              <w:rPr>
                <w:rFonts w:eastAsia="宋体"/>
              </w:rPr>
            </w:pPr>
            <w:r>
              <w:rPr>
                <w:rFonts w:eastAsia="宋体"/>
              </w:rPr>
              <w:t>2025年，全市PM2.5浓度低于40微克/立方米，空气质量优良天</w:t>
            </w:r>
            <w:r>
              <w:rPr>
                <w:rFonts w:hint="eastAsia" w:eastAsia="宋体"/>
              </w:rPr>
              <w:t>数比率达到</w:t>
            </w:r>
            <w:r>
              <w:rPr>
                <w:rFonts w:eastAsia="宋体"/>
              </w:rPr>
              <w:t>69.5%，重度以上污染天数比率控制在1.0%以内，栾川</w:t>
            </w:r>
            <w:r>
              <w:rPr>
                <w:rFonts w:hint="eastAsia" w:eastAsia="宋体"/>
              </w:rPr>
              <w:t>县、汝阳县、嵩县、洛宁县持续保持空气质量二级达标，宜阳县实现空气质量二级达标。</w:t>
            </w:r>
          </w:p>
          <w:p w14:paraId="6888FB47">
            <w:pPr>
              <w:pStyle w:val="157"/>
            </w:pPr>
            <w:r>
              <w:t>2、地表水环境</w:t>
            </w:r>
          </w:p>
          <w:p w14:paraId="25C1EB39">
            <w:pPr>
              <w:pStyle w:val="167"/>
              <w:ind w:firstLine="480"/>
            </w:pPr>
            <w:r>
              <w:t>202</w:t>
            </w:r>
            <w:r>
              <w:rPr>
                <w:rFonts w:hint="eastAsia"/>
              </w:rPr>
              <w:t>4</w:t>
            </w:r>
            <w:r>
              <w:t>年，洛阳市地表水整体水质状况为</w:t>
            </w:r>
            <w:r>
              <w:rPr>
                <w:rFonts w:hint="eastAsia" w:eastAsia="宋体" w:cs="Times New Roman"/>
              </w:rPr>
              <w:t>“</w:t>
            </w:r>
            <w:r>
              <w:t>优</w:t>
            </w:r>
            <w:r>
              <w:rPr>
                <w:rFonts w:hint="eastAsia" w:eastAsia="宋体" w:cs="Times New Roman"/>
              </w:rPr>
              <w:t>”</w:t>
            </w:r>
            <w:r>
              <w:t>。全市共设置</w:t>
            </w:r>
            <w:r>
              <w:rPr>
                <w:rFonts w:hint="eastAsia"/>
              </w:rPr>
              <w:t>20</w:t>
            </w:r>
            <w:r>
              <w:t>个地表水监测断面。其中：</w:t>
            </w:r>
            <w:r>
              <w:rPr>
                <w:rFonts w:hint="eastAsia"/>
              </w:rPr>
              <w:t>其中：</w:t>
            </w:r>
            <w:r>
              <w:t>黄河流域分布监测断面19个，淮河流域北汝河设置监测断面1个。所监测断面中水质</w:t>
            </w:r>
            <w:r>
              <w:rPr>
                <w:rFonts w:hint="eastAsia"/>
              </w:rPr>
              <w:t>类别符合</w:t>
            </w:r>
            <w:r>
              <w:t>I~III类断面18个</w:t>
            </w:r>
            <w:r>
              <w:rPr>
                <w:rFonts w:hint="eastAsia"/>
              </w:rPr>
              <w:t>（</w:t>
            </w:r>
            <w:r>
              <w:t>占90.0%</w:t>
            </w:r>
            <w:r>
              <w:rPr>
                <w:rFonts w:hint="eastAsia"/>
              </w:rPr>
              <w:t>）。</w:t>
            </w:r>
          </w:p>
          <w:p w14:paraId="35E721D8">
            <w:pPr>
              <w:pStyle w:val="167"/>
              <w:ind w:firstLine="480"/>
              <w:rPr>
                <w:rFonts w:eastAsia="宋体"/>
              </w:rPr>
            </w:pPr>
            <w:r>
              <w:rPr>
                <w:rFonts w:eastAsia="宋体"/>
              </w:rPr>
              <w:t>根据202</w:t>
            </w:r>
            <w:r>
              <w:rPr>
                <w:rFonts w:hint="eastAsia" w:eastAsia="宋体"/>
              </w:rPr>
              <w:t>4</w:t>
            </w:r>
            <w:r>
              <w:rPr>
                <w:rFonts w:eastAsia="宋体"/>
              </w:rPr>
              <w:t>年洛阳市生态环境状况公报：2024年所监测的8条主要河流中，水质状况“优”的河流为黄河洛阳段、伊河、洛河、</w:t>
            </w:r>
            <w:r>
              <w:rPr>
                <w:rFonts w:hint="eastAsia" w:eastAsia="宋体"/>
              </w:rPr>
              <w:t>伊洛河、北汝河，水质状况“良好”的河流为涧河，水质状况“轻度污染”的为二道河和瀍河。与</w:t>
            </w:r>
            <w:r>
              <w:rPr>
                <w:rFonts w:eastAsia="宋体"/>
              </w:rPr>
              <w:t>2023年相比，伊河、洛河、伊洛河、北汝河、黄河洛阳段、涧河、瀍河、二道河水质</w:t>
            </w:r>
            <w:r>
              <w:rPr>
                <w:rFonts w:hint="eastAsia" w:eastAsia="宋体"/>
              </w:rPr>
              <w:t>无明显变化。</w:t>
            </w:r>
          </w:p>
          <w:p w14:paraId="18999EC9">
            <w:pPr>
              <w:pStyle w:val="156"/>
              <w:ind w:firstLine="480"/>
              <w:rPr>
                <w:rFonts w:eastAsia="宋体" w:cs="Times New Roman"/>
              </w:rPr>
            </w:pPr>
            <w:r>
              <w:rPr>
                <w:rFonts w:hint="eastAsia" w:eastAsia="宋体"/>
              </w:rPr>
              <w:t>本</w:t>
            </w:r>
            <w:r>
              <w:rPr>
                <w:rFonts w:eastAsia="宋体"/>
              </w:rPr>
              <w:t>项目循环冷却水每日补充损耗水量，循环使用，不排放；</w:t>
            </w:r>
            <w:r>
              <w:rPr>
                <w:rFonts w:eastAsia="宋体" w:cs="Times New Roman"/>
              </w:rPr>
              <w:t>生活污水经厂区化粪池处理后，经市政管网排入中州渠人工湿地处理后最终排入伊洛河，202</w:t>
            </w:r>
            <w:r>
              <w:rPr>
                <w:rFonts w:hint="eastAsia" w:eastAsia="宋体" w:cs="Times New Roman"/>
              </w:rPr>
              <w:t>4</w:t>
            </w:r>
            <w:r>
              <w:rPr>
                <w:rFonts w:eastAsia="宋体" w:cs="Times New Roman"/>
              </w:rPr>
              <w:t>年伊洛河河流综合污染指数为0.2</w:t>
            </w:r>
            <w:r>
              <w:rPr>
                <w:rFonts w:hint="eastAsia" w:eastAsia="宋体" w:cs="Times New Roman"/>
              </w:rPr>
              <w:t>52</w:t>
            </w:r>
            <w:r>
              <w:rPr>
                <w:rFonts w:eastAsia="宋体" w:cs="Times New Roman"/>
              </w:rPr>
              <w:t>，河流水质状况为</w:t>
            </w:r>
            <w:r>
              <w:rPr>
                <w:rFonts w:hint="eastAsia" w:eastAsia="宋体" w:cs="Times New Roman"/>
              </w:rPr>
              <w:t>“</w:t>
            </w:r>
            <w:r>
              <w:t>优</w:t>
            </w:r>
            <w:r>
              <w:rPr>
                <w:rFonts w:hint="eastAsia" w:eastAsia="宋体" w:cs="Times New Roman"/>
              </w:rPr>
              <w:t>”</w:t>
            </w:r>
            <w:r>
              <w:rPr>
                <w:rFonts w:eastAsia="宋体" w:cs="Times New Roman"/>
              </w:rPr>
              <w:t>。</w:t>
            </w:r>
          </w:p>
          <w:p w14:paraId="33280B8B">
            <w:pPr>
              <w:pStyle w:val="157"/>
            </w:pPr>
            <w:r>
              <w:t>3、声环境</w:t>
            </w:r>
          </w:p>
          <w:p w14:paraId="54E4E20E">
            <w:pPr>
              <w:pStyle w:val="167"/>
              <w:ind w:firstLine="480"/>
              <w:rPr>
                <w:rFonts w:eastAsia="宋体"/>
              </w:rPr>
            </w:pPr>
            <w:r>
              <w:rPr>
                <w:rFonts w:eastAsia="宋体"/>
              </w:rPr>
              <w:t>本项目厂址所在地位于洛阳市偃师区先进制造业开发区，本项目厂界外50m范围内无声环境敏感目标，根据《建设项目环境影响报告表编制技术指南》（污染影响类）（试行），本项目无需开展声环境质量现状调查工作。</w:t>
            </w:r>
          </w:p>
          <w:p w14:paraId="1E203903">
            <w:pPr>
              <w:pStyle w:val="167"/>
              <w:ind w:firstLine="480"/>
              <w:rPr>
                <w:rFonts w:eastAsia="宋体"/>
              </w:rPr>
            </w:pPr>
          </w:p>
          <w:p w14:paraId="31533E32">
            <w:pPr>
              <w:pStyle w:val="167"/>
              <w:ind w:firstLine="480"/>
              <w:rPr>
                <w:rFonts w:eastAsia="宋体"/>
              </w:rPr>
            </w:pPr>
          </w:p>
          <w:p w14:paraId="306D7688">
            <w:pPr>
              <w:pStyle w:val="167"/>
              <w:ind w:firstLine="480"/>
              <w:rPr>
                <w:rFonts w:eastAsia="宋体"/>
              </w:rPr>
            </w:pPr>
          </w:p>
          <w:p w14:paraId="465C7BAE">
            <w:pPr>
              <w:pStyle w:val="167"/>
              <w:ind w:firstLine="480"/>
              <w:rPr>
                <w:rFonts w:eastAsia="宋体"/>
              </w:rPr>
            </w:pPr>
          </w:p>
          <w:p w14:paraId="41E41058">
            <w:pPr>
              <w:pStyle w:val="167"/>
              <w:ind w:firstLine="480"/>
              <w:rPr>
                <w:rFonts w:eastAsia="宋体"/>
              </w:rPr>
            </w:pPr>
          </w:p>
          <w:p w14:paraId="6015303F">
            <w:pPr>
              <w:pStyle w:val="167"/>
              <w:ind w:firstLine="480"/>
              <w:rPr>
                <w:rFonts w:eastAsia="宋体"/>
              </w:rPr>
            </w:pPr>
          </w:p>
          <w:p w14:paraId="6BD40CD3">
            <w:pPr>
              <w:pStyle w:val="167"/>
              <w:ind w:firstLine="480"/>
              <w:rPr>
                <w:rFonts w:eastAsia="宋体"/>
              </w:rPr>
            </w:pPr>
          </w:p>
          <w:p w14:paraId="623666DF">
            <w:pPr>
              <w:pStyle w:val="167"/>
              <w:ind w:firstLine="480"/>
              <w:rPr>
                <w:rFonts w:eastAsia="宋体"/>
              </w:rPr>
            </w:pPr>
          </w:p>
          <w:p w14:paraId="0F0CCF70">
            <w:pPr>
              <w:pStyle w:val="167"/>
              <w:ind w:firstLine="0" w:firstLineChars="0"/>
              <w:rPr>
                <w:rFonts w:eastAsia="宋体"/>
              </w:rPr>
            </w:pPr>
          </w:p>
          <w:p w14:paraId="65E51D1A">
            <w:pPr>
              <w:pStyle w:val="167"/>
              <w:ind w:firstLine="0" w:firstLineChars="0"/>
              <w:rPr>
                <w:rFonts w:eastAsia="宋体"/>
              </w:rPr>
            </w:pPr>
          </w:p>
          <w:p w14:paraId="007E9DF2">
            <w:pPr>
              <w:pStyle w:val="167"/>
              <w:ind w:firstLine="0" w:firstLineChars="0"/>
              <w:rPr>
                <w:rFonts w:eastAsia="宋体"/>
              </w:rPr>
            </w:pPr>
          </w:p>
        </w:tc>
      </w:tr>
      <w:tr w14:paraId="523C4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000" w:type="pct"/>
            <w:tcMar>
              <w:top w:w="0" w:type="dxa"/>
              <w:left w:w="108" w:type="dxa"/>
              <w:bottom w:w="0" w:type="dxa"/>
              <w:right w:w="108" w:type="dxa"/>
            </w:tcMar>
          </w:tcPr>
          <w:p w14:paraId="3A609E01">
            <w:pPr>
              <w:pStyle w:val="158"/>
              <w:spacing w:before="156"/>
            </w:pPr>
            <w:r>
              <w:t>环境保护目标</w:t>
            </w:r>
          </w:p>
          <w:p w14:paraId="4BED4ECC">
            <w:pPr>
              <w:pStyle w:val="182"/>
              <w:ind w:firstLine="482"/>
              <w:rPr>
                <w:b/>
                <w:u w:val="single"/>
              </w:rPr>
            </w:pPr>
            <w:r>
              <w:rPr>
                <w:b/>
                <w:u w:val="single"/>
              </w:rPr>
              <w:t xml:space="preserve">表3- </w:t>
            </w:r>
            <w:r>
              <w:rPr>
                <w:rFonts w:hint="eastAsia"/>
                <w:b/>
                <w:u w:val="single"/>
              </w:rPr>
              <w:t>1</w:t>
            </w:r>
            <w:r>
              <w:rPr>
                <w:b/>
                <w:u w:val="single"/>
              </w:rPr>
              <w:t xml:space="preserve">               环境空气保护目标</w:t>
            </w:r>
          </w:p>
          <w:tbl>
            <w:tblPr>
              <w:tblStyle w:val="88"/>
              <w:tblW w:w="497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79"/>
              <w:gridCol w:w="1924"/>
              <w:gridCol w:w="1312"/>
              <w:gridCol w:w="1204"/>
              <w:gridCol w:w="662"/>
              <w:gridCol w:w="859"/>
              <w:gridCol w:w="1076"/>
              <w:gridCol w:w="729"/>
              <w:gridCol w:w="954"/>
            </w:tblGrid>
            <w:tr w14:paraId="695D5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7" w:hRule="atLeast"/>
              </w:trPr>
              <w:tc>
                <w:tcPr>
                  <w:tcW w:w="155" w:type="pct"/>
                  <w:vMerge w:val="restart"/>
                  <w:vAlign w:val="center"/>
                </w:tcPr>
                <w:p w14:paraId="0DC83F7C">
                  <w:pPr>
                    <w:pStyle w:val="154"/>
                    <w:rPr>
                      <w:b/>
                      <w:sz w:val="21"/>
                      <w:szCs w:val="21"/>
                      <w:u w:val="single"/>
                    </w:rPr>
                  </w:pPr>
                  <w:r>
                    <w:rPr>
                      <w:b/>
                      <w:sz w:val="21"/>
                      <w:szCs w:val="21"/>
                      <w:u w:val="single"/>
                    </w:rPr>
                    <w:t>序号</w:t>
                  </w:r>
                </w:p>
              </w:tc>
              <w:tc>
                <w:tcPr>
                  <w:tcW w:w="1069" w:type="pct"/>
                  <w:vMerge w:val="restart"/>
                  <w:vAlign w:val="center"/>
                </w:tcPr>
                <w:p w14:paraId="1988B7DF">
                  <w:pPr>
                    <w:pStyle w:val="154"/>
                    <w:rPr>
                      <w:b/>
                      <w:sz w:val="21"/>
                      <w:szCs w:val="21"/>
                      <w:u w:val="single"/>
                    </w:rPr>
                  </w:pPr>
                  <w:r>
                    <w:rPr>
                      <w:b/>
                      <w:sz w:val="21"/>
                      <w:szCs w:val="21"/>
                      <w:u w:val="single"/>
                    </w:rPr>
                    <w:t>名称</w:t>
                  </w:r>
                </w:p>
              </w:tc>
              <w:tc>
                <w:tcPr>
                  <w:tcW w:w="1398" w:type="pct"/>
                  <w:gridSpan w:val="2"/>
                  <w:vAlign w:val="center"/>
                </w:tcPr>
                <w:p w14:paraId="1A938D15">
                  <w:pPr>
                    <w:pStyle w:val="154"/>
                    <w:rPr>
                      <w:b/>
                      <w:sz w:val="21"/>
                      <w:szCs w:val="21"/>
                      <w:u w:val="single"/>
                    </w:rPr>
                  </w:pPr>
                  <w:r>
                    <w:rPr>
                      <w:b/>
                      <w:sz w:val="21"/>
                      <w:szCs w:val="21"/>
                      <w:u w:val="single"/>
                    </w:rPr>
                    <w:t>坐标</w:t>
                  </w:r>
                </w:p>
              </w:tc>
              <w:tc>
                <w:tcPr>
                  <w:tcW w:w="368" w:type="pct"/>
                  <w:vMerge w:val="restart"/>
                  <w:vAlign w:val="center"/>
                </w:tcPr>
                <w:p w14:paraId="46E89B20">
                  <w:pPr>
                    <w:pStyle w:val="154"/>
                    <w:rPr>
                      <w:b/>
                      <w:sz w:val="21"/>
                      <w:szCs w:val="21"/>
                      <w:u w:val="single"/>
                    </w:rPr>
                  </w:pPr>
                  <w:r>
                    <w:rPr>
                      <w:b/>
                      <w:sz w:val="21"/>
                      <w:szCs w:val="21"/>
                      <w:u w:val="single"/>
                    </w:rPr>
                    <w:t>保护</w:t>
                  </w:r>
                  <w:r>
                    <w:rPr>
                      <w:b/>
                      <w:sz w:val="21"/>
                      <w:szCs w:val="21"/>
                      <w:u w:val="single"/>
                    </w:rPr>
                    <w:br w:type="textWrapping"/>
                  </w:r>
                  <w:r>
                    <w:rPr>
                      <w:b/>
                      <w:sz w:val="21"/>
                      <w:szCs w:val="21"/>
                      <w:u w:val="single"/>
                    </w:rPr>
                    <w:t>对象</w:t>
                  </w:r>
                </w:p>
              </w:tc>
              <w:tc>
                <w:tcPr>
                  <w:tcW w:w="477" w:type="pct"/>
                  <w:vMerge w:val="restart"/>
                  <w:vAlign w:val="center"/>
                </w:tcPr>
                <w:p w14:paraId="5F1D1F30">
                  <w:pPr>
                    <w:pStyle w:val="154"/>
                    <w:rPr>
                      <w:b/>
                      <w:sz w:val="21"/>
                      <w:szCs w:val="21"/>
                      <w:u w:val="single"/>
                    </w:rPr>
                  </w:pPr>
                  <w:r>
                    <w:rPr>
                      <w:b/>
                      <w:sz w:val="21"/>
                      <w:szCs w:val="21"/>
                      <w:u w:val="single"/>
                    </w:rPr>
                    <w:t>保护</w:t>
                  </w:r>
                </w:p>
                <w:p w14:paraId="228E83A2">
                  <w:pPr>
                    <w:pStyle w:val="154"/>
                    <w:rPr>
                      <w:b/>
                      <w:sz w:val="21"/>
                      <w:szCs w:val="21"/>
                      <w:u w:val="single"/>
                    </w:rPr>
                  </w:pPr>
                  <w:r>
                    <w:rPr>
                      <w:b/>
                      <w:sz w:val="21"/>
                      <w:szCs w:val="21"/>
                      <w:u w:val="single"/>
                    </w:rPr>
                    <w:t>内容</w:t>
                  </w:r>
                </w:p>
              </w:tc>
              <w:tc>
                <w:tcPr>
                  <w:tcW w:w="598" w:type="pct"/>
                  <w:vMerge w:val="restart"/>
                  <w:vAlign w:val="center"/>
                </w:tcPr>
                <w:p w14:paraId="4944AF9B">
                  <w:pPr>
                    <w:pStyle w:val="154"/>
                    <w:rPr>
                      <w:b/>
                      <w:sz w:val="21"/>
                      <w:szCs w:val="21"/>
                      <w:u w:val="single"/>
                    </w:rPr>
                  </w:pPr>
                  <w:r>
                    <w:rPr>
                      <w:b/>
                      <w:sz w:val="21"/>
                      <w:szCs w:val="21"/>
                      <w:u w:val="single"/>
                    </w:rPr>
                    <w:t>环境功能区</w:t>
                  </w:r>
                </w:p>
              </w:tc>
              <w:tc>
                <w:tcPr>
                  <w:tcW w:w="405" w:type="pct"/>
                  <w:vMerge w:val="restart"/>
                  <w:vAlign w:val="center"/>
                </w:tcPr>
                <w:p w14:paraId="39C60E47">
                  <w:pPr>
                    <w:pStyle w:val="154"/>
                    <w:rPr>
                      <w:b/>
                      <w:sz w:val="21"/>
                      <w:szCs w:val="21"/>
                      <w:u w:val="single"/>
                    </w:rPr>
                  </w:pPr>
                  <w:r>
                    <w:rPr>
                      <w:b/>
                      <w:sz w:val="21"/>
                      <w:szCs w:val="21"/>
                      <w:u w:val="single"/>
                    </w:rPr>
                    <w:t>相对厂址方位</w:t>
                  </w:r>
                </w:p>
              </w:tc>
              <w:tc>
                <w:tcPr>
                  <w:tcW w:w="530" w:type="pct"/>
                  <w:vMerge w:val="restart"/>
                  <w:vAlign w:val="center"/>
                </w:tcPr>
                <w:p w14:paraId="087C1931">
                  <w:pPr>
                    <w:pStyle w:val="154"/>
                    <w:rPr>
                      <w:b/>
                      <w:sz w:val="21"/>
                      <w:szCs w:val="21"/>
                      <w:u w:val="single"/>
                    </w:rPr>
                  </w:pPr>
                  <w:r>
                    <w:rPr>
                      <w:b/>
                      <w:sz w:val="21"/>
                      <w:szCs w:val="21"/>
                      <w:u w:val="single"/>
                    </w:rPr>
                    <w:t>相对厂界距离（m）</w:t>
                  </w:r>
                </w:p>
              </w:tc>
            </w:tr>
            <w:tr w14:paraId="7EE8B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 w:hRule="atLeast"/>
              </w:trPr>
              <w:tc>
                <w:tcPr>
                  <w:tcW w:w="155" w:type="pct"/>
                  <w:vMerge w:val="continue"/>
                  <w:vAlign w:val="center"/>
                </w:tcPr>
                <w:p w14:paraId="1FB8F74A">
                  <w:pPr>
                    <w:pStyle w:val="154"/>
                    <w:rPr>
                      <w:b/>
                      <w:sz w:val="21"/>
                      <w:szCs w:val="21"/>
                      <w:u w:val="single"/>
                    </w:rPr>
                  </w:pPr>
                </w:p>
              </w:tc>
              <w:tc>
                <w:tcPr>
                  <w:tcW w:w="1069" w:type="pct"/>
                  <w:vMerge w:val="continue"/>
                  <w:vAlign w:val="center"/>
                </w:tcPr>
                <w:p w14:paraId="3C6D8F25">
                  <w:pPr>
                    <w:pStyle w:val="154"/>
                    <w:rPr>
                      <w:b/>
                      <w:sz w:val="21"/>
                      <w:szCs w:val="21"/>
                      <w:u w:val="single"/>
                    </w:rPr>
                  </w:pPr>
                </w:p>
              </w:tc>
              <w:tc>
                <w:tcPr>
                  <w:tcW w:w="729" w:type="pct"/>
                  <w:vAlign w:val="center"/>
                </w:tcPr>
                <w:p w14:paraId="129EE1DA">
                  <w:pPr>
                    <w:pStyle w:val="154"/>
                    <w:rPr>
                      <w:b/>
                      <w:sz w:val="21"/>
                      <w:szCs w:val="21"/>
                      <w:u w:val="single"/>
                    </w:rPr>
                  </w:pPr>
                  <w:r>
                    <w:rPr>
                      <w:b/>
                      <w:sz w:val="21"/>
                      <w:szCs w:val="21"/>
                      <w:u w:val="single"/>
                    </w:rPr>
                    <w:t>经度</w:t>
                  </w:r>
                </w:p>
              </w:tc>
              <w:tc>
                <w:tcPr>
                  <w:tcW w:w="669" w:type="pct"/>
                  <w:vAlign w:val="center"/>
                </w:tcPr>
                <w:p w14:paraId="554901AF">
                  <w:pPr>
                    <w:pStyle w:val="154"/>
                    <w:rPr>
                      <w:b/>
                      <w:sz w:val="21"/>
                      <w:szCs w:val="21"/>
                      <w:u w:val="single"/>
                    </w:rPr>
                  </w:pPr>
                  <w:r>
                    <w:rPr>
                      <w:b/>
                      <w:sz w:val="21"/>
                      <w:szCs w:val="21"/>
                      <w:u w:val="single"/>
                    </w:rPr>
                    <w:t>纬度</w:t>
                  </w:r>
                </w:p>
              </w:tc>
              <w:tc>
                <w:tcPr>
                  <w:tcW w:w="368" w:type="pct"/>
                  <w:vMerge w:val="continue"/>
                  <w:vAlign w:val="center"/>
                </w:tcPr>
                <w:p w14:paraId="09540F5C">
                  <w:pPr>
                    <w:pStyle w:val="154"/>
                    <w:rPr>
                      <w:b/>
                      <w:sz w:val="21"/>
                      <w:szCs w:val="21"/>
                      <w:u w:val="single"/>
                    </w:rPr>
                  </w:pPr>
                </w:p>
              </w:tc>
              <w:tc>
                <w:tcPr>
                  <w:tcW w:w="477" w:type="pct"/>
                  <w:vMerge w:val="continue"/>
                  <w:vAlign w:val="center"/>
                </w:tcPr>
                <w:p w14:paraId="6FBCC4D8">
                  <w:pPr>
                    <w:pStyle w:val="154"/>
                    <w:rPr>
                      <w:b/>
                      <w:sz w:val="21"/>
                      <w:szCs w:val="21"/>
                      <w:u w:val="single"/>
                    </w:rPr>
                  </w:pPr>
                </w:p>
              </w:tc>
              <w:tc>
                <w:tcPr>
                  <w:tcW w:w="598" w:type="pct"/>
                  <w:vMerge w:val="continue"/>
                  <w:vAlign w:val="center"/>
                </w:tcPr>
                <w:p w14:paraId="6DF6B294">
                  <w:pPr>
                    <w:pStyle w:val="154"/>
                    <w:rPr>
                      <w:b/>
                      <w:sz w:val="21"/>
                      <w:szCs w:val="21"/>
                      <w:u w:val="single"/>
                    </w:rPr>
                  </w:pPr>
                </w:p>
              </w:tc>
              <w:tc>
                <w:tcPr>
                  <w:tcW w:w="405" w:type="pct"/>
                  <w:vMerge w:val="continue"/>
                  <w:vAlign w:val="center"/>
                </w:tcPr>
                <w:p w14:paraId="61504F92">
                  <w:pPr>
                    <w:pStyle w:val="154"/>
                    <w:rPr>
                      <w:b/>
                      <w:sz w:val="21"/>
                      <w:szCs w:val="21"/>
                      <w:u w:val="single"/>
                    </w:rPr>
                  </w:pPr>
                </w:p>
              </w:tc>
              <w:tc>
                <w:tcPr>
                  <w:tcW w:w="530" w:type="pct"/>
                  <w:vMerge w:val="continue"/>
                  <w:vAlign w:val="center"/>
                </w:tcPr>
                <w:p w14:paraId="00EA6699">
                  <w:pPr>
                    <w:pStyle w:val="154"/>
                    <w:rPr>
                      <w:b/>
                      <w:sz w:val="21"/>
                      <w:szCs w:val="21"/>
                      <w:u w:val="single"/>
                    </w:rPr>
                  </w:pPr>
                </w:p>
              </w:tc>
            </w:tr>
            <w:tr w14:paraId="378FF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6" w:hRule="atLeast"/>
              </w:trPr>
              <w:tc>
                <w:tcPr>
                  <w:tcW w:w="155" w:type="pct"/>
                  <w:vAlign w:val="center"/>
                </w:tcPr>
                <w:p w14:paraId="5E59DEFF">
                  <w:pPr>
                    <w:pStyle w:val="154"/>
                    <w:rPr>
                      <w:b/>
                      <w:sz w:val="21"/>
                      <w:szCs w:val="21"/>
                      <w:u w:val="single"/>
                    </w:rPr>
                  </w:pPr>
                  <w:r>
                    <w:rPr>
                      <w:b/>
                      <w:sz w:val="21"/>
                      <w:szCs w:val="21"/>
                      <w:u w:val="single"/>
                    </w:rPr>
                    <w:t>1</w:t>
                  </w:r>
                </w:p>
              </w:tc>
              <w:tc>
                <w:tcPr>
                  <w:tcW w:w="1069" w:type="pct"/>
                  <w:noWrap/>
                  <w:vAlign w:val="center"/>
                </w:tcPr>
                <w:p w14:paraId="4A2C2066">
                  <w:pPr>
                    <w:pStyle w:val="154"/>
                    <w:rPr>
                      <w:b/>
                      <w:sz w:val="21"/>
                      <w:szCs w:val="21"/>
                      <w:u w:val="single"/>
                    </w:rPr>
                  </w:pPr>
                  <w:r>
                    <w:rPr>
                      <w:rFonts w:hint="eastAsia"/>
                      <w:b/>
                      <w:sz w:val="21"/>
                      <w:szCs w:val="21"/>
                      <w:u w:val="single"/>
                    </w:rPr>
                    <w:t>汤泉佳苑</w:t>
                  </w:r>
                </w:p>
              </w:tc>
              <w:tc>
                <w:tcPr>
                  <w:tcW w:w="729" w:type="pct"/>
                  <w:noWrap/>
                  <w:vAlign w:val="center"/>
                </w:tcPr>
                <w:p w14:paraId="640081F0">
                  <w:pPr>
                    <w:pStyle w:val="154"/>
                    <w:rPr>
                      <w:b/>
                      <w:sz w:val="21"/>
                      <w:szCs w:val="21"/>
                      <w:u w:val="single"/>
                    </w:rPr>
                  </w:pPr>
                  <w:r>
                    <w:rPr>
                      <w:b/>
                      <w:sz w:val="21"/>
                      <w:szCs w:val="21"/>
                      <w:u w:val="single"/>
                    </w:rPr>
                    <w:t>112.8</w:t>
                  </w:r>
                  <w:r>
                    <w:rPr>
                      <w:rFonts w:hint="eastAsia"/>
                      <w:b/>
                      <w:sz w:val="21"/>
                      <w:szCs w:val="21"/>
                      <w:u w:val="single"/>
                    </w:rPr>
                    <w:t>29203</w:t>
                  </w:r>
                </w:p>
              </w:tc>
              <w:tc>
                <w:tcPr>
                  <w:tcW w:w="669" w:type="pct"/>
                  <w:noWrap/>
                  <w:vAlign w:val="center"/>
                </w:tcPr>
                <w:p w14:paraId="4C507B68">
                  <w:pPr>
                    <w:pStyle w:val="154"/>
                    <w:rPr>
                      <w:b/>
                      <w:sz w:val="21"/>
                      <w:szCs w:val="21"/>
                      <w:u w:val="single"/>
                    </w:rPr>
                  </w:pPr>
                  <w:r>
                    <w:rPr>
                      <w:b/>
                      <w:sz w:val="21"/>
                      <w:szCs w:val="21"/>
                      <w:u w:val="single"/>
                    </w:rPr>
                    <w:t>34.717487</w:t>
                  </w:r>
                </w:p>
              </w:tc>
              <w:tc>
                <w:tcPr>
                  <w:tcW w:w="368" w:type="pct"/>
                  <w:vAlign w:val="center"/>
                </w:tcPr>
                <w:p w14:paraId="0A892DAB">
                  <w:pPr>
                    <w:pStyle w:val="154"/>
                    <w:rPr>
                      <w:b/>
                      <w:sz w:val="21"/>
                      <w:szCs w:val="21"/>
                      <w:u w:val="single"/>
                    </w:rPr>
                  </w:pPr>
                  <w:r>
                    <w:rPr>
                      <w:b/>
                      <w:sz w:val="21"/>
                      <w:szCs w:val="21"/>
                      <w:u w:val="single"/>
                    </w:rPr>
                    <w:t>居住区</w:t>
                  </w:r>
                </w:p>
              </w:tc>
              <w:tc>
                <w:tcPr>
                  <w:tcW w:w="477" w:type="pct"/>
                  <w:noWrap/>
                  <w:vAlign w:val="center"/>
                </w:tcPr>
                <w:p w14:paraId="6F50AC69">
                  <w:pPr>
                    <w:pStyle w:val="154"/>
                    <w:rPr>
                      <w:b/>
                      <w:sz w:val="21"/>
                      <w:szCs w:val="21"/>
                      <w:u w:val="single"/>
                    </w:rPr>
                  </w:pPr>
                  <w:r>
                    <w:rPr>
                      <w:b/>
                      <w:sz w:val="21"/>
                      <w:szCs w:val="21"/>
                      <w:u w:val="single"/>
                    </w:rPr>
                    <w:t>村民</w:t>
                  </w:r>
                </w:p>
              </w:tc>
              <w:tc>
                <w:tcPr>
                  <w:tcW w:w="598" w:type="pct"/>
                  <w:vAlign w:val="center"/>
                </w:tcPr>
                <w:p w14:paraId="1A41341E">
                  <w:pPr>
                    <w:pStyle w:val="154"/>
                    <w:rPr>
                      <w:b/>
                      <w:sz w:val="21"/>
                      <w:szCs w:val="21"/>
                      <w:u w:val="single"/>
                    </w:rPr>
                  </w:pPr>
                  <w:r>
                    <w:rPr>
                      <w:b/>
                      <w:sz w:val="21"/>
                      <w:szCs w:val="21"/>
                      <w:u w:val="single"/>
                    </w:rPr>
                    <w:t>二类区</w:t>
                  </w:r>
                </w:p>
              </w:tc>
              <w:tc>
                <w:tcPr>
                  <w:tcW w:w="405" w:type="pct"/>
                  <w:vAlign w:val="center"/>
                </w:tcPr>
                <w:p w14:paraId="45466681">
                  <w:pPr>
                    <w:pStyle w:val="154"/>
                    <w:rPr>
                      <w:b/>
                      <w:sz w:val="21"/>
                      <w:szCs w:val="21"/>
                      <w:u w:val="single"/>
                    </w:rPr>
                  </w:pPr>
                  <w:r>
                    <w:rPr>
                      <w:b/>
                      <w:sz w:val="21"/>
                      <w:szCs w:val="21"/>
                      <w:u w:val="single"/>
                    </w:rPr>
                    <w:t>N</w:t>
                  </w:r>
                  <w:r>
                    <w:rPr>
                      <w:rFonts w:hint="eastAsia"/>
                      <w:b/>
                      <w:sz w:val="21"/>
                      <w:szCs w:val="21"/>
                      <w:u w:val="single"/>
                    </w:rPr>
                    <w:t>W</w:t>
                  </w:r>
                </w:p>
              </w:tc>
              <w:tc>
                <w:tcPr>
                  <w:tcW w:w="530" w:type="pct"/>
                  <w:vAlign w:val="center"/>
                </w:tcPr>
                <w:p w14:paraId="091D0B58">
                  <w:pPr>
                    <w:pStyle w:val="154"/>
                    <w:rPr>
                      <w:b/>
                      <w:sz w:val="21"/>
                      <w:szCs w:val="21"/>
                      <w:u w:val="single"/>
                    </w:rPr>
                  </w:pPr>
                  <w:r>
                    <w:rPr>
                      <w:rFonts w:hint="eastAsia"/>
                      <w:b/>
                      <w:sz w:val="21"/>
                      <w:szCs w:val="21"/>
                      <w:u w:val="single"/>
                    </w:rPr>
                    <w:t>332</w:t>
                  </w:r>
                </w:p>
              </w:tc>
            </w:tr>
            <w:tr w14:paraId="46B1D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55" w:type="pct"/>
                  <w:vAlign w:val="center"/>
                </w:tcPr>
                <w:p w14:paraId="3DB31B23">
                  <w:pPr>
                    <w:pStyle w:val="154"/>
                    <w:rPr>
                      <w:b/>
                      <w:sz w:val="21"/>
                      <w:szCs w:val="21"/>
                      <w:u w:val="single"/>
                    </w:rPr>
                  </w:pPr>
                  <w:r>
                    <w:rPr>
                      <w:b/>
                      <w:sz w:val="21"/>
                      <w:szCs w:val="21"/>
                      <w:u w:val="single"/>
                    </w:rPr>
                    <w:t>2</w:t>
                  </w:r>
                </w:p>
              </w:tc>
              <w:tc>
                <w:tcPr>
                  <w:tcW w:w="1069" w:type="pct"/>
                  <w:noWrap/>
                  <w:vAlign w:val="center"/>
                </w:tcPr>
                <w:p w14:paraId="3913832F">
                  <w:pPr>
                    <w:pStyle w:val="154"/>
                    <w:rPr>
                      <w:b/>
                      <w:sz w:val="21"/>
                      <w:szCs w:val="21"/>
                      <w:u w:val="single"/>
                    </w:rPr>
                  </w:pPr>
                  <w:r>
                    <w:rPr>
                      <w:b/>
                      <w:sz w:val="21"/>
                      <w:szCs w:val="21"/>
                      <w:u w:val="single"/>
                    </w:rPr>
                    <w:t>东屯村安置小区</w:t>
                  </w:r>
                </w:p>
              </w:tc>
              <w:tc>
                <w:tcPr>
                  <w:tcW w:w="729" w:type="pct"/>
                  <w:noWrap/>
                  <w:vAlign w:val="center"/>
                </w:tcPr>
                <w:p w14:paraId="73C93C25">
                  <w:pPr>
                    <w:pStyle w:val="154"/>
                    <w:rPr>
                      <w:b/>
                      <w:sz w:val="21"/>
                      <w:szCs w:val="21"/>
                      <w:u w:val="single"/>
                    </w:rPr>
                  </w:pPr>
                  <w:r>
                    <w:rPr>
                      <w:b/>
                      <w:sz w:val="21"/>
                      <w:szCs w:val="21"/>
                      <w:u w:val="single"/>
                    </w:rPr>
                    <w:t>112.8</w:t>
                  </w:r>
                  <w:r>
                    <w:rPr>
                      <w:rFonts w:hint="eastAsia"/>
                      <w:b/>
                      <w:sz w:val="21"/>
                      <w:szCs w:val="21"/>
                      <w:u w:val="single"/>
                    </w:rPr>
                    <w:t>34224</w:t>
                  </w:r>
                </w:p>
              </w:tc>
              <w:tc>
                <w:tcPr>
                  <w:tcW w:w="669" w:type="pct"/>
                  <w:noWrap/>
                  <w:vAlign w:val="center"/>
                </w:tcPr>
                <w:p w14:paraId="62165FE9">
                  <w:pPr>
                    <w:pStyle w:val="154"/>
                    <w:rPr>
                      <w:b/>
                      <w:sz w:val="21"/>
                      <w:szCs w:val="21"/>
                      <w:u w:val="single"/>
                    </w:rPr>
                  </w:pPr>
                  <w:r>
                    <w:rPr>
                      <w:b/>
                      <w:sz w:val="21"/>
                      <w:szCs w:val="21"/>
                      <w:u w:val="single"/>
                    </w:rPr>
                    <w:t>34.71</w:t>
                  </w:r>
                  <w:r>
                    <w:rPr>
                      <w:rFonts w:hint="eastAsia"/>
                      <w:b/>
                      <w:sz w:val="21"/>
                      <w:szCs w:val="21"/>
                      <w:u w:val="single"/>
                    </w:rPr>
                    <w:t>5812</w:t>
                  </w:r>
                </w:p>
              </w:tc>
              <w:tc>
                <w:tcPr>
                  <w:tcW w:w="368" w:type="pct"/>
                  <w:vAlign w:val="center"/>
                </w:tcPr>
                <w:p w14:paraId="6D9BF39A">
                  <w:pPr>
                    <w:pStyle w:val="154"/>
                    <w:rPr>
                      <w:b/>
                      <w:sz w:val="21"/>
                      <w:szCs w:val="21"/>
                      <w:u w:val="single"/>
                    </w:rPr>
                  </w:pPr>
                  <w:r>
                    <w:rPr>
                      <w:b/>
                      <w:sz w:val="21"/>
                      <w:szCs w:val="21"/>
                      <w:u w:val="single"/>
                    </w:rPr>
                    <w:t>居住区</w:t>
                  </w:r>
                </w:p>
              </w:tc>
              <w:tc>
                <w:tcPr>
                  <w:tcW w:w="477" w:type="pct"/>
                  <w:noWrap/>
                  <w:vAlign w:val="center"/>
                </w:tcPr>
                <w:p w14:paraId="5996CCEB">
                  <w:pPr>
                    <w:pStyle w:val="154"/>
                    <w:rPr>
                      <w:b/>
                      <w:sz w:val="21"/>
                      <w:szCs w:val="21"/>
                      <w:u w:val="single"/>
                    </w:rPr>
                  </w:pPr>
                  <w:r>
                    <w:rPr>
                      <w:b/>
                      <w:sz w:val="21"/>
                      <w:szCs w:val="21"/>
                      <w:u w:val="single"/>
                    </w:rPr>
                    <w:t>村民</w:t>
                  </w:r>
                </w:p>
              </w:tc>
              <w:tc>
                <w:tcPr>
                  <w:tcW w:w="598" w:type="pct"/>
                  <w:vAlign w:val="center"/>
                </w:tcPr>
                <w:p w14:paraId="30951559">
                  <w:pPr>
                    <w:pStyle w:val="154"/>
                    <w:rPr>
                      <w:b/>
                      <w:sz w:val="21"/>
                      <w:szCs w:val="21"/>
                      <w:u w:val="single"/>
                    </w:rPr>
                  </w:pPr>
                  <w:r>
                    <w:rPr>
                      <w:b/>
                      <w:sz w:val="21"/>
                      <w:szCs w:val="21"/>
                      <w:u w:val="single"/>
                    </w:rPr>
                    <w:t>二类区</w:t>
                  </w:r>
                </w:p>
              </w:tc>
              <w:tc>
                <w:tcPr>
                  <w:tcW w:w="405" w:type="pct"/>
                  <w:vAlign w:val="center"/>
                </w:tcPr>
                <w:p w14:paraId="64227CF2">
                  <w:pPr>
                    <w:pStyle w:val="154"/>
                    <w:rPr>
                      <w:b/>
                      <w:sz w:val="21"/>
                      <w:szCs w:val="21"/>
                      <w:u w:val="single"/>
                    </w:rPr>
                  </w:pPr>
                  <w:r>
                    <w:rPr>
                      <w:b/>
                      <w:sz w:val="21"/>
                      <w:szCs w:val="21"/>
                      <w:u w:val="single"/>
                    </w:rPr>
                    <w:t>SE</w:t>
                  </w:r>
                </w:p>
              </w:tc>
              <w:tc>
                <w:tcPr>
                  <w:tcW w:w="530" w:type="pct"/>
                  <w:vAlign w:val="center"/>
                </w:tcPr>
                <w:p w14:paraId="5F1026EC">
                  <w:pPr>
                    <w:pStyle w:val="154"/>
                    <w:rPr>
                      <w:b/>
                      <w:sz w:val="21"/>
                      <w:szCs w:val="21"/>
                      <w:u w:val="single"/>
                    </w:rPr>
                  </w:pPr>
                  <w:r>
                    <w:rPr>
                      <w:rFonts w:hint="eastAsia"/>
                      <w:b/>
                      <w:sz w:val="21"/>
                      <w:szCs w:val="21"/>
                      <w:u w:val="single"/>
                    </w:rPr>
                    <w:t>123</w:t>
                  </w:r>
                </w:p>
              </w:tc>
            </w:tr>
            <w:tr w14:paraId="0B4CC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4" w:hRule="atLeast"/>
              </w:trPr>
              <w:tc>
                <w:tcPr>
                  <w:tcW w:w="155" w:type="pct"/>
                  <w:vAlign w:val="center"/>
                </w:tcPr>
                <w:p w14:paraId="287309E8">
                  <w:pPr>
                    <w:pStyle w:val="154"/>
                    <w:rPr>
                      <w:b/>
                      <w:sz w:val="21"/>
                      <w:szCs w:val="21"/>
                      <w:u w:val="single"/>
                    </w:rPr>
                  </w:pPr>
                  <w:r>
                    <w:rPr>
                      <w:b/>
                      <w:sz w:val="21"/>
                      <w:szCs w:val="21"/>
                      <w:u w:val="single"/>
                    </w:rPr>
                    <w:t>3</w:t>
                  </w:r>
                </w:p>
              </w:tc>
              <w:tc>
                <w:tcPr>
                  <w:tcW w:w="1069" w:type="pct"/>
                  <w:noWrap/>
                  <w:vAlign w:val="center"/>
                </w:tcPr>
                <w:p w14:paraId="01944B68">
                  <w:pPr>
                    <w:pStyle w:val="154"/>
                    <w:rPr>
                      <w:b/>
                      <w:sz w:val="21"/>
                      <w:szCs w:val="21"/>
                      <w:u w:val="single"/>
                    </w:rPr>
                  </w:pPr>
                  <w:r>
                    <w:rPr>
                      <w:rFonts w:hint="eastAsia"/>
                      <w:b/>
                      <w:sz w:val="21"/>
                      <w:szCs w:val="21"/>
                      <w:u w:val="single"/>
                    </w:rPr>
                    <w:t>新世纪老年公寓</w:t>
                  </w:r>
                </w:p>
              </w:tc>
              <w:tc>
                <w:tcPr>
                  <w:tcW w:w="729" w:type="pct"/>
                  <w:noWrap/>
                  <w:vAlign w:val="center"/>
                </w:tcPr>
                <w:p w14:paraId="14959F9A">
                  <w:pPr>
                    <w:pStyle w:val="154"/>
                    <w:rPr>
                      <w:b/>
                      <w:sz w:val="21"/>
                      <w:szCs w:val="21"/>
                      <w:u w:val="single"/>
                    </w:rPr>
                  </w:pPr>
                  <w:r>
                    <w:rPr>
                      <w:b/>
                      <w:sz w:val="21"/>
                      <w:szCs w:val="21"/>
                      <w:u w:val="single"/>
                    </w:rPr>
                    <w:t>112.8</w:t>
                  </w:r>
                  <w:r>
                    <w:rPr>
                      <w:rFonts w:hint="eastAsia"/>
                      <w:b/>
                      <w:sz w:val="21"/>
                      <w:szCs w:val="21"/>
                      <w:u w:val="single"/>
                    </w:rPr>
                    <w:t>32401</w:t>
                  </w:r>
                </w:p>
              </w:tc>
              <w:tc>
                <w:tcPr>
                  <w:tcW w:w="669" w:type="pct"/>
                  <w:noWrap/>
                  <w:vAlign w:val="center"/>
                </w:tcPr>
                <w:p w14:paraId="16DE46E6">
                  <w:pPr>
                    <w:pStyle w:val="154"/>
                    <w:rPr>
                      <w:b/>
                      <w:sz w:val="21"/>
                      <w:szCs w:val="21"/>
                      <w:u w:val="single"/>
                    </w:rPr>
                  </w:pPr>
                  <w:r>
                    <w:rPr>
                      <w:b/>
                      <w:sz w:val="21"/>
                      <w:szCs w:val="21"/>
                      <w:u w:val="single"/>
                    </w:rPr>
                    <w:t>34.7</w:t>
                  </w:r>
                  <w:r>
                    <w:rPr>
                      <w:rFonts w:hint="eastAsia"/>
                      <w:b/>
                      <w:sz w:val="21"/>
                      <w:szCs w:val="21"/>
                      <w:u w:val="single"/>
                    </w:rPr>
                    <w:t>19551</w:t>
                  </w:r>
                </w:p>
              </w:tc>
              <w:tc>
                <w:tcPr>
                  <w:tcW w:w="368" w:type="pct"/>
                  <w:vAlign w:val="center"/>
                </w:tcPr>
                <w:p w14:paraId="3543226C">
                  <w:pPr>
                    <w:pStyle w:val="154"/>
                    <w:rPr>
                      <w:b/>
                      <w:sz w:val="21"/>
                      <w:szCs w:val="21"/>
                      <w:u w:val="single"/>
                    </w:rPr>
                  </w:pPr>
                  <w:r>
                    <w:rPr>
                      <w:b/>
                      <w:sz w:val="21"/>
                      <w:szCs w:val="21"/>
                      <w:u w:val="single"/>
                    </w:rPr>
                    <w:t>居住区</w:t>
                  </w:r>
                </w:p>
              </w:tc>
              <w:tc>
                <w:tcPr>
                  <w:tcW w:w="477" w:type="pct"/>
                  <w:noWrap/>
                  <w:vAlign w:val="center"/>
                </w:tcPr>
                <w:p w14:paraId="42E7D1B1">
                  <w:pPr>
                    <w:pStyle w:val="154"/>
                    <w:rPr>
                      <w:b/>
                      <w:sz w:val="21"/>
                      <w:szCs w:val="21"/>
                      <w:u w:val="single"/>
                    </w:rPr>
                  </w:pPr>
                  <w:r>
                    <w:rPr>
                      <w:b/>
                      <w:sz w:val="21"/>
                      <w:szCs w:val="21"/>
                      <w:u w:val="single"/>
                    </w:rPr>
                    <w:t>村民</w:t>
                  </w:r>
                </w:p>
              </w:tc>
              <w:tc>
                <w:tcPr>
                  <w:tcW w:w="598" w:type="pct"/>
                  <w:vAlign w:val="center"/>
                </w:tcPr>
                <w:p w14:paraId="7E664F77">
                  <w:pPr>
                    <w:pStyle w:val="154"/>
                    <w:rPr>
                      <w:b/>
                      <w:sz w:val="21"/>
                      <w:szCs w:val="21"/>
                      <w:u w:val="single"/>
                    </w:rPr>
                  </w:pPr>
                  <w:r>
                    <w:rPr>
                      <w:b/>
                      <w:sz w:val="21"/>
                      <w:szCs w:val="21"/>
                      <w:u w:val="single"/>
                    </w:rPr>
                    <w:t>二类区</w:t>
                  </w:r>
                </w:p>
              </w:tc>
              <w:tc>
                <w:tcPr>
                  <w:tcW w:w="405" w:type="pct"/>
                  <w:vAlign w:val="center"/>
                </w:tcPr>
                <w:p w14:paraId="2E841E4A">
                  <w:pPr>
                    <w:pStyle w:val="154"/>
                    <w:rPr>
                      <w:b/>
                      <w:sz w:val="21"/>
                      <w:szCs w:val="21"/>
                      <w:u w:val="single"/>
                    </w:rPr>
                  </w:pPr>
                  <w:r>
                    <w:rPr>
                      <w:b/>
                      <w:sz w:val="21"/>
                      <w:szCs w:val="21"/>
                      <w:u w:val="single"/>
                    </w:rPr>
                    <w:t>N</w:t>
                  </w:r>
                  <w:r>
                    <w:rPr>
                      <w:rFonts w:hint="eastAsia"/>
                      <w:b/>
                      <w:sz w:val="21"/>
                      <w:szCs w:val="21"/>
                      <w:u w:val="single"/>
                    </w:rPr>
                    <w:t>W</w:t>
                  </w:r>
                </w:p>
              </w:tc>
              <w:tc>
                <w:tcPr>
                  <w:tcW w:w="530" w:type="pct"/>
                  <w:vAlign w:val="center"/>
                </w:tcPr>
                <w:p w14:paraId="3DF70621">
                  <w:pPr>
                    <w:pStyle w:val="154"/>
                    <w:rPr>
                      <w:b/>
                      <w:sz w:val="21"/>
                      <w:szCs w:val="21"/>
                      <w:u w:val="single"/>
                    </w:rPr>
                  </w:pPr>
                  <w:r>
                    <w:rPr>
                      <w:rFonts w:hint="eastAsia"/>
                      <w:b/>
                      <w:sz w:val="21"/>
                      <w:szCs w:val="21"/>
                      <w:u w:val="single"/>
                    </w:rPr>
                    <w:t>308</w:t>
                  </w:r>
                </w:p>
              </w:tc>
            </w:tr>
            <w:tr w14:paraId="39BFD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4" w:hRule="atLeast"/>
              </w:trPr>
              <w:tc>
                <w:tcPr>
                  <w:tcW w:w="155" w:type="pct"/>
                  <w:vAlign w:val="center"/>
                </w:tcPr>
                <w:p w14:paraId="1DDBAD5C">
                  <w:pPr>
                    <w:pStyle w:val="154"/>
                    <w:rPr>
                      <w:b/>
                      <w:sz w:val="21"/>
                      <w:szCs w:val="21"/>
                      <w:u w:val="single"/>
                    </w:rPr>
                  </w:pPr>
                  <w:r>
                    <w:rPr>
                      <w:b/>
                      <w:sz w:val="21"/>
                      <w:szCs w:val="21"/>
                      <w:u w:val="single"/>
                    </w:rPr>
                    <w:t>4</w:t>
                  </w:r>
                </w:p>
              </w:tc>
              <w:tc>
                <w:tcPr>
                  <w:tcW w:w="1069" w:type="pct"/>
                  <w:noWrap/>
                  <w:vAlign w:val="center"/>
                </w:tcPr>
                <w:p w14:paraId="7F3ED972">
                  <w:pPr>
                    <w:pStyle w:val="154"/>
                    <w:rPr>
                      <w:b/>
                      <w:sz w:val="21"/>
                      <w:szCs w:val="21"/>
                      <w:u w:val="single"/>
                    </w:rPr>
                  </w:pPr>
                  <w:r>
                    <w:rPr>
                      <w:b/>
                      <w:sz w:val="21"/>
                      <w:szCs w:val="21"/>
                      <w:u w:val="single"/>
                    </w:rPr>
                    <w:t>汤泉村</w:t>
                  </w:r>
                </w:p>
              </w:tc>
              <w:tc>
                <w:tcPr>
                  <w:tcW w:w="729" w:type="pct"/>
                  <w:noWrap/>
                  <w:vAlign w:val="center"/>
                </w:tcPr>
                <w:p w14:paraId="3334DF54">
                  <w:pPr>
                    <w:pStyle w:val="154"/>
                    <w:rPr>
                      <w:b/>
                      <w:sz w:val="21"/>
                      <w:szCs w:val="21"/>
                      <w:u w:val="single"/>
                    </w:rPr>
                  </w:pPr>
                  <w:r>
                    <w:rPr>
                      <w:b/>
                      <w:sz w:val="21"/>
                      <w:szCs w:val="21"/>
                      <w:u w:val="single"/>
                    </w:rPr>
                    <w:t>112.8</w:t>
                  </w:r>
                  <w:r>
                    <w:rPr>
                      <w:rFonts w:hint="eastAsia"/>
                      <w:b/>
                      <w:sz w:val="21"/>
                      <w:szCs w:val="21"/>
                      <w:u w:val="single"/>
                    </w:rPr>
                    <w:t>30105</w:t>
                  </w:r>
                </w:p>
              </w:tc>
              <w:tc>
                <w:tcPr>
                  <w:tcW w:w="669" w:type="pct"/>
                  <w:noWrap/>
                  <w:vAlign w:val="center"/>
                </w:tcPr>
                <w:p w14:paraId="6230A07C">
                  <w:pPr>
                    <w:pStyle w:val="154"/>
                    <w:rPr>
                      <w:b/>
                      <w:sz w:val="21"/>
                      <w:szCs w:val="21"/>
                      <w:u w:val="single"/>
                    </w:rPr>
                  </w:pPr>
                  <w:r>
                    <w:rPr>
                      <w:b/>
                      <w:sz w:val="21"/>
                      <w:szCs w:val="21"/>
                      <w:u w:val="single"/>
                    </w:rPr>
                    <w:t>34.7</w:t>
                  </w:r>
                  <w:r>
                    <w:rPr>
                      <w:rFonts w:hint="eastAsia"/>
                      <w:b/>
                      <w:sz w:val="21"/>
                      <w:szCs w:val="21"/>
                      <w:u w:val="single"/>
                    </w:rPr>
                    <w:t>20292</w:t>
                  </w:r>
                </w:p>
              </w:tc>
              <w:tc>
                <w:tcPr>
                  <w:tcW w:w="368" w:type="pct"/>
                  <w:vAlign w:val="center"/>
                </w:tcPr>
                <w:p w14:paraId="23058914">
                  <w:pPr>
                    <w:pStyle w:val="154"/>
                    <w:rPr>
                      <w:b/>
                      <w:sz w:val="21"/>
                      <w:szCs w:val="21"/>
                      <w:u w:val="single"/>
                    </w:rPr>
                  </w:pPr>
                  <w:r>
                    <w:rPr>
                      <w:b/>
                      <w:sz w:val="21"/>
                      <w:szCs w:val="21"/>
                      <w:u w:val="single"/>
                    </w:rPr>
                    <w:t>居住区</w:t>
                  </w:r>
                </w:p>
              </w:tc>
              <w:tc>
                <w:tcPr>
                  <w:tcW w:w="477" w:type="pct"/>
                  <w:noWrap/>
                  <w:vAlign w:val="center"/>
                </w:tcPr>
                <w:p w14:paraId="75E5B09F">
                  <w:pPr>
                    <w:pStyle w:val="154"/>
                    <w:rPr>
                      <w:b/>
                      <w:sz w:val="21"/>
                      <w:szCs w:val="21"/>
                      <w:u w:val="single"/>
                    </w:rPr>
                  </w:pPr>
                  <w:r>
                    <w:rPr>
                      <w:b/>
                      <w:sz w:val="21"/>
                      <w:szCs w:val="21"/>
                      <w:u w:val="single"/>
                    </w:rPr>
                    <w:t>村民</w:t>
                  </w:r>
                </w:p>
              </w:tc>
              <w:tc>
                <w:tcPr>
                  <w:tcW w:w="598" w:type="pct"/>
                  <w:vAlign w:val="center"/>
                </w:tcPr>
                <w:p w14:paraId="77A48625">
                  <w:pPr>
                    <w:pStyle w:val="154"/>
                    <w:rPr>
                      <w:b/>
                      <w:sz w:val="21"/>
                      <w:szCs w:val="21"/>
                      <w:u w:val="single"/>
                    </w:rPr>
                  </w:pPr>
                  <w:r>
                    <w:rPr>
                      <w:b/>
                      <w:sz w:val="21"/>
                      <w:szCs w:val="21"/>
                      <w:u w:val="single"/>
                    </w:rPr>
                    <w:t>二类区</w:t>
                  </w:r>
                </w:p>
              </w:tc>
              <w:tc>
                <w:tcPr>
                  <w:tcW w:w="405" w:type="pct"/>
                  <w:vAlign w:val="center"/>
                </w:tcPr>
                <w:p w14:paraId="6D352FC4">
                  <w:pPr>
                    <w:pStyle w:val="154"/>
                    <w:rPr>
                      <w:b/>
                      <w:sz w:val="21"/>
                      <w:szCs w:val="21"/>
                      <w:u w:val="single"/>
                    </w:rPr>
                  </w:pPr>
                  <w:r>
                    <w:rPr>
                      <w:rFonts w:hint="eastAsia"/>
                      <w:b/>
                      <w:sz w:val="21"/>
                      <w:szCs w:val="21"/>
                      <w:u w:val="single"/>
                    </w:rPr>
                    <w:t>NW</w:t>
                  </w:r>
                </w:p>
              </w:tc>
              <w:tc>
                <w:tcPr>
                  <w:tcW w:w="530" w:type="pct"/>
                  <w:vAlign w:val="center"/>
                </w:tcPr>
                <w:p w14:paraId="0D5328A9">
                  <w:pPr>
                    <w:pStyle w:val="154"/>
                    <w:rPr>
                      <w:b/>
                      <w:sz w:val="21"/>
                      <w:szCs w:val="21"/>
                      <w:u w:val="single"/>
                    </w:rPr>
                  </w:pPr>
                  <w:r>
                    <w:rPr>
                      <w:rFonts w:hint="eastAsia"/>
                      <w:b/>
                      <w:sz w:val="21"/>
                      <w:szCs w:val="21"/>
                      <w:u w:val="single"/>
                    </w:rPr>
                    <w:t>458</w:t>
                  </w:r>
                </w:p>
              </w:tc>
            </w:tr>
            <w:tr w14:paraId="3A493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4" w:hRule="atLeast"/>
              </w:trPr>
              <w:tc>
                <w:tcPr>
                  <w:tcW w:w="155" w:type="pct"/>
                  <w:vAlign w:val="center"/>
                </w:tcPr>
                <w:p w14:paraId="6062630A">
                  <w:pPr>
                    <w:pStyle w:val="154"/>
                    <w:rPr>
                      <w:b/>
                      <w:sz w:val="21"/>
                      <w:szCs w:val="21"/>
                      <w:u w:val="single"/>
                    </w:rPr>
                  </w:pPr>
                  <w:r>
                    <w:rPr>
                      <w:b/>
                      <w:sz w:val="21"/>
                      <w:szCs w:val="21"/>
                      <w:u w:val="single"/>
                    </w:rPr>
                    <w:t>5</w:t>
                  </w:r>
                </w:p>
              </w:tc>
              <w:tc>
                <w:tcPr>
                  <w:tcW w:w="1069" w:type="pct"/>
                  <w:noWrap/>
                  <w:vAlign w:val="center"/>
                </w:tcPr>
                <w:p w14:paraId="3E934777">
                  <w:pPr>
                    <w:pStyle w:val="154"/>
                    <w:rPr>
                      <w:b/>
                      <w:sz w:val="21"/>
                      <w:szCs w:val="21"/>
                      <w:u w:val="single"/>
                    </w:rPr>
                  </w:pPr>
                  <w:r>
                    <w:rPr>
                      <w:rFonts w:hint="eastAsia"/>
                      <w:b/>
                      <w:sz w:val="21"/>
                      <w:szCs w:val="21"/>
                      <w:u w:val="single"/>
                    </w:rPr>
                    <w:t>东屯村</w:t>
                  </w:r>
                </w:p>
              </w:tc>
              <w:tc>
                <w:tcPr>
                  <w:tcW w:w="729" w:type="pct"/>
                  <w:noWrap/>
                  <w:vAlign w:val="center"/>
                </w:tcPr>
                <w:p w14:paraId="049B6CA5">
                  <w:pPr>
                    <w:pStyle w:val="154"/>
                    <w:rPr>
                      <w:b/>
                      <w:sz w:val="21"/>
                      <w:szCs w:val="21"/>
                      <w:u w:val="single"/>
                    </w:rPr>
                  </w:pPr>
                  <w:r>
                    <w:rPr>
                      <w:b/>
                      <w:sz w:val="21"/>
                      <w:szCs w:val="21"/>
                      <w:u w:val="single"/>
                    </w:rPr>
                    <w:t>112.8</w:t>
                  </w:r>
                  <w:r>
                    <w:rPr>
                      <w:rFonts w:hint="eastAsia"/>
                      <w:b/>
                      <w:sz w:val="21"/>
                      <w:szCs w:val="21"/>
                      <w:u w:val="single"/>
                    </w:rPr>
                    <w:t>34804</w:t>
                  </w:r>
                </w:p>
              </w:tc>
              <w:tc>
                <w:tcPr>
                  <w:tcW w:w="669" w:type="pct"/>
                  <w:noWrap/>
                  <w:vAlign w:val="center"/>
                </w:tcPr>
                <w:p w14:paraId="184EA238">
                  <w:pPr>
                    <w:pStyle w:val="154"/>
                    <w:rPr>
                      <w:b/>
                      <w:sz w:val="21"/>
                      <w:szCs w:val="21"/>
                      <w:u w:val="single"/>
                    </w:rPr>
                  </w:pPr>
                  <w:r>
                    <w:rPr>
                      <w:b/>
                      <w:sz w:val="21"/>
                      <w:szCs w:val="21"/>
                      <w:u w:val="single"/>
                    </w:rPr>
                    <w:t>34.7</w:t>
                  </w:r>
                  <w:r>
                    <w:rPr>
                      <w:rFonts w:hint="eastAsia"/>
                      <w:b/>
                      <w:sz w:val="21"/>
                      <w:szCs w:val="21"/>
                      <w:u w:val="single"/>
                    </w:rPr>
                    <w:t>20098</w:t>
                  </w:r>
                </w:p>
              </w:tc>
              <w:tc>
                <w:tcPr>
                  <w:tcW w:w="368" w:type="pct"/>
                  <w:vAlign w:val="center"/>
                </w:tcPr>
                <w:p w14:paraId="6ACC328F">
                  <w:pPr>
                    <w:pStyle w:val="154"/>
                    <w:rPr>
                      <w:b/>
                      <w:sz w:val="21"/>
                      <w:szCs w:val="21"/>
                      <w:u w:val="single"/>
                    </w:rPr>
                  </w:pPr>
                  <w:r>
                    <w:rPr>
                      <w:b/>
                      <w:sz w:val="21"/>
                      <w:szCs w:val="21"/>
                      <w:u w:val="single"/>
                    </w:rPr>
                    <w:t>居住区</w:t>
                  </w:r>
                </w:p>
              </w:tc>
              <w:tc>
                <w:tcPr>
                  <w:tcW w:w="477" w:type="pct"/>
                  <w:noWrap/>
                  <w:vAlign w:val="center"/>
                </w:tcPr>
                <w:p w14:paraId="75195BF2">
                  <w:pPr>
                    <w:pStyle w:val="154"/>
                    <w:rPr>
                      <w:b/>
                      <w:sz w:val="21"/>
                      <w:szCs w:val="21"/>
                      <w:u w:val="single"/>
                    </w:rPr>
                  </w:pPr>
                  <w:r>
                    <w:rPr>
                      <w:b/>
                      <w:sz w:val="21"/>
                      <w:szCs w:val="21"/>
                      <w:u w:val="single"/>
                    </w:rPr>
                    <w:t>村民</w:t>
                  </w:r>
                </w:p>
              </w:tc>
              <w:tc>
                <w:tcPr>
                  <w:tcW w:w="598" w:type="pct"/>
                  <w:vAlign w:val="center"/>
                </w:tcPr>
                <w:p w14:paraId="50757199">
                  <w:pPr>
                    <w:pStyle w:val="154"/>
                    <w:rPr>
                      <w:b/>
                      <w:sz w:val="21"/>
                      <w:szCs w:val="21"/>
                      <w:u w:val="single"/>
                    </w:rPr>
                  </w:pPr>
                  <w:r>
                    <w:rPr>
                      <w:b/>
                      <w:sz w:val="21"/>
                      <w:szCs w:val="21"/>
                      <w:u w:val="single"/>
                    </w:rPr>
                    <w:t>二类区</w:t>
                  </w:r>
                </w:p>
              </w:tc>
              <w:tc>
                <w:tcPr>
                  <w:tcW w:w="405" w:type="pct"/>
                  <w:vAlign w:val="center"/>
                </w:tcPr>
                <w:p w14:paraId="3D4B044F">
                  <w:pPr>
                    <w:pStyle w:val="154"/>
                    <w:rPr>
                      <w:b/>
                      <w:sz w:val="21"/>
                      <w:szCs w:val="21"/>
                      <w:u w:val="single"/>
                    </w:rPr>
                  </w:pPr>
                  <w:r>
                    <w:rPr>
                      <w:rFonts w:hint="eastAsia"/>
                      <w:b/>
                      <w:sz w:val="21"/>
                      <w:szCs w:val="21"/>
                      <w:u w:val="single"/>
                    </w:rPr>
                    <w:t>NE</w:t>
                  </w:r>
                </w:p>
              </w:tc>
              <w:tc>
                <w:tcPr>
                  <w:tcW w:w="530" w:type="pct"/>
                  <w:vAlign w:val="center"/>
                </w:tcPr>
                <w:p w14:paraId="253AAE4B">
                  <w:pPr>
                    <w:pStyle w:val="154"/>
                    <w:rPr>
                      <w:b/>
                      <w:sz w:val="21"/>
                      <w:szCs w:val="21"/>
                      <w:u w:val="single"/>
                    </w:rPr>
                  </w:pPr>
                  <w:r>
                    <w:rPr>
                      <w:rFonts w:hint="eastAsia"/>
                      <w:b/>
                      <w:sz w:val="21"/>
                      <w:szCs w:val="21"/>
                      <w:u w:val="single"/>
                    </w:rPr>
                    <w:t>412</w:t>
                  </w:r>
                </w:p>
              </w:tc>
            </w:tr>
          </w:tbl>
          <w:p w14:paraId="5E844300">
            <w:pPr>
              <w:pStyle w:val="182"/>
              <w:ind w:firstLine="480"/>
            </w:pPr>
            <w:r>
              <w:t>表3-</w:t>
            </w:r>
            <w:r>
              <w:rPr>
                <w:rFonts w:hint="eastAsia"/>
              </w:rPr>
              <w:t>2</w:t>
            </w:r>
            <w:r>
              <w:t xml:space="preserve">     项目敏感保护目标(声、地下水、地表水、生态环境)</w:t>
            </w:r>
          </w:p>
          <w:tbl>
            <w:tblPr>
              <w:tblStyle w:val="88"/>
              <w:tblW w:w="89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67"/>
              <w:gridCol w:w="7798"/>
            </w:tblGrid>
            <w:tr w14:paraId="4D8E6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 w:hRule="atLeast"/>
                <w:jc w:val="center"/>
              </w:trPr>
              <w:tc>
                <w:tcPr>
                  <w:tcW w:w="651" w:type="pct"/>
                  <w:vAlign w:val="center"/>
                </w:tcPr>
                <w:p w14:paraId="3AFD372B">
                  <w:pPr>
                    <w:pStyle w:val="154"/>
                    <w:rPr>
                      <w:sz w:val="21"/>
                      <w:szCs w:val="21"/>
                    </w:rPr>
                  </w:pPr>
                  <w:r>
                    <w:rPr>
                      <w:rFonts w:hint="eastAsia"/>
                      <w:sz w:val="21"/>
                      <w:szCs w:val="21"/>
                    </w:rPr>
                    <w:t>声环境</w:t>
                  </w:r>
                </w:p>
              </w:tc>
              <w:tc>
                <w:tcPr>
                  <w:tcW w:w="4349" w:type="pct"/>
                  <w:vAlign w:val="center"/>
                </w:tcPr>
                <w:p w14:paraId="3F0BC08D">
                  <w:pPr>
                    <w:pStyle w:val="154"/>
                    <w:jc w:val="left"/>
                    <w:rPr>
                      <w:sz w:val="21"/>
                      <w:szCs w:val="21"/>
                    </w:rPr>
                  </w:pPr>
                  <w:r>
                    <w:rPr>
                      <w:rFonts w:hint="eastAsia"/>
                      <w:sz w:val="21"/>
                      <w:szCs w:val="21"/>
                    </w:rPr>
                    <w:t>项目厂界</w:t>
                  </w:r>
                  <w:r>
                    <w:rPr>
                      <w:sz w:val="21"/>
                      <w:szCs w:val="21"/>
                    </w:rPr>
                    <w:t>50m</w:t>
                  </w:r>
                  <w:r>
                    <w:rPr>
                      <w:rFonts w:hint="eastAsia"/>
                      <w:sz w:val="21"/>
                      <w:szCs w:val="21"/>
                    </w:rPr>
                    <w:t>范围内无声环境保护目标</w:t>
                  </w:r>
                </w:p>
              </w:tc>
            </w:tr>
            <w:tr w14:paraId="08CCC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9" w:hRule="atLeast"/>
                <w:jc w:val="center"/>
              </w:trPr>
              <w:tc>
                <w:tcPr>
                  <w:tcW w:w="651" w:type="pct"/>
                  <w:vAlign w:val="center"/>
                </w:tcPr>
                <w:p w14:paraId="1EF298C4">
                  <w:pPr>
                    <w:pStyle w:val="154"/>
                    <w:rPr>
                      <w:sz w:val="21"/>
                      <w:szCs w:val="21"/>
                    </w:rPr>
                  </w:pPr>
                  <w:r>
                    <w:rPr>
                      <w:rFonts w:hint="eastAsia"/>
                      <w:sz w:val="21"/>
                      <w:szCs w:val="21"/>
                    </w:rPr>
                    <w:t>地下水环境</w:t>
                  </w:r>
                </w:p>
              </w:tc>
              <w:tc>
                <w:tcPr>
                  <w:tcW w:w="4349" w:type="pct"/>
                  <w:vAlign w:val="center"/>
                </w:tcPr>
                <w:p w14:paraId="40C4FD16">
                  <w:pPr>
                    <w:pStyle w:val="154"/>
                    <w:jc w:val="left"/>
                    <w:rPr>
                      <w:sz w:val="21"/>
                      <w:szCs w:val="21"/>
                    </w:rPr>
                  </w:pPr>
                  <w:r>
                    <w:rPr>
                      <w:rFonts w:hint="eastAsia"/>
                      <w:sz w:val="21"/>
                      <w:szCs w:val="21"/>
                    </w:rPr>
                    <w:t>厂界外</w:t>
                  </w:r>
                  <w:r>
                    <w:rPr>
                      <w:sz w:val="21"/>
                      <w:szCs w:val="21"/>
                    </w:rPr>
                    <w:t>500m</w:t>
                  </w:r>
                  <w:r>
                    <w:rPr>
                      <w:rFonts w:hint="eastAsia"/>
                      <w:sz w:val="21"/>
                      <w:szCs w:val="21"/>
                    </w:rPr>
                    <w:t>范围内无地下水集中式饮用水水源和热水、矿泉水、温泉等特殊地下水资源。</w:t>
                  </w:r>
                </w:p>
              </w:tc>
            </w:tr>
            <w:tr w14:paraId="7C75E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1" w:type="pct"/>
                  <w:vAlign w:val="center"/>
                </w:tcPr>
                <w:p w14:paraId="233CF94D">
                  <w:pPr>
                    <w:pStyle w:val="154"/>
                    <w:rPr>
                      <w:sz w:val="21"/>
                      <w:szCs w:val="21"/>
                    </w:rPr>
                  </w:pPr>
                  <w:r>
                    <w:rPr>
                      <w:rFonts w:hint="eastAsia"/>
                      <w:sz w:val="21"/>
                      <w:szCs w:val="21"/>
                    </w:rPr>
                    <w:t>生态环境</w:t>
                  </w:r>
                </w:p>
              </w:tc>
              <w:tc>
                <w:tcPr>
                  <w:tcW w:w="4349" w:type="pct"/>
                </w:tcPr>
                <w:p w14:paraId="37915915">
                  <w:pPr>
                    <w:pStyle w:val="154"/>
                    <w:jc w:val="left"/>
                    <w:rPr>
                      <w:sz w:val="21"/>
                      <w:szCs w:val="21"/>
                    </w:rPr>
                  </w:pPr>
                  <w:r>
                    <w:rPr>
                      <w:rFonts w:hint="eastAsia"/>
                      <w:sz w:val="21"/>
                      <w:szCs w:val="21"/>
                    </w:rPr>
                    <w:t>本项目位于产业园区内，利用现有工业厂房，项目不新增用地。</w:t>
                  </w:r>
                </w:p>
              </w:tc>
            </w:tr>
          </w:tbl>
          <w:p w14:paraId="2F2CA016">
            <w:pPr>
              <w:pStyle w:val="158"/>
              <w:spacing w:before="156"/>
            </w:pPr>
          </w:p>
          <w:p w14:paraId="19EB1430">
            <w:pPr>
              <w:pStyle w:val="156"/>
              <w:ind w:firstLine="480"/>
            </w:pPr>
          </w:p>
          <w:p w14:paraId="5E35E580">
            <w:pPr>
              <w:pStyle w:val="156"/>
              <w:ind w:firstLine="480"/>
            </w:pPr>
          </w:p>
          <w:p w14:paraId="0FCF1F38">
            <w:pPr>
              <w:pStyle w:val="156"/>
              <w:ind w:firstLine="480"/>
            </w:pPr>
          </w:p>
          <w:p w14:paraId="631A6E1E">
            <w:pPr>
              <w:pStyle w:val="156"/>
              <w:ind w:firstLine="480"/>
            </w:pPr>
          </w:p>
          <w:p w14:paraId="02548D3E">
            <w:pPr>
              <w:pStyle w:val="156"/>
              <w:ind w:firstLine="480"/>
            </w:pPr>
          </w:p>
          <w:p w14:paraId="658F30F9">
            <w:pPr>
              <w:pStyle w:val="156"/>
              <w:ind w:firstLine="480"/>
            </w:pPr>
          </w:p>
          <w:p w14:paraId="180D63D4">
            <w:pPr>
              <w:pStyle w:val="156"/>
              <w:ind w:firstLine="480"/>
            </w:pPr>
          </w:p>
          <w:p w14:paraId="237335B9">
            <w:pPr>
              <w:pStyle w:val="156"/>
              <w:ind w:firstLine="480"/>
            </w:pPr>
          </w:p>
          <w:p w14:paraId="18B01FC9">
            <w:pPr>
              <w:pStyle w:val="156"/>
              <w:ind w:firstLine="480"/>
            </w:pPr>
          </w:p>
          <w:p w14:paraId="2CA71604">
            <w:pPr>
              <w:pStyle w:val="156"/>
              <w:ind w:firstLine="480"/>
            </w:pPr>
          </w:p>
          <w:p w14:paraId="63E7C9DA">
            <w:pPr>
              <w:pStyle w:val="156"/>
              <w:ind w:firstLine="0" w:firstLineChars="0"/>
            </w:pPr>
          </w:p>
          <w:p w14:paraId="3E640520">
            <w:pPr>
              <w:pStyle w:val="156"/>
              <w:ind w:firstLine="0" w:firstLineChars="0"/>
            </w:pPr>
          </w:p>
        </w:tc>
      </w:tr>
      <w:tr w14:paraId="39B3A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000" w:type="pct"/>
            <w:tcBorders>
              <w:top w:val="single" w:color="auto" w:sz="4" w:space="0"/>
              <w:bottom w:val="single" w:color="auto" w:sz="4" w:space="0"/>
            </w:tcBorders>
            <w:tcMar>
              <w:top w:w="0" w:type="dxa"/>
              <w:left w:w="108" w:type="dxa"/>
              <w:bottom w:w="0" w:type="dxa"/>
              <w:right w:w="108" w:type="dxa"/>
            </w:tcMar>
          </w:tcPr>
          <w:p w14:paraId="6CC354B2">
            <w:pPr>
              <w:pStyle w:val="158"/>
              <w:spacing w:before="156"/>
            </w:pPr>
            <w:r>
              <w:t>污染物排放控制标准</w:t>
            </w:r>
          </w:p>
          <w:p w14:paraId="4DC04A71">
            <w:pPr>
              <w:pStyle w:val="157"/>
            </w:pPr>
            <w:r>
              <w:t>1、废气</w:t>
            </w:r>
          </w:p>
          <w:p w14:paraId="298808AD">
            <w:pPr>
              <w:pStyle w:val="156"/>
              <w:ind w:firstLine="482"/>
              <w:jc w:val="both"/>
              <w:rPr>
                <w:b/>
                <w:u w:val="single"/>
              </w:rPr>
            </w:pPr>
            <w:r>
              <w:rPr>
                <w:rFonts w:hint="eastAsia"/>
                <w:b/>
                <w:u w:val="single"/>
              </w:rPr>
              <w:t>排气筒DA001：颗粒物、非甲烷总烃、氯化氢排放执行</w:t>
            </w:r>
            <w:r>
              <w:rPr>
                <w:b/>
                <w:u w:val="single"/>
              </w:rPr>
              <w:t>《大气污染物综合排放标准》（GB16297-1996）</w:t>
            </w:r>
            <w:r>
              <w:rPr>
                <w:rFonts w:hint="eastAsia"/>
                <w:b/>
                <w:u w:val="single"/>
              </w:rPr>
              <w:t>；非甲烷总烃和颗粒物需同时满足《重污染天气重点行业应急减排措施制定技术指南（</w:t>
            </w:r>
            <w:r>
              <w:rPr>
                <w:b/>
                <w:u w:val="single"/>
              </w:rPr>
              <w:t>2020年修订版）》（环办大气函〔2020〕340号）中制鞋工业绩效引领性指标排放限值</w:t>
            </w:r>
            <w:r>
              <w:rPr>
                <w:rFonts w:hint="eastAsia"/>
                <w:b/>
                <w:u w:val="single"/>
              </w:rPr>
              <w:t>要求；非甲烷总烃排放执行</w:t>
            </w:r>
            <w:r>
              <w:rPr>
                <w:b/>
                <w:u w:val="single"/>
              </w:rPr>
              <w:t>《</w:t>
            </w:r>
            <w:r>
              <w:rPr>
                <w:rFonts w:hint="eastAsia"/>
                <w:b/>
                <w:u w:val="single"/>
              </w:rPr>
              <w:t>合成树脂工业污染物排放标准》(GB31572-2015及2024年修改单)</w:t>
            </w:r>
            <w:r>
              <w:rPr>
                <w:b/>
                <w:u w:val="single"/>
              </w:rPr>
              <w:t>。</w:t>
            </w:r>
          </w:p>
          <w:p w14:paraId="7503FC84">
            <w:pPr>
              <w:pStyle w:val="182"/>
              <w:ind w:firstLine="482"/>
              <w:rPr>
                <w:b/>
                <w:u w:val="single"/>
              </w:rPr>
            </w:pPr>
            <w:r>
              <w:rPr>
                <w:b/>
                <w:u w:val="single"/>
              </w:rPr>
              <w:t>表3-</w:t>
            </w:r>
            <w:r>
              <w:rPr>
                <w:rFonts w:hint="eastAsia"/>
                <w:b/>
                <w:u w:val="single"/>
              </w:rPr>
              <w:t>3</w:t>
            </w:r>
            <w:r>
              <w:rPr>
                <w:b/>
                <w:u w:val="single"/>
              </w:rPr>
              <w:t xml:space="preserve">              废气污染物排放标准</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229"/>
              <w:gridCol w:w="714"/>
              <w:gridCol w:w="1861"/>
              <w:gridCol w:w="5237"/>
            </w:tblGrid>
            <w:tr w14:paraId="3823BC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680" w:type="pct"/>
                  <w:vAlign w:val="center"/>
                </w:tcPr>
                <w:p w14:paraId="1BB00C74">
                  <w:pPr>
                    <w:pStyle w:val="154"/>
                    <w:rPr>
                      <w:b/>
                      <w:sz w:val="21"/>
                      <w:szCs w:val="21"/>
                      <w:u w:val="single"/>
                    </w:rPr>
                  </w:pPr>
                  <w:r>
                    <w:rPr>
                      <w:b/>
                      <w:sz w:val="21"/>
                      <w:szCs w:val="21"/>
                      <w:u w:val="single"/>
                    </w:rPr>
                    <w:t>监控位置</w:t>
                  </w:r>
                </w:p>
              </w:tc>
              <w:tc>
                <w:tcPr>
                  <w:tcW w:w="395" w:type="pct"/>
                  <w:vAlign w:val="center"/>
                </w:tcPr>
                <w:p w14:paraId="100A652C">
                  <w:pPr>
                    <w:pStyle w:val="154"/>
                    <w:rPr>
                      <w:b/>
                      <w:sz w:val="21"/>
                      <w:szCs w:val="21"/>
                      <w:u w:val="single"/>
                    </w:rPr>
                  </w:pPr>
                  <w:r>
                    <w:rPr>
                      <w:b/>
                      <w:sz w:val="21"/>
                      <w:szCs w:val="21"/>
                      <w:u w:val="single"/>
                    </w:rPr>
                    <w:t>污染物</w:t>
                  </w:r>
                </w:p>
              </w:tc>
              <w:tc>
                <w:tcPr>
                  <w:tcW w:w="1029" w:type="pct"/>
                  <w:vAlign w:val="center"/>
                </w:tcPr>
                <w:p w14:paraId="0D5BF255">
                  <w:pPr>
                    <w:pStyle w:val="154"/>
                    <w:rPr>
                      <w:b/>
                      <w:sz w:val="21"/>
                      <w:szCs w:val="21"/>
                      <w:u w:val="single"/>
                    </w:rPr>
                  </w:pPr>
                  <w:r>
                    <w:rPr>
                      <w:b/>
                      <w:sz w:val="21"/>
                      <w:szCs w:val="21"/>
                      <w:u w:val="single"/>
                    </w:rPr>
                    <w:t>标准值</w:t>
                  </w:r>
                </w:p>
              </w:tc>
              <w:tc>
                <w:tcPr>
                  <w:tcW w:w="2896" w:type="pct"/>
                  <w:vAlign w:val="center"/>
                </w:tcPr>
                <w:p w14:paraId="5F6B4AC9">
                  <w:pPr>
                    <w:pStyle w:val="154"/>
                    <w:rPr>
                      <w:b/>
                      <w:sz w:val="21"/>
                      <w:szCs w:val="21"/>
                      <w:u w:val="single"/>
                    </w:rPr>
                  </w:pPr>
                  <w:r>
                    <w:rPr>
                      <w:b/>
                      <w:sz w:val="21"/>
                      <w:szCs w:val="21"/>
                      <w:u w:val="single"/>
                    </w:rPr>
                    <w:t>标准来源</w:t>
                  </w:r>
                </w:p>
              </w:tc>
            </w:tr>
            <w:tr w14:paraId="483DF3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restart"/>
                  <w:vAlign w:val="center"/>
                </w:tcPr>
                <w:p w14:paraId="6B46BC38">
                  <w:pPr>
                    <w:pStyle w:val="154"/>
                    <w:rPr>
                      <w:b/>
                      <w:sz w:val="21"/>
                      <w:szCs w:val="21"/>
                      <w:u w:val="single"/>
                    </w:rPr>
                  </w:pPr>
                  <w:r>
                    <w:rPr>
                      <w:b/>
                      <w:sz w:val="21"/>
                      <w:szCs w:val="21"/>
                      <w:u w:val="single"/>
                    </w:rPr>
                    <w:t>DA001</w:t>
                  </w:r>
                </w:p>
                <w:p w14:paraId="7803315C">
                  <w:pPr>
                    <w:pStyle w:val="154"/>
                    <w:rPr>
                      <w:b/>
                      <w:sz w:val="21"/>
                      <w:szCs w:val="21"/>
                      <w:u w:val="single"/>
                    </w:rPr>
                  </w:pPr>
                </w:p>
              </w:tc>
              <w:tc>
                <w:tcPr>
                  <w:tcW w:w="395" w:type="pct"/>
                  <w:vMerge w:val="restart"/>
                  <w:vAlign w:val="center"/>
                </w:tcPr>
                <w:p w14:paraId="3D1CC97F">
                  <w:pPr>
                    <w:pStyle w:val="154"/>
                    <w:rPr>
                      <w:b/>
                      <w:sz w:val="21"/>
                      <w:szCs w:val="21"/>
                      <w:u w:val="single"/>
                    </w:rPr>
                  </w:pPr>
                  <w:r>
                    <w:rPr>
                      <w:b/>
                      <w:sz w:val="21"/>
                      <w:szCs w:val="21"/>
                      <w:u w:val="single"/>
                    </w:rPr>
                    <w:t>颗粒物</w:t>
                  </w:r>
                </w:p>
              </w:tc>
              <w:tc>
                <w:tcPr>
                  <w:tcW w:w="1029" w:type="pct"/>
                  <w:vAlign w:val="center"/>
                </w:tcPr>
                <w:p w14:paraId="4908F3E4">
                  <w:pPr>
                    <w:pStyle w:val="154"/>
                    <w:rPr>
                      <w:b/>
                      <w:sz w:val="21"/>
                      <w:szCs w:val="21"/>
                      <w:u w:val="single"/>
                    </w:rPr>
                  </w:pPr>
                  <w:r>
                    <w:rPr>
                      <w:b/>
                      <w:sz w:val="21"/>
                      <w:szCs w:val="21"/>
                      <w:u w:val="single"/>
                    </w:rPr>
                    <w:t>120mg/m</w:t>
                  </w:r>
                  <w:r>
                    <w:rPr>
                      <w:b/>
                      <w:sz w:val="21"/>
                      <w:szCs w:val="21"/>
                      <w:u w:val="single"/>
                      <w:vertAlign w:val="superscript"/>
                    </w:rPr>
                    <w:t>3</w:t>
                  </w:r>
                </w:p>
              </w:tc>
              <w:tc>
                <w:tcPr>
                  <w:tcW w:w="2896" w:type="pct"/>
                  <w:vMerge w:val="restart"/>
                  <w:vAlign w:val="center"/>
                </w:tcPr>
                <w:p w14:paraId="7417F083">
                  <w:pPr>
                    <w:pStyle w:val="154"/>
                    <w:rPr>
                      <w:b/>
                      <w:sz w:val="21"/>
                      <w:szCs w:val="21"/>
                      <w:u w:val="single"/>
                    </w:rPr>
                  </w:pPr>
                  <w:r>
                    <w:rPr>
                      <w:b/>
                      <w:sz w:val="21"/>
                      <w:szCs w:val="21"/>
                      <w:u w:val="single"/>
                    </w:rPr>
                    <w:t>《大气污染物综合排放标准》（GB16297-1996）表2二级</w:t>
                  </w:r>
                </w:p>
              </w:tc>
            </w:tr>
            <w:tr w14:paraId="0EC081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continue"/>
                  <w:vAlign w:val="center"/>
                </w:tcPr>
                <w:p w14:paraId="0E7FEE11">
                  <w:pPr>
                    <w:pStyle w:val="154"/>
                    <w:rPr>
                      <w:b/>
                      <w:sz w:val="21"/>
                      <w:szCs w:val="21"/>
                      <w:u w:val="single"/>
                    </w:rPr>
                  </w:pPr>
                </w:p>
              </w:tc>
              <w:tc>
                <w:tcPr>
                  <w:tcW w:w="395" w:type="pct"/>
                  <w:vMerge w:val="continue"/>
                  <w:vAlign w:val="center"/>
                </w:tcPr>
                <w:p w14:paraId="4F6F7ACE">
                  <w:pPr>
                    <w:pStyle w:val="154"/>
                    <w:rPr>
                      <w:b/>
                      <w:sz w:val="21"/>
                      <w:szCs w:val="21"/>
                      <w:u w:val="single"/>
                    </w:rPr>
                  </w:pPr>
                </w:p>
              </w:tc>
              <w:tc>
                <w:tcPr>
                  <w:tcW w:w="1029" w:type="pct"/>
                  <w:vAlign w:val="center"/>
                </w:tcPr>
                <w:p w14:paraId="0C039A1E">
                  <w:pPr>
                    <w:pStyle w:val="154"/>
                    <w:rPr>
                      <w:b/>
                      <w:sz w:val="21"/>
                      <w:szCs w:val="21"/>
                      <w:u w:val="single"/>
                    </w:rPr>
                  </w:pPr>
                  <w:r>
                    <w:rPr>
                      <w:b/>
                      <w:sz w:val="21"/>
                      <w:szCs w:val="21"/>
                      <w:u w:val="single"/>
                    </w:rPr>
                    <w:t>3.5kg/h</w:t>
                  </w:r>
                </w:p>
              </w:tc>
              <w:tc>
                <w:tcPr>
                  <w:tcW w:w="2896" w:type="pct"/>
                  <w:vMerge w:val="continue"/>
                  <w:vAlign w:val="center"/>
                </w:tcPr>
                <w:p w14:paraId="1F283226">
                  <w:pPr>
                    <w:pStyle w:val="154"/>
                    <w:rPr>
                      <w:b/>
                      <w:sz w:val="21"/>
                      <w:szCs w:val="21"/>
                      <w:u w:val="single"/>
                    </w:rPr>
                  </w:pPr>
                </w:p>
              </w:tc>
            </w:tr>
            <w:tr w14:paraId="535758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continue"/>
                  <w:vAlign w:val="center"/>
                </w:tcPr>
                <w:p w14:paraId="3741037F">
                  <w:pPr>
                    <w:pStyle w:val="154"/>
                    <w:rPr>
                      <w:b/>
                      <w:sz w:val="21"/>
                      <w:szCs w:val="21"/>
                      <w:u w:val="single"/>
                    </w:rPr>
                  </w:pPr>
                </w:p>
              </w:tc>
              <w:tc>
                <w:tcPr>
                  <w:tcW w:w="395" w:type="pct"/>
                  <w:vMerge w:val="continue"/>
                  <w:vAlign w:val="center"/>
                </w:tcPr>
                <w:p w14:paraId="7391916E">
                  <w:pPr>
                    <w:pStyle w:val="154"/>
                    <w:rPr>
                      <w:b/>
                      <w:sz w:val="21"/>
                      <w:szCs w:val="21"/>
                      <w:u w:val="single"/>
                    </w:rPr>
                  </w:pPr>
                </w:p>
              </w:tc>
              <w:tc>
                <w:tcPr>
                  <w:tcW w:w="1029" w:type="pct"/>
                  <w:vAlign w:val="center"/>
                </w:tcPr>
                <w:p w14:paraId="343D0107">
                  <w:pPr>
                    <w:pStyle w:val="154"/>
                    <w:rPr>
                      <w:b/>
                      <w:sz w:val="21"/>
                      <w:szCs w:val="21"/>
                      <w:u w:val="single"/>
                    </w:rPr>
                  </w:pPr>
                  <w:r>
                    <w:rPr>
                      <w:b/>
                      <w:sz w:val="21"/>
                      <w:szCs w:val="21"/>
                      <w:u w:val="single"/>
                    </w:rPr>
                    <w:t>20mg/m</w:t>
                  </w:r>
                  <w:r>
                    <w:rPr>
                      <w:b/>
                      <w:sz w:val="21"/>
                      <w:szCs w:val="21"/>
                      <w:u w:val="single"/>
                      <w:vertAlign w:val="superscript"/>
                    </w:rPr>
                    <w:t>3</w:t>
                  </w:r>
                </w:p>
              </w:tc>
              <w:tc>
                <w:tcPr>
                  <w:tcW w:w="2896" w:type="pct"/>
                  <w:vAlign w:val="center"/>
                </w:tcPr>
                <w:p w14:paraId="2C592F4D">
                  <w:pPr>
                    <w:pStyle w:val="154"/>
                    <w:rPr>
                      <w:b/>
                      <w:sz w:val="21"/>
                      <w:szCs w:val="21"/>
                      <w:u w:val="single"/>
                    </w:rPr>
                  </w:pPr>
                  <w:r>
                    <w:rPr>
                      <w:b/>
                      <w:sz w:val="21"/>
                      <w:szCs w:val="21"/>
                      <w:u w:val="single"/>
                    </w:rPr>
                    <w:t>《重污染天气重点行业应急减排措施制定技术指南（2020年修订版）》（环办大气函</w:t>
                  </w:r>
                  <w:r>
                    <w:rPr>
                      <w:rFonts w:hint="eastAsia"/>
                      <w:b/>
                      <w:sz w:val="21"/>
                      <w:szCs w:val="21"/>
                      <w:u w:val="single"/>
                    </w:rPr>
                    <w:t>〔2020〕</w:t>
                  </w:r>
                  <w:r>
                    <w:rPr>
                      <w:b/>
                      <w:sz w:val="21"/>
                      <w:szCs w:val="21"/>
                      <w:u w:val="single"/>
                    </w:rPr>
                    <w:t>40号）中制鞋工业绩效引领性指标排放限值</w:t>
                  </w:r>
                </w:p>
              </w:tc>
            </w:tr>
            <w:tr w14:paraId="5F67B6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continue"/>
                  <w:vAlign w:val="center"/>
                </w:tcPr>
                <w:p w14:paraId="4AD2C10F">
                  <w:pPr>
                    <w:pStyle w:val="154"/>
                    <w:rPr>
                      <w:b/>
                      <w:sz w:val="21"/>
                      <w:szCs w:val="21"/>
                      <w:u w:val="single"/>
                    </w:rPr>
                  </w:pPr>
                </w:p>
              </w:tc>
              <w:tc>
                <w:tcPr>
                  <w:tcW w:w="395" w:type="pct"/>
                  <w:vMerge w:val="restart"/>
                  <w:tcBorders>
                    <w:top w:val="single" w:color="auto" w:sz="4" w:space="0"/>
                  </w:tcBorders>
                  <w:vAlign w:val="center"/>
                </w:tcPr>
                <w:p w14:paraId="3D6A3070">
                  <w:pPr>
                    <w:pStyle w:val="154"/>
                    <w:rPr>
                      <w:b/>
                      <w:sz w:val="21"/>
                      <w:szCs w:val="21"/>
                      <w:u w:val="single"/>
                    </w:rPr>
                  </w:pPr>
                  <w:r>
                    <w:rPr>
                      <w:b/>
                      <w:sz w:val="21"/>
                      <w:szCs w:val="21"/>
                      <w:u w:val="single"/>
                    </w:rPr>
                    <w:t>非甲烷总烃</w:t>
                  </w:r>
                </w:p>
              </w:tc>
              <w:tc>
                <w:tcPr>
                  <w:tcW w:w="1029" w:type="pct"/>
                  <w:tcBorders>
                    <w:bottom w:val="single" w:color="000000" w:sz="6" w:space="0"/>
                  </w:tcBorders>
                  <w:vAlign w:val="center"/>
                </w:tcPr>
                <w:p w14:paraId="64CB2AAD">
                  <w:pPr>
                    <w:pStyle w:val="154"/>
                    <w:spacing w:line="400" w:lineRule="exact"/>
                    <w:rPr>
                      <w:b/>
                      <w:sz w:val="21"/>
                      <w:szCs w:val="21"/>
                      <w:u w:val="single"/>
                    </w:rPr>
                  </w:pPr>
                  <w:r>
                    <w:rPr>
                      <w:b/>
                      <w:sz w:val="21"/>
                      <w:szCs w:val="21"/>
                      <w:u w:val="single"/>
                    </w:rPr>
                    <w:t>120mg/m</w:t>
                  </w:r>
                  <w:r>
                    <w:rPr>
                      <w:b/>
                      <w:sz w:val="21"/>
                      <w:szCs w:val="21"/>
                      <w:u w:val="single"/>
                      <w:vertAlign w:val="superscript"/>
                    </w:rPr>
                    <w:t>3</w:t>
                  </w:r>
                </w:p>
              </w:tc>
              <w:tc>
                <w:tcPr>
                  <w:tcW w:w="2896" w:type="pct"/>
                  <w:vMerge w:val="restart"/>
                  <w:vAlign w:val="center"/>
                </w:tcPr>
                <w:p w14:paraId="46A1BC69">
                  <w:pPr>
                    <w:spacing w:line="360" w:lineRule="exact"/>
                    <w:jc w:val="center"/>
                    <w:rPr>
                      <w:b/>
                      <w:sz w:val="21"/>
                      <w:szCs w:val="21"/>
                      <w:u w:val="single"/>
                    </w:rPr>
                  </w:pPr>
                  <w:r>
                    <w:rPr>
                      <w:b/>
                      <w:sz w:val="21"/>
                      <w:szCs w:val="21"/>
                      <w:u w:val="single"/>
                    </w:rPr>
                    <w:t>《大气污染物综合排放标准》（GB16297-1996）表2二级</w:t>
                  </w:r>
                </w:p>
              </w:tc>
            </w:tr>
            <w:tr w14:paraId="7F3AA6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continue"/>
                  <w:vAlign w:val="center"/>
                </w:tcPr>
                <w:p w14:paraId="6C399089">
                  <w:pPr>
                    <w:pStyle w:val="154"/>
                    <w:rPr>
                      <w:b/>
                      <w:sz w:val="21"/>
                      <w:szCs w:val="21"/>
                      <w:u w:val="single"/>
                    </w:rPr>
                  </w:pPr>
                </w:p>
              </w:tc>
              <w:tc>
                <w:tcPr>
                  <w:tcW w:w="395" w:type="pct"/>
                  <w:vMerge w:val="continue"/>
                  <w:vAlign w:val="center"/>
                </w:tcPr>
                <w:p w14:paraId="32AB95EA">
                  <w:pPr>
                    <w:pStyle w:val="154"/>
                    <w:rPr>
                      <w:b/>
                      <w:sz w:val="21"/>
                      <w:szCs w:val="21"/>
                      <w:u w:val="single"/>
                    </w:rPr>
                  </w:pPr>
                </w:p>
              </w:tc>
              <w:tc>
                <w:tcPr>
                  <w:tcW w:w="1029" w:type="pct"/>
                  <w:tcBorders>
                    <w:bottom w:val="single" w:color="000000" w:sz="6" w:space="0"/>
                  </w:tcBorders>
                  <w:vAlign w:val="center"/>
                </w:tcPr>
                <w:p w14:paraId="6620BCDF">
                  <w:pPr>
                    <w:pStyle w:val="154"/>
                    <w:rPr>
                      <w:b/>
                      <w:sz w:val="21"/>
                      <w:szCs w:val="21"/>
                      <w:u w:val="single"/>
                    </w:rPr>
                  </w:pPr>
                  <w:r>
                    <w:rPr>
                      <w:b/>
                      <w:sz w:val="21"/>
                      <w:szCs w:val="21"/>
                      <w:u w:val="single"/>
                    </w:rPr>
                    <w:t>10kg/h</w:t>
                  </w:r>
                </w:p>
              </w:tc>
              <w:tc>
                <w:tcPr>
                  <w:tcW w:w="2896" w:type="pct"/>
                  <w:vMerge w:val="continue"/>
                  <w:vAlign w:val="center"/>
                </w:tcPr>
                <w:p w14:paraId="300E53D2">
                  <w:pPr>
                    <w:spacing w:line="360" w:lineRule="exact"/>
                    <w:jc w:val="center"/>
                    <w:rPr>
                      <w:b/>
                      <w:sz w:val="21"/>
                      <w:szCs w:val="21"/>
                      <w:u w:val="single"/>
                    </w:rPr>
                  </w:pPr>
                </w:p>
              </w:tc>
            </w:tr>
            <w:tr w14:paraId="1F7BA4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680" w:type="pct"/>
                  <w:vMerge w:val="continue"/>
                  <w:vAlign w:val="center"/>
                </w:tcPr>
                <w:p w14:paraId="28DB445E">
                  <w:pPr>
                    <w:pStyle w:val="154"/>
                    <w:rPr>
                      <w:b/>
                      <w:sz w:val="21"/>
                      <w:szCs w:val="21"/>
                      <w:u w:val="single"/>
                    </w:rPr>
                  </w:pPr>
                </w:p>
              </w:tc>
              <w:tc>
                <w:tcPr>
                  <w:tcW w:w="395" w:type="pct"/>
                  <w:vMerge w:val="continue"/>
                  <w:vAlign w:val="center"/>
                </w:tcPr>
                <w:p w14:paraId="2E0332C7">
                  <w:pPr>
                    <w:pStyle w:val="154"/>
                    <w:rPr>
                      <w:b/>
                      <w:sz w:val="21"/>
                      <w:szCs w:val="21"/>
                      <w:u w:val="single"/>
                    </w:rPr>
                  </w:pPr>
                </w:p>
              </w:tc>
              <w:tc>
                <w:tcPr>
                  <w:tcW w:w="1029" w:type="pct"/>
                  <w:vAlign w:val="center"/>
                </w:tcPr>
                <w:p w14:paraId="5FC05359">
                  <w:pPr>
                    <w:pStyle w:val="154"/>
                    <w:rPr>
                      <w:b/>
                      <w:strike/>
                      <w:color w:val="FF0000"/>
                      <w:sz w:val="21"/>
                      <w:szCs w:val="21"/>
                      <w:u w:val="single"/>
                    </w:rPr>
                  </w:pPr>
                  <w:r>
                    <w:rPr>
                      <w:b/>
                      <w:sz w:val="21"/>
                      <w:szCs w:val="21"/>
                      <w:u w:val="single"/>
                    </w:rPr>
                    <w:t>40mg/m</w:t>
                  </w:r>
                  <w:r>
                    <w:rPr>
                      <w:b/>
                      <w:sz w:val="21"/>
                      <w:szCs w:val="21"/>
                      <w:u w:val="single"/>
                      <w:vertAlign w:val="superscript"/>
                    </w:rPr>
                    <w:t>3</w:t>
                  </w:r>
                </w:p>
              </w:tc>
              <w:tc>
                <w:tcPr>
                  <w:tcW w:w="2896" w:type="pct"/>
                  <w:vAlign w:val="center"/>
                </w:tcPr>
                <w:p w14:paraId="798E9940">
                  <w:pPr>
                    <w:pStyle w:val="154"/>
                    <w:rPr>
                      <w:b/>
                      <w:strike/>
                      <w:color w:val="FF0000"/>
                      <w:sz w:val="21"/>
                      <w:szCs w:val="21"/>
                      <w:u w:val="single"/>
                    </w:rPr>
                  </w:pPr>
                  <w:r>
                    <w:rPr>
                      <w:b/>
                      <w:sz w:val="21"/>
                      <w:szCs w:val="21"/>
                      <w:u w:val="single"/>
                    </w:rPr>
                    <w:t>《重污染天气重点行业应急减排措施制定技术指南（2020年修订版）》（环办大气函</w:t>
                  </w:r>
                  <w:r>
                    <w:rPr>
                      <w:rFonts w:hint="eastAsia"/>
                      <w:b/>
                      <w:sz w:val="21"/>
                      <w:szCs w:val="21"/>
                      <w:u w:val="single"/>
                    </w:rPr>
                    <w:t>〔2020〕</w:t>
                  </w:r>
                  <w:r>
                    <w:rPr>
                      <w:b/>
                      <w:sz w:val="21"/>
                      <w:szCs w:val="21"/>
                      <w:u w:val="single"/>
                    </w:rPr>
                    <w:t>340号）中制鞋工业绩效引领性指标排放限值</w:t>
                  </w:r>
                </w:p>
              </w:tc>
            </w:tr>
            <w:tr w14:paraId="63E1AD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5" w:hRule="atLeast"/>
                <w:jc w:val="center"/>
              </w:trPr>
              <w:tc>
                <w:tcPr>
                  <w:tcW w:w="680" w:type="pct"/>
                  <w:vMerge w:val="continue"/>
                  <w:vAlign w:val="center"/>
                </w:tcPr>
                <w:p w14:paraId="2C246057">
                  <w:pPr>
                    <w:pStyle w:val="154"/>
                    <w:rPr>
                      <w:b/>
                      <w:sz w:val="21"/>
                      <w:szCs w:val="21"/>
                      <w:u w:val="single"/>
                    </w:rPr>
                  </w:pPr>
                </w:p>
              </w:tc>
              <w:tc>
                <w:tcPr>
                  <w:tcW w:w="395" w:type="pct"/>
                  <w:vMerge w:val="continue"/>
                  <w:vAlign w:val="center"/>
                </w:tcPr>
                <w:p w14:paraId="6F335F1C">
                  <w:pPr>
                    <w:pStyle w:val="154"/>
                    <w:rPr>
                      <w:b/>
                      <w:sz w:val="21"/>
                      <w:szCs w:val="21"/>
                      <w:u w:val="single"/>
                    </w:rPr>
                  </w:pPr>
                </w:p>
              </w:tc>
              <w:tc>
                <w:tcPr>
                  <w:tcW w:w="1029" w:type="pct"/>
                  <w:vAlign w:val="center"/>
                </w:tcPr>
                <w:p w14:paraId="78723461">
                  <w:pPr>
                    <w:pStyle w:val="154"/>
                    <w:rPr>
                      <w:b/>
                      <w:strike/>
                      <w:color w:val="FF0000"/>
                      <w:sz w:val="21"/>
                      <w:szCs w:val="21"/>
                      <w:u w:val="single"/>
                    </w:rPr>
                  </w:pPr>
                  <w:r>
                    <w:rPr>
                      <w:rFonts w:hint="eastAsia"/>
                      <w:b/>
                      <w:sz w:val="21"/>
                      <w:szCs w:val="21"/>
                      <w:u w:val="single"/>
                    </w:rPr>
                    <w:t>60</w:t>
                  </w:r>
                  <w:r>
                    <w:rPr>
                      <w:b/>
                      <w:sz w:val="21"/>
                      <w:szCs w:val="21"/>
                      <w:u w:val="single"/>
                    </w:rPr>
                    <w:t>mg/m</w:t>
                  </w:r>
                  <w:r>
                    <w:rPr>
                      <w:b/>
                      <w:sz w:val="21"/>
                      <w:szCs w:val="21"/>
                      <w:u w:val="single"/>
                      <w:vertAlign w:val="superscript"/>
                    </w:rPr>
                    <w:t>3</w:t>
                  </w:r>
                </w:p>
              </w:tc>
              <w:tc>
                <w:tcPr>
                  <w:tcW w:w="2896" w:type="pct"/>
                  <w:vAlign w:val="center"/>
                </w:tcPr>
                <w:p w14:paraId="599652B4">
                  <w:pPr>
                    <w:spacing w:line="360" w:lineRule="exact"/>
                    <w:jc w:val="center"/>
                    <w:rPr>
                      <w:b/>
                      <w:sz w:val="21"/>
                      <w:szCs w:val="21"/>
                      <w:u w:val="single"/>
                    </w:rPr>
                  </w:pPr>
                  <w:r>
                    <w:rPr>
                      <w:b/>
                      <w:sz w:val="21"/>
                      <w:szCs w:val="21"/>
                      <w:u w:val="single"/>
                    </w:rPr>
                    <w:t>《</w:t>
                  </w:r>
                  <w:r>
                    <w:rPr>
                      <w:rFonts w:hint="eastAsia"/>
                      <w:b/>
                      <w:sz w:val="21"/>
                      <w:szCs w:val="21"/>
                      <w:u w:val="single"/>
                    </w:rPr>
                    <w:t>合成树脂工业污染物排放标准》(GB31572-2015 含2024年修改单)表5大气污染物特别排放限值</w:t>
                  </w:r>
                </w:p>
              </w:tc>
            </w:tr>
            <w:tr w14:paraId="2E02BA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continue"/>
                  <w:vAlign w:val="center"/>
                </w:tcPr>
                <w:p w14:paraId="3313CE77">
                  <w:pPr>
                    <w:pStyle w:val="154"/>
                    <w:rPr>
                      <w:b/>
                      <w:sz w:val="21"/>
                      <w:szCs w:val="21"/>
                      <w:u w:val="single"/>
                    </w:rPr>
                  </w:pPr>
                </w:p>
              </w:tc>
              <w:tc>
                <w:tcPr>
                  <w:tcW w:w="395" w:type="pct"/>
                  <w:vMerge w:val="restart"/>
                  <w:vAlign w:val="center"/>
                </w:tcPr>
                <w:p w14:paraId="175A830E">
                  <w:pPr>
                    <w:pStyle w:val="154"/>
                    <w:rPr>
                      <w:b/>
                      <w:sz w:val="21"/>
                      <w:szCs w:val="21"/>
                      <w:u w:val="single"/>
                    </w:rPr>
                  </w:pPr>
                  <w:r>
                    <w:rPr>
                      <w:b/>
                      <w:sz w:val="21"/>
                      <w:szCs w:val="21"/>
                      <w:u w:val="single"/>
                    </w:rPr>
                    <w:t>氯化氢</w:t>
                  </w:r>
                </w:p>
              </w:tc>
              <w:tc>
                <w:tcPr>
                  <w:tcW w:w="1029" w:type="pct"/>
                  <w:vAlign w:val="center"/>
                </w:tcPr>
                <w:p w14:paraId="7D3BEE0E">
                  <w:pPr>
                    <w:pStyle w:val="154"/>
                    <w:rPr>
                      <w:b/>
                      <w:sz w:val="21"/>
                      <w:szCs w:val="21"/>
                      <w:u w:val="single"/>
                    </w:rPr>
                  </w:pPr>
                  <w:r>
                    <w:rPr>
                      <w:b/>
                      <w:sz w:val="21"/>
                      <w:szCs w:val="21"/>
                      <w:u w:val="single"/>
                    </w:rPr>
                    <w:t>0.26kg/h</w:t>
                  </w:r>
                </w:p>
              </w:tc>
              <w:tc>
                <w:tcPr>
                  <w:tcW w:w="2896" w:type="pct"/>
                  <w:vMerge w:val="restart"/>
                  <w:vAlign w:val="center"/>
                </w:tcPr>
                <w:p w14:paraId="1ECE2F54">
                  <w:pPr>
                    <w:pStyle w:val="154"/>
                    <w:rPr>
                      <w:b/>
                      <w:sz w:val="21"/>
                      <w:szCs w:val="21"/>
                      <w:u w:val="single"/>
                    </w:rPr>
                  </w:pPr>
                  <w:r>
                    <w:rPr>
                      <w:b/>
                      <w:sz w:val="21"/>
                      <w:szCs w:val="21"/>
                      <w:u w:val="single"/>
                    </w:rPr>
                    <w:t>《大气污染物综合排放标准》（GB16297-1996）表2二级</w:t>
                  </w:r>
                </w:p>
              </w:tc>
            </w:tr>
            <w:tr w14:paraId="421852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continue"/>
                  <w:vAlign w:val="center"/>
                </w:tcPr>
                <w:p w14:paraId="244A9195">
                  <w:pPr>
                    <w:pStyle w:val="154"/>
                    <w:rPr>
                      <w:sz w:val="21"/>
                      <w:szCs w:val="21"/>
                    </w:rPr>
                  </w:pPr>
                </w:p>
              </w:tc>
              <w:tc>
                <w:tcPr>
                  <w:tcW w:w="395" w:type="pct"/>
                  <w:vMerge w:val="continue"/>
                  <w:vAlign w:val="center"/>
                </w:tcPr>
                <w:p w14:paraId="6340BD38">
                  <w:pPr>
                    <w:pStyle w:val="154"/>
                    <w:rPr>
                      <w:sz w:val="21"/>
                      <w:szCs w:val="21"/>
                    </w:rPr>
                  </w:pPr>
                </w:p>
              </w:tc>
              <w:tc>
                <w:tcPr>
                  <w:tcW w:w="1029" w:type="pct"/>
                  <w:vAlign w:val="center"/>
                </w:tcPr>
                <w:p w14:paraId="52A63478">
                  <w:pPr>
                    <w:pStyle w:val="154"/>
                    <w:rPr>
                      <w:b/>
                      <w:sz w:val="21"/>
                      <w:szCs w:val="21"/>
                      <w:u w:val="single"/>
                    </w:rPr>
                  </w:pPr>
                  <w:r>
                    <w:rPr>
                      <w:b/>
                      <w:sz w:val="21"/>
                      <w:szCs w:val="21"/>
                      <w:u w:val="single"/>
                    </w:rPr>
                    <w:t>100mg/m</w:t>
                  </w:r>
                  <w:r>
                    <w:rPr>
                      <w:b/>
                      <w:sz w:val="21"/>
                      <w:szCs w:val="21"/>
                      <w:u w:val="single"/>
                      <w:vertAlign w:val="superscript"/>
                    </w:rPr>
                    <w:t>3</w:t>
                  </w:r>
                </w:p>
              </w:tc>
              <w:tc>
                <w:tcPr>
                  <w:tcW w:w="2896" w:type="pct"/>
                  <w:vMerge w:val="continue"/>
                  <w:vAlign w:val="center"/>
                </w:tcPr>
                <w:p w14:paraId="695CEA2A">
                  <w:pPr>
                    <w:pStyle w:val="154"/>
                    <w:rPr>
                      <w:sz w:val="21"/>
                      <w:szCs w:val="21"/>
                    </w:rPr>
                  </w:pPr>
                </w:p>
              </w:tc>
            </w:tr>
            <w:tr w14:paraId="37437F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Align w:val="center"/>
                </w:tcPr>
                <w:p w14:paraId="099273F6">
                  <w:pPr>
                    <w:pStyle w:val="154"/>
                    <w:rPr>
                      <w:sz w:val="21"/>
                      <w:szCs w:val="21"/>
                    </w:rPr>
                  </w:pPr>
                  <w:r>
                    <w:rPr>
                      <w:sz w:val="21"/>
                      <w:szCs w:val="21"/>
                    </w:rPr>
                    <w:t>厂区内</w:t>
                  </w:r>
                </w:p>
                <w:p w14:paraId="6F1B5444">
                  <w:pPr>
                    <w:pStyle w:val="154"/>
                    <w:rPr>
                      <w:sz w:val="21"/>
                      <w:szCs w:val="21"/>
                    </w:rPr>
                  </w:pPr>
                  <w:r>
                    <w:rPr>
                      <w:sz w:val="21"/>
                      <w:szCs w:val="21"/>
                    </w:rPr>
                    <w:t>无组织</w:t>
                  </w:r>
                </w:p>
              </w:tc>
              <w:tc>
                <w:tcPr>
                  <w:tcW w:w="395" w:type="pct"/>
                  <w:vAlign w:val="center"/>
                </w:tcPr>
                <w:p w14:paraId="6E43C277">
                  <w:pPr>
                    <w:pStyle w:val="154"/>
                    <w:rPr>
                      <w:sz w:val="21"/>
                      <w:szCs w:val="21"/>
                    </w:rPr>
                  </w:pPr>
                  <w:r>
                    <w:rPr>
                      <w:sz w:val="21"/>
                      <w:szCs w:val="21"/>
                    </w:rPr>
                    <w:t>非甲烷总烃</w:t>
                  </w:r>
                </w:p>
              </w:tc>
              <w:tc>
                <w:tcPr>
                  <w:tcW w:w="1029" w:type="pct"/>
                  <w:vAlign w:val="center"/>
                </w:tcPr>
                <w:p w14:paraId="48A6F120">
                  <w:pPr>
                    <w:pStyle w:val="154"/>
                    <w:rPr>
                      <w:sz w:val="21"/>
                      <w:szCs w:val="21"/>
                    </w:rPr>
                  </w:pPr>
                  <w:r>
                    <w:rPr>
                      <w:sz w:val="21"/>
                      <w:szCs w:val="21"/>
                    </w:rPr>
                    <w:t>6mg/m</w:t>
                  </w:r>
                  <w:r>
                    <w:rPr>
                      <w:sz w:val="21"/>
                      <w:szCs w:val="21"/>
                      <w:vertAlign w:val="superscript"/>
                    </w:rPr>
                    <w:t>3</w:t>
                  </w:r>
                  <w:r>
                    <w:rPr>
                      <w:sz w:val="21"/>
                      <w:szCs w:val="21"/>
                    </w:rPr>
                    <w:t>（监控点处1h平均浓度值）；</w:t>
                  </w:r>
                </w:p>
                <w:p w14:paraId="3BDCAB3E">
                  <w:pPr>
                    <w:pStyle w:val="154"/>
                    <w:rPr>
                      <w:sz w:val="21"/>
                      <w:szCs w:val="21"/>
                    </w:rPr>
                  </w:pPr>
                  <w:r>
                    <w:rPr>
                      <w:sz w:val="21"/>
                      <w:szCs w:val="21"/>
                    </w:rPr>
                    <w:t>20mg/m</w:t>
                  </w:r>
                  <w:r>
                    <w:rPr>
                      <w:sz w:val="21"/>
                      <w:szCs w:val="21"/>
                      <w:vertAlign w:val="superscript"/>
                    </w:rPr>
                    <w:t>3</w:t>
                  </w:r>
                  <w:r>
                    <w:rPr>
                      <w:sz w:val="21"/>
                      <w:szCs w:val="21"/>
                    </w:rPr>
                    <w:t>（监控点处任意一次浓度值）</w:t>
                  </w:r>
                </w:p>
              </w:tc>
              <w:tc>
                <w:tcPr>
                  <w:tcW w:w="2896" w:type="pct"/>
                  <w:vAlign w:val="center"/>
                </w:tcPr>
                <w:p w14:paraId="320938B8">
                  <w:pPr>
                    <w:pStyle w:val="154"/>
                    <w:rPr>
                      <w:sz w:val="21"/>
                      <w:szCs w:val="21"/>
                    </w:rPr>
                  </w:pPr>
                  <w:r>
                    <w:rPr>
                      <w:sz w:val="21"/>
                      <w:szCs w:val="21"/>
                    </w:rPr>
                    <w:t>《挥发性有机物无组织排放控制标准》（GB37822-2019）特别排放限值</w:t>
                  </w:r>
                </w:p>
              </w:tc>
            </w:tr>
            <w:tr w14:paraId="49185C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66" w:hRule="atLeast"/>
                <w:jc w:val="center"/>
              </w:trPr>
              <w:tc>
                <w:tcPr>
                  <w:tcW w:w="680" w:type="pct"/>
                  <w:vMerge w:val="restart"/>
                  <w:vAlign w:val="center"/>
                </w:tcPr>
                <w:p w14:paraId="7B704AFB">
                  <w:pPr>
                    <w:pStyle w:val="154"/>
                    <w:rPr>
                      <w:sz w:val="21"/>
                      <w:szCs w:val="21"/>
                    </w:rPr>
                  </w:pPr>
                  <w:r>
                    <w:rPr>
                      <w:sz w:val="21"/>
                      <w:szCs w:val="21"/>
                    </w:rPr>
                    <w:t>厂界外</w:t>
                  </w:r>
                </w:p>
                <w:p w14:paraId="668377E7">
                  <w:pPr>
                    <w:pStyle w:val="154"/>
                    <w:rPr>
                      <w:sz w:val="21"/>
                      <w:szCs w:val="21"/>
                    </w:rPr>
                  </w:pPr>
                  <w:r>
                    <w:rPr>
                      <w:sz w:val="21"/>
                      <w:szCs w:val="21"/>
                    </w:rPr>
                    <w:t>无组织</w:t>
                  </w:r>
                </w:p>
              </w:tc>
              <w:tc>
                <w:tcPr>
                  <w:tcW w:w="395" w:type="pct"/>
                  <w:vAlign w:val="center"/>
                </w:tcPr>
                <w:p w14:paraId="397607F6">
                  <w:pPr>
                    <w:pStyle w:val="154"/>
                    <w:rPr>
                      <w:rStyle w:val="166"/>
                      <w:sz w:val="21"/>
                      <w:szCs w:val="21"/>
                    </w:rPr>
                  </w:pPr>
                  <w:r>
                    <w:rPr>
                      <w:sz w:val="21"/>
                      <w:szCs w:val="21"/>
                    </w:rPr>
                    <w:t>非甲烷总烃</w:t>
                  </w:r>
                </w:p>
              </w:tc>
              <w:tc>
                <w:tcPr>
                  <w:tcW w:w="1029" w:type="pct"/>
                  <w:vAlign w:val="center"/>
                </w:tcPr>
                <w:p w14:paraId="2BE4E669">
                  <w:pPr>
                    <w:pStyle w:val="154"/>
                    <w:rPr>
                      <w:sz w:val="21"/>
                      <w:szCs w:val="21"/>
                    </w:rPr>
                  </w:pPr>
                  <w:r>
                    <w:rPr>
                      <w:rFonts w:hint="eastAsia"/>
                      <w:sz w:val="21"/>
                      <w:szCs w:val="21"/>
                    </w:rPr>
                    <w:t>2.0</w:t>
                  </w:r>
                  <w:r>
                    <w:rPr>
                      <w:sz w:val="21"/>
                      <w:szCs w:val="21"/>
                    </w:rPr>
                    <w:t>mg/m</w:t>
                  </w:r>
                  <w:r>
                    <w:rPr>
                      <w:sz w:val="21"/>
                      <w:szCs w:val="21"/>
                      <w:vertAlign w:val="superscript"/>
                    </w:rPr>
                    <w:t>3</w:t>
                  </w:r>
                </w:p>
              </w:tc>
              <w:tc>
                <w:tcPr>
                  <w:tcW w:w="2896" w:type="pct"/>
                  <w:vAlign w:val="center"/>
                </w:tcPr>
                <w:p w14:paraId="63F5FB8F">
                  <w:pPr>
                    <w:pStyle w:val="154"/>
                    <w:rPr>
                      <w:sz w:val="21"/>
                      <w:szCs w:val="21"/>
                    </w:rPr>
                  </w:pPr>
                  <w:r>
                    <w:rPr>
                      <w:sz w:val="21"/>
                      <w:szCs w:val="21"/>
                    </w:rPr>
                    <w:t>河南省《关于全省开展工业企业挥发性有机物专项治理工作中排放建议值的通知》（豫环攻坚办</w:t>
                  </w:r>
                  <w:r>
                    <w:rPr>
                      <w:rFonts w:hint="eastAsia"/>
                      <w:sz w:val="21"/>
                      <w:szCs w:val="21"/>
                    </w:rPr>
                    <w:t>〔2017〕</w:t>
                  </w:r>
                  <w:r>
                    <w:rPr>
                      <w:sz w:val="21"/>
                      <w:szCs w:val="21"/>
                    </w:rPr>
                    <w:t>162号）</w:t>
                  </w:r>
                </w:p>
              </w:tc>
            </w:tr>
            <w:tr w14:paraId="4446E0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continue"/>
                  <w:vAlign w:val="center"/>
                </w:tcPr>
                <w:p w14:paraId="196D266D">
                  <w:pPr>
                    <w:pStyle w:val="154"/>
                    <w:rPr>
                      <w:sz w:val="21"/>
                      <w:szCs w:val="21"/>
                    </w:rPr>
                  </w:pPr>
                </w:p>
              </w:tc>
              <w:tc>
                <w:tcPr>
                  <w:tcW w:w="395" w:type="pct"/>
                  <w:vAlign w:val="center"/>
                </w:tcPr>
                <w:p w14:paraId="50AA64E1">
                  <w:pPr>
                    <w:pStyle w:val="154"/>
                    <w:rPr>
                      <w:sz w:val="21"/>
                      <w:szCs w:val="21"/>
                    </w:rPr>
                  </w:pPr>
                  <w:r>
                    <w:rPr>
                      <w:sz w:val="21"/>
                      <w:szCs w:val="21"/>
                    </w:rPr>
                    <w:t>氯化氢</w:t>
                  </w:r>
                </w:p>
              </w:tc>
              <w:tc>
                <w:tcPr>
                  <w:tcW w:w="1029" w:type="pct"/>
                  <w:vAlign w:val="center"/>
                </w:tcPr>
                <w:p w14:paraId="73D7838E">
                  <w:pPr>
                    <w:pStyle w:val="154"/>
                    <w:rPr>
                      <w:sz w:val="21"/>
                      <w:szCs w:val="21"/>
                    </w:rPr>
                  </w:pPr>
                  <w:r>
                    <w:rPr>
                      <w:sz w:val="21"/>
                      <w:szCs w:val="21"/>
                    </w:rPr>
                    <w:t>0.2mg/m</w:t>
                  </w:r>
                  <w:r>
                    <w:rPr>
                      <w:sz w:val="21"/>
                      <w:szCs w:val="21"/>
                      <w:vertAlign w:val="superscript"/>
                    </w:rPr>
                    <w:t>3</w:t>
                  </w:r>
                </w:p>
              </w:tc>
              <w:tc>
                <w:tcPr>
                  <w:tcW w:w="2896" w:type="pct"/>
                  <w:vMerge w:val="restart"/>
                  <w:vAlign w:val="center"/>
                </w:tcPr>
                <w:p w14:paraId="2F88A57D">
                  <w:pPr>
                    <w:pStyle w:val="154"/>
                    <w:rPr>
                      <w:sz w:val="21"/>
                      <w:szCs w:val="21"/>
                    </w:rPr>
                  </w:pPr>
                  <w:r>
                    <w:rPr>
                      <w:sz w:val="21"/>
                      <w:szCs w:val="21"/>
                    </w:rPr>
                    <w:t>《大气污染物综合排放标准》（GB16297-1996）表2无组织排放监控浓度限值要求</w:t>
                  </w:r>
                </w:p>
              </w:tc>
            </w:tr>
            <w:tr w14:paraId="4C6A0F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680" w:type="pct"/>
                  <w:vMerge w:val="continue"/>
                  <w:vAlign w:val="center"/>
                </w:tcPr>
                <w:p w14:paraId="33AEE92A">
                  <w:pPr>
                    <w:pStyle w:val="154"/>
                    <w:rPr>
                      <w:highlight w:val="green"/>
                    </w:rPr>
                  </w:pPr>
                </w:p>
              </w:tc>
              <w:tc>
                <w:tcPr>
                  <w:tcW w:w="395" w:type="pct"/>
                  <w:vAlign w:val="center"/>
                </w:tcPr>
                <w:p w14:paraId="0C23200A">
                  <w:pPr>
                    <w:pStyle w:val="154"/>
                    <w:rPr>
                      <w:sz w:val="21"/>
                      <w:szCs w:val="21"/>
                    </w:rPr>
                  </w:pPr>
                  <w:r>
                    <w:rPr>
                      <w:sz w:val="21"/>
                      <w:szCs w:val="21"/>
                    </w:rPr>
                    <w:t>颗粒物</w:t>
                  </w:r>
                </w:p>
              </w:tc>
              <w:tc>
                <w:tcPr>
                  <w:tcW w:w="1029" w:type="pct"/>
                  <w:vAlign w:val="center"/>
                </w:tcPr>
                <w:p w14:paraId="35C87F50">
                  <w:pPr>
                    <w:pStyle w:val="154"/>
                    <w:rPr>
                      <w:sz w:val="21"/>
                      <w:szCs w:val="21"/>
                    </w:rPr>
                  </w:pPr>
                  <w:r>
                    <w:rPr>
                      <w:sz w:val="21"/>
                      <w:szCs w:val="21"/>
                    </w:rPr>
                    <w:t>1.0mg/m</w:t>
                  </w:r>
                  <w:r>
                    <w:rPr>
                      <w:sz w:val="21"/>
                      <w:szCs w:val="21"/>
                      <w:vertAlign w:val="superscript"/>
                    </w:rPr>
                    <w:t>3</w:t>
                  </w:r>
                </w:p>
              </w:tc>
              <w:tc>
                <w:tcPr>
                  <w:tcW w:w="2896" w:type="pct"/>
                  <w:vMerge w:val="continue"/>
                  <w:vAlign w:val="center"/>
                </w:tcPr>
                <w:p w14:paraId="571D4C96">
                  <w:pPr>
                    <w:pStyle w:val="154"/>
                    <w:rPr>
                      <w:highlight w:val="green"/>
                    </w:rPr>
                  </w:pPr>
                </w:p>
              </w:tc>
            </w:tr>
          </w:tbl>
          <w:p w14:paraId="5B026E01">
            <w:pPr>
              <w:pStyle w:val="157"/>
            </w:pPr>
            <w:r>
              <w:t>2、噪声</w:t>
            </w:r>
          </w:p>
          <w:p w14:paraId="62D635F9">
            <w:pPr>
              <w:pStyle w:val="156"/>
              <w:ind w:firstLine="480"/>
            </w:pPr>
            <w:r>
              <w:t>运营期厂界噪声执行《工业企业厂界环境噪声排放标准》（GB12348-2008）中3类标准。</w:t>
            </w:r>
          </w:p>
          <w:p w14:paraId="079DED30">
            <w:pPr>
              <w:pStyle w:val="182"/>
              <w:ind w:firstLine="480"/>
            </w:pPr>
            <w:r>
              <w:t>表3-</w:t>
            </w:r>
            <w:r>
              <w:rPr>
                <w:rFonts w:hint="eastAsia"/>
              </w:rPr>
              <w:t>4</w:t>
            </w:r>
            <w:r>
              <w:t xml:space="preserve">                噪声排放标准</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28"/>
              <w:gridCol w:w="3213"/>
            </w:tblGrid>
            <w:tr w14:paraId="3AD9F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23" w:type="pct"/>
                  <w:vAlign w:val="center"/>
                </w:tcPr>
                <w:p w14:paraId="7CF39404">
                  <w:pPr>
                    <w:pStyle w:val="154"/>
                    <w:rPr>
                      <w:sz w:val="21"/>
                      <w:szCs w:val="21"/>
                    </w:rPr>
                  </w:pPr>
                  <w:r>
                    <w:rPr>
                      <w:sz w:val="21"/>
                      <w:szCs w:val="21"/>
                    </w:rPr>
                    <w:t>标准名称及级(类)别</w:t>
                  </w:r>
                </w:p>
              </w:tc>
              <w:tc>
                <w:tcPr>
                  <w:tcW w:w="1777" w:type="pct"/>
                  <w:vAlign w:val="center"/>
                </w:tcPr>
                <w:p w14:paraId="7EF21FE2">
                  <w:pPr>
                    <w:pStyle w:val="154"/>
                    <w:rPr>
                      <w:sz w:val="21"/>
                      <w:szCs w:val="21"/>
                    </w:rPr>
                  </w:pPr>
                  <w:r>
                    <w:rPr>
                      <w:sz w:val="21"/>
                      <w:szCs w:val="21"/>
                    </w:rPr>
                    <w:t>标准限值</w:t>
                  </w:r>
                </w:p>
              </w:tc>
            </w:tr>
            <w:tr w14:paraId="45216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23" w:type="pct"/>
                  <w:vAlign w:val="center"/>
                </w:tcPr>
                <w:p w14:paraId="221D8A4F">
                  <w:pPr>
                    <w:pStyle w:val="154"/>
                    <w:rPr>
                      <w:sz w:val="21"/>
                      <w:szCs w:val="21"/>
                    </w:rPr>
                  </w:pPr>
                  <w:r>
                    <w:rPr>
                      <w:sz w:val="21"/>
                      <w:szCs w:val="21"/>
                    </w:rPr>
                    <w:t>《工业企业厂界环境噪声排放标准》（GB12348-2008）中3类</w:t>
                  </w:r>
                </w:p>
              </w:tc>
              <w:tc>
                <w:tcPr>
                  <w:tcW w:w="1777" w:type="pct"/>
                  <w:vAlign w:val="center"/>
                </w:tcPr>
                <w:p w14:paraId="7DE22B2C">
                  <w:pPr>
                    <w:pStyle w:val="154"/>
                    <w:rPr>
                      <w:sz w:val="21"/>
                      <w:szCs w:val="21"/>
                    </w:rPr>
                  </w:pPr>
                  <w:r>
                    <w:rPr>
                      <w:sz w:val="21"/>
                      <w:szCs w:val="21"/>
                    </w:rPr>
                    <w:t>昼间65dB(A)</w:t>
                  </w:r>
                </w:p>
              </w:tc>
            </w:tr>
          </w:tbl>
          <w:p w14:paraId="7CEA4B54">
            <w:pPr>
              <w:pStyle w:val="157"/>
              <w:rPr>
                <w:b w:val="0"/>
              </w:rPr>
            </w:pPr>
            <w:r>
              <w:rPr>
                <w:b w:val="0"/>
              </w:rPr>
              <w:t>3、废水</w:t>
            </w:r>
          </w:p>
          <w:p w14:paraId="7BD2B3F9">
            <w:pPr>
              <w:pStyle w:val="167"/>
              <w:ind w:firstLine="480"/>
              <w:rPr>
                <w:rFonts w:eastAsia="宋体"/>
              </w:rPr>
            </w:pPr>
            <w:r>
              <w:rPr>
                <w:rFonts w:eastAsia="宋体"/>
              </w:rPr>
              <w:t>项目生活污水依托厂区化粪池处理后，经市政管网排入洛阳市中州渠人工湿地处理，厂区总排口废水排放应执行《污水综合排放标准》（GB8978-1996）表4三级标准，同时满足洛阳市中州渠人工湿地设计进水水质要求。污水排放标准见下表。</w:t>
            </w:r>
          </w:p>
          <w:p w14:paraId="052A1B25">
            <w:pPr>
              <w:pStyle w:val="182"/>
              <w:ind w:firstLine="480"/>
            </w:pPr>
            <w:r>
              <w:t>表3-</w:t>
            </w:r>
            <w:r>
              <w:rPr>
                <w:rFonts w:hint="eastAsia"/>
              </w:rPr>
              <w:t>5</w:t>
            </w:r>
            <w:r>
              <w:t xml:space="preserve">                    污水排放标准</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3663"/>
              <w:gridCol w:w="1076"/>
              <w:gridCol w:w="1076"/>
              <w:gridCol w:w="1076"/>
              <w:gridCol w:w="1076"/>
              <w:gridCol w:w="1074"/>
            </w:tblGrid>
            <w:tr w14:paraId="02D32A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026" w:type="pct"/>
                  <w:vAlign w:val="center"/>
                </w:tcPr>
                <w:p w14:paraId="6F9B98AB">
                  <w:pPr>
                    <w:pStyle w:val="154"/>
                    <w:rPr>
                      <w:sz w:val="21"/>
                      <w:szCs w:val="21"/>
                    </w:rPr>
                  </w:pPr>
                  <w:r>
                    <w:rPr>
                      <w:sz w:val="21"/>
                      <w:szCs w:val="21"/>
                    </w:rPr>
                    <w:t>标准名称</w:t>
                  </w:r>
                </w:p>
              </w:tc>
              <w:tc>
                <w:tcPr>
                  <w:tcW w:w="2974" w:type="pct"/>
                  <w:gridSpan w:val="5"/>
                  <w:vAlign w:val="center"/>
                </w:tcPr>
                <w:p w14:paraId="4B2CCDC8">
                  <w:pPr>
                    <w:pStyle w:val="154"/>
                    <w:rPr>
                      <w:sz w:val="21"/>
                      <w:szCs w:val="21"/>
                    </w:rPr>
                  </w:pPr>
                  <w:r>
                    <w:rPr>
                      <w:sz w:val="21"/>
                      <w:szCs w:val="21"/>
                    </w:rPr>
                    <w:t>标准限值要求（mg/L）</w:t>
                  </w:r>
                </w:p>
              </w:tc>
            </w:tr>
            <w:tr w14:paraId="18F360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026" w:type="pct"/>
                  <w:vAlign w:val="center"/>
                </w:tcPr>
                <w:p w14:paraId="7697360F">
                  <w:pPr>
                    <w:pStyle w:val="154"/>
                    <w:rPr>
                      <w:sz w:val="21"/>
                      <w:szCs w:val="21"/>
                    </w:rPr>
                  </w:pPr>
                  <w:r>
                    <w:rPr>
                      <w:sz w:val="21"/>
                      <w:szCs w:val="21"/>
                    </w:rPr>
                    <w:t>污染因子</w:t>
                  </w:r>
                </w:p>
              </w:tc>
              <w:tc>
                <w:tcPr>
                  <w:tcW w:w="595" w:type="pct"/>
                  <w:vAlign w:val="center"/>
                </w:tcPr>
                <w:p w14:paraId="65191B8B">
                  <w:pPr>
                    <w:pStyle w:val="154"/>
                    <w:rPr>
                      <w:sz w:val="21"/>
                      <w:szCs w:val="21"/>
                    </w:rPr>
                  </w:pPr>
                  <w:r>
                    <w:rPr>
                      <w:sz w:val="21"/>
                      <w:szCs w:val="21"/>
                    </w:rPr>
                    <w:t>pH</w:t>
                  </w:r>
                </w:p>
              </w:tc>
              <w:tc>
                <w:tcPr>
                  <w:tcW w:w="595" w:type="pct"/>
                  <w:vAlign w:val="center"/>
                </w:tcPr>
                <w:p w14:paraId="5A814EEF">
                  <w:pPr>
                    <w:pStyle w:val="154"/>
                    <w:rPr>
                      <w:sz w:val="21"/>
                      <w:szCs w:val="21"/>
                    </w:rPr>
                  </w:pPr>
                  <w:r>
                    <w:rPr>
                      <w:sz w:val="21"/>
                      <w:szCs w:val="21"/>
                    </w:rPr>
                    <w:t>COD</w:t>
                  </w:r>
                </w:p>
              </w:tc>
              <w:tc>
                <w:tcPr>
                  <w:tcW w:w="595" w:type="pct"/>
                  <w:vAlign w:val="center"/>
                </w:tcPr>
                <w:p w14:paraId="37AF14A4">
                  <w:pPr>
                    <w:pStyle w:val="154"/>
                    <w:rPr>
                      <w:sz w:val="21"/>
                      <w:szCs w:val="21"/>
                    </w:rPr>
                  </w:pPr>
                  <w:r>
                    <w:rPr>
                      <w:sz w:val="21"/>
                      <w:szCs w:val="21"/>
                    </w:rPr>
                    <w:t>BOD</w:t>
                  </w:r>
                  <w:r>
                    <w:rPr>
                      <w:sz w:val="21"/>
                      <w:szCs w:val="21"/>
                      <w:vertAlign w:val="subscript"/>
                    </w:rPr>
                    <w:t>5</w:t>
                  </w:r>
                </w:p>
              </w:tc>
              <w:tc>
                <w:tcPr>
                  <w:tcW w:w="595" w:type="pct"/>
                  <w:vAlign w:val="center"/>
                </w:tcPr>
                <w:p w14:paraId="0BC59148">
                  <w:pPr>
                    <w:pStyle w:val="154"/>
                    <w:rPr>
                      <w:sz w:val="21"/>
                      <w:szCs w:val="21"/>
                    </w:rPr>
                  </w:pPr>
                  <w:r>
                    <w:rPr>
                      <w:sz w:val="21"/>
                      <w:szCs w:val="21"/>
                    </w:rPr>
                    <w:t>NH</w:t>
                  </w:r>
                  <w:r>
                    <w:rPr>
                      <w:sz w:val="21"/>
                      <w:szCs w:val="21"/>
                      <w:vertAlign w:val="subscript"/>
                    </w:rPr>
                    <w:t>3</w:t>
                  </w:r>
                  <w:r>
                    <w:rPr>
                      <w:sz w:val="21"/>
                      <w:szCs w:val="21"/>
                    </w:rPr>
                    <w:t>-N</w:t>
                  </w:r>
                </w:p>
              </w:tc>
              <w:tc>
                <w:tcPr>
                  <w:tcW w:w="595" w:type="pct"/>
                  <w:vAlign w:val="center"/>
                </w:tcPr>
                <w:p w14:paraId="128884BF">
                  <w:pPr>
                    <w:pStyle w:val="154"/>
                    <w:rPr>
                      <w:sz w:val="21"/>
                      <w:szCs w:val="21"/>
                    </w:rPr>
                  </w:pPr>
                  <w:r>
                    <w:rPr>
                      <w:sz w:val="21"/>
                      <w:szCs w:val="21"/>
                    </w:rPr>
                    <w:t>SS</w:t>
                  </w:r>
                </w:p>
              </w:tc>
            </w:tr>
            <w:tr w14:paraId="2184EE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026" w:type="pct"/>
                  <w:vAlign w:val="center"/>
                </w:tcPr>
                <w:p w14:paraId="012EE02B">
                  <w:pPr>
                    <w:pStyle w:val="154"/>
                    <w:rPr>
                      <w:sz w:val="21"/>
                      <w:szCs w:val="21"/>
                    </w:rPr>
                  </w:pPr>
                  <w:r>
                    <w:rPr>
                      <w:sz w:val="21"/>
                      <w:szCs w:val="21"/>
                    </w:rPr>
                    <w:t>《污水综合排放标准》</w:t>
                  </w:r>
                  <w:r>
                    <w:rPr>
                      <w:sz w:val="21"/>
                      <w:szCs w:val="21"/>
                    </w:rPr>
                    <w:br w:type="textWrapping"/>
                  </w:r>
                  <w:r>
                    <w:rPr>
                      <w:sz w:val="21"/>
                      <w:szCs w:val="21"/>
                    </w:rPr>
                    <w:t>（GB8978-1996）表4三级标准</w:t>
                  </w:r>
                </w:p>
              </w:tc>
              <w:tc>
                <w:tcPr>
                  <w:tcW w:w="595" w:type="pct"/>
                  <w:vAlign w:val="center"/>
                </w:tcPr>
                <w:p w14:paraId="231ECAA1">
                  <w:pPr>
                    <w:pStyle w:val="154"/>
                    <w:rPr>
                      <w:sz w:val="21"/>
                      <w:szCs w:val="21"/>
                    </w:rPr>
                  </w:pPr>
                  <w:r>
                    <w:rPr>
                      <w:sz w:val="21"/>
                      <w:szCs w:val="21"/>
                    </w:rPr>
                    <w:t>6~9</w:t>
                  </w:r>
                </w:p>
              </w:tc>
              <w:tc>
                <w:tcPr>
                  <w:tcW w:w="595" w:type="pct"/>
                  <w:vAlign w:val="center"/>
                </w:tcPr>
                <w:p w14:paraId="276670BA">
                  <w:pPr>
                    <w:pStyle w:val="154"/>
                    <w:rPr>
                      <w:sz w:val="21"/>
                      <w:szCs w:val="21"/>
                    </w:rPr>
                  </w:pPr>
                  <w:r>
                    <w:rPr>
                      <w:sz w:val="21"/>
                      <w:szCs w:val="21"/>
                    </w:rPr>
                    <w:t>500</w:t>
                  </w:r>
                </w:p>
              </w:tc>
              <w:tc>
                <w:tcPr>
                  <w:tcW w:w="595" w:type="pct"/>
                  <w:vAlign w:val="center"/>
                </w:tcPr>
                <w:p w14:paraId="2F298953">
                  <w:pPr>
                    <w:pStyle w:val="154"/>
                    <w:rPr>
                      <w:sz w:val="21"/>
                      <w:szCs w:val="21"/>
                    </w:rPr>
                  </w:pPr>
                  <w:r>
                    <w:rPr>
                      <w:sz w:val="21"/>
                      <w:szCs w:val="21"/>
                    </w:rPr>
                    <w:t>300</w:t>
                  </w:r>
                </w:p>
              </w:tc>
              <w:tc>
                <w:tcPr>
                  <w:tcW w:w="595" w:type="pct"/>
                  <w:vAlign w:val="center"/>
                </w:tcPr>
                <w:p w14:paraId="6A2C934C">
                  <w:pPr>
                    <w:pStyle w:val="154"/>
                    <w:rPr>
                      <w:sz w:val="21"/>
                      <w:szCs w:val="21"/>
                    </w:rPr>
                  </w:pPr>
                  <w:r>
                    <w:rPr>
                      <w:sz w:val="21"/>
                      <w:szCs w:val="21"/>
                    </w:rPr>
                    <w:t>/</w:t>
                  </w:r>
                </w:p>
              </w:tc>
              <w:tc>
                <w:tcPr>
                  <w:tcW w:w="595" w:type="pct"/>
                  <w:vAlign w:val="center"/>
                </w:tcPr>
                <w:p w14:paraId="1FC279FC">
                  <w:pPr>
                    <w:pStyle w:val="154"/>
                    <w:rPr>
                      <w:sz w:val="21"/>
                      <w:szCs w:val="21"/>
                    </w:rPr>
                  </w:pPr>
                  <w:r>
                    <w:rPr>
                      <w:sz w:val="21"/>
                      <w:szCs w:val="21"/>
                    </w:rPr>
                    <w:t>400</w:t>
                  </w:r>
                </w:p>
              </w:tc>
            </w:tr>
            <w:tr w14:paraId="0CD0E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026" w:type="pct"/>
                  <w:vAlign w:val="center"/>
                </w:tcPr>
                <w:p w14:paraId="58B54ABD">
                  <w:pPr>
                    <w:pStyle w:val="154"/>
                    <w:rPr>
                      <w:sz w:val="21"/>
                      <w:szCs w:val="21"/>
                    </w:rPr>
                  </w:pPr>
                  <w:r>
                    <w:rPr>
                      <w:sz w:val="21"/>
                      <w:szCs w:val="21"/>
                    </w:rPr>
                    <w:t>洛阳市中州渠人工湿地设计进水水质</w:t>
                  </w:r>
                </w:p>
              </w:tc>
              <w:tc>
                <w:tcPr>
                  <w:tcW w:w="595" w:type="pct"/>
                  <w:vAlign w:val="center"/>
                </w:tcPr>
                <w:p w14:paraId="453C8CB3">
                  <w:pPr>
                    <w:pStyle w:val="154"/>
                    <w:rPr>
                      <w:sz w:val="21"/>
                      <w:szCs w:val="21"/>
                    </w:rPr>
                  </w:pPr>
                  <w:r>
                    <w:rPr>
                      <w:sz w:val="21"/>
                      <w:szCs w:val="21"/>
                    </w:rPr>
                    <w:t>/</w:t>
                  </w:r>
                </w:p>
              </w:tc>
              <w:tc>
                <w:tcPr>
                  <w:tcW w:w="595" w:type="pct"/>
                  <w:vAlign w:val="center"/>
                </w:tcPr>
                <w:p w14:paraId="6BE08230">
                  <w:pPr>
                    <w:pStyle w:val="154"/>
                    <w:rPr>
                      <w:sz w:val="21"/>
                      <w:szCs w:val="21"/>
                    </w:rPr>
                  </w:pPr>
                  <w:r>
                    <w:rPr>
                      <w:sz w:val="21"/>
                      <w:szCs w:val="21"/>
                    </w:rPr>
                    <w:t>350</w:t>
                  </w:r>
                </w:p>
              </w:tc>
              <w:tc>
                <w:tcPr>
                  <w:tcW w:w="595" w:type="pct"/>
                  <w:vAlign w:val="center"/>
                </w:tcPr>
                <w:p w14:paraId="1171C806">
                  <w:pPr>
                    <w:pStyle w:val="154"/>
                    <w:rPr>
                      <w:sz w:val="21"/>
                      <w:szCs w:val="21"/>
                    </w:rPr>
                  </w:pPr>
                  <w:r>
                    <w:rPr>
                      <w:sz w:val="21"/>
                      <w:szCs w:val="21"/>
                    </w:rPr>
                    <w:t>160</w:t>
                  </w:r>
                </w:p>
              </w:tc>
              <w:tc>
                <w:tcPr>
                  <w:tcW w:w="595" w:type="pct"/>
                  <w:vAlign w:val="center"/>
                </w:tcPr>
                <w:p w14:paraId="3CAB9535">
                  <w:pPr>
                    <w:pStyle w:val="154"/>
                    <w:rPr>
                      <w:sz w:val="21"/>
                      <w:szCs w:val="21"/>
                    </w:rPr>
                  </w:pPr>
                  <w:r>
                    <w:rPr>
                      <w:sz w:val="21"/>
                      <w:szCs w:val="21"/>
                    </w:rPr>
                    <w:t>45</w:t>
                  </w:r>
                </w:p>
              </w:tc>
              <w:tc>
                <w:tcPr>
                  <w:tcW w:w="595" w:type="pct"/>
                  <w:vAlign w:val="center"/>
                </w:tcPr>
                <w:p w14:paraId="51786136">
                  <w:pPr>
                    <w:pStyle w:val="154"/>
                    <w:rPr>
                      <w:sz w:val="21"/>
                      <w:szCs w:val="21"/>
                    </w:rPr>
                  </w:pPr>
                  <w:r>
                    <w:rPr>
                      <w:sz w:val="21"/>
                      <w:szCs w:val="21"/>
                    </w:rPr>
                    <w:t>160</w:t>
                  </w:r>
                </w:p>
              </w:tc>
            </w:tr>
          </w:tbl>
          <w:p w14:paraId="59ED622F">
            <w:pPr>
              <w:pStyle w:val="157"/>
            </w:pPr>
            <w:r>
              <w:t>4、固体废物</w:t>
            </w:r>
          </w:p>
          <w:p w14:paraId="3623EE53">
            <w:pPr>
              <w:pStyle w:val="167"/>
              <w:ind w:firstLine="480"/>
              <w:rPr>
                <w:rFonts w:eastAsia="宋体"/>
              </w:rPr>
            </w:pPr>
            <w:r>
              <w:rPr>
                <w:rFonts w:eastAsia="宋体"/>
              </w:rPr>
              <w:t>一般固废暂存：设置贮存区，贮存过程应满足防渗漏、防雨淋、防扬尘等环境保护要求。</w:t>
            </w:r>
          </w:p>
          <w:p w14:paraId="3E994D3D">
            <w:pPr>
              <w:pStyle w:val="167"/>
              <w:ind w:firstLine="480"/>
              <w:rPr>
                <w:rFonts w:eastAsia="宋体" w:cs="Times New Roman"/>
                <w:b/>
              </w:rPr>
            </w:pPr>
            <w:r>
              <w:rPr>
                <w:rFonts w:eastAsia="宋体"/>
              </w:rPr>
              <w:t>危险废物：执行《危险废物贮存污染控制标准》（GB18597-2023）。</w:t>
            </w:r>
          </w:p>
        </w:tc>
      </w:tr>
      <w:tr w14:paraId="3D259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897" w:hRule="atLeast"/>
          <w:jc w:val="center"/>
        </w:trPr>
        <w:tc>
          <w:tcPr>
            <w:tcW w:w="5000" w:type="pct"/>
            <w:tcBorders>
              <w:top w:val="single" w:color="auto" w:sz="4" w:space="0"/>
              <w:bottom w:val="single" w:color="auto" w:sz="12" w:space="0"/>
            </w:tcBorders>
            <w:tcMar>
              <w:top w:w="0" w:type="dxa"/>
              <w:left w:w="108" w:type="dxa"/>
              <w:bottom w:w="0" w:type="dxa"/>
              <w:right w:w="108" w:type="dxa"/>
            </w:tcMar>
          </w:tcPr>
          <w:p w14:paraId="522410CE">
            <w:pPr>
              <w:pStyle w:val="158"/>
              <w:spacing w:before="156"/>
            </w:pPr>
            <w:r>
              <w:t>总量控制指标</w:t>
            </w:r>
          </w:p>
          <w:p w14:paraId="38B9C4A1">
            <w:pPr>
              <w:pStyle w:val="167"/>
              <w:ind w:firstLine="482"/>
              <w:rPr>
                <w:rFonts w:eastAsia="宋体"/>
                <w:b/>
                <w:color w:val="000000" w:themeColor="text1"/>
                <w:u w:val="single"/>
              </w:rPr>
            </w:pPr>
            <w:r>
              <w:rPr>
                <w:rFonts w:eastAsia="宋体"/>
                <w:b/>
                <w:color w:val="000000" w:themeColor="text1"/>
                <w:u w:val="single"/>
              </w:rPr>
              <w:t>废气污染物：本项目VOCs总排放量为</w:t>
            </w:r>
            <w:r>
              <w:rPr>
                <w:rFonts w:hint="eastAsia" w:eastAsia="宋体"/>
                <w:b/>
                <w:color w:val="000000" w:themeColor="text1"/>
                <w:u w:val="single"/>
              </w:rPr>
              <w:t>0.2354t</w:t>
            </w:r>
            <w:r>
              <w:rPr>
                <w:rFonts w:eastAsia="宋体"/>
                <w:b/>
                <w:color w:val="000000" w:themeColor="text1"/>
                <w:u w:val="single"/>
              </w:rPr>
              <w:t>/a，其中有组织</w:t>
            </w:r>
            <w:r>
              <w:rPr>
                <w:rFonts w:hint="eastAsia" w:eastAsia="宋体"/>
                <w:b/>
                <w:color w:val="000000" w:themeColor="text1"/>
                <w:u w:val="single"/>
              </w:rPr>
              <w:t>0.1513</w:t>
            </w:r>
            <w:r>
              <w:rPr>
                <w:rFonts w:eastAsia="宋体"/>
                <w:b/>
                <w:color w:val="000000" w:themeColor="text1"/>
                <w:u w:val="single"/>
              </w:rPr>
              <w:t>t/a，无组织</w:t>
            </w:r>
            <w:r>
              <w:rPr>
                <w:rFonts w:hint="eastAsia" w:eastAsia="宋体"/>
                <w:b/>
                <w:color w:val="000000" w:themeColor="text1"/>
                <w:u w:val="single"/>
              </w:rPr>
              <w:t>0.0841</w:t>
            </w:r>
            <w:r>
              <w:rPr>
                <w:rFonts w:eastAsia="宋体"/>
                <w:b/>
                <w:color w:val="000000" w:themeColor="text1"/>
                <w:u w:val="single"/>
              </w:rPr>
              <w:t>t/a</w:t>
            </w:r>
            <w:r>
              <w:rPr>
                <w:rFonts w:hint="eastAsia" w:eastAsia="宋体"/>
                <w:b/>
                <w:color w:val="000000" w:themeColor="text1"/>
                <w:u w:val="single"/>
              </w:rPr>
              <w:t>。</w:t>
            </w:r>
            <w:r>
              <w:rPr>
                <w:rFonts w:hint="eastAsia" w:eastAsia="宋体"/>
                <w:color w:val="000000" w:themeColor="text1"/>
              </w:rPr>
              <w:t>根据《河南省生态环境厅关于加强建设项目主要污染物排放总量指标管理工作的通知》文件，本项目属于氮氧化物、化学需氧量、挥发性有机污染物的单项新增年排放量大于0.1吨，氨氮小于0.01吨的建设项目，实行区域总量替代。洛阳市迈威鞋业有限公司项目新增挥发性有机物（</w:t>
            </w:r>
            <w:r>
              <w:rPr>
                <w:rFonts w:eastAsia="宋体"/>
                <w:color w:val="000000" w:themeColor="text1"/>
              </w:rPr>
              <w:t>VOCs</w:t>
            </w:r>
            <w:r>
              <w:rPr>
                <w:rFonts w:hint="eastAsia" w:eastAsia="宋体"/>
                <w:color w:val="000000" w:themeColor="text1"/>
              </w:rPr>
              <w:t>）排放总量指标从洛阳大福摩托车有限公司的减排量中倍量替代0.4708吨/年用于该项目（偃师区上年度非空气质量达标县区，所需主要污染物总量指标需实行倍量替代）。</w:t>
            </w:r>
          </w:p>
          <w:p w14:paraId="3E5BA2A3">
            <w:pPr>
              <w:pStyle w:val="167"/>
              <w:ind w:firstLine="480"/>
              <w:rPr>
                <w:rFonts w:eastAsia="宋体"/>
              </w:rPr>
            </w:pPr>
            <w:r>
              <w:rPr>
                <w:rFonts w:eastAsia="宋体"/>
              </w:rPr>
              <w:t>废水污染物：循环冷却水定期补充，循环使用不外排；生活污水依托厂区现有化粪池处理，由总排口外排进入市政污水管网，由市政管网进入中州渠人工湿地处理，故不再进行总量指标核定。</w:t>
            </w:r>
          </w:p>
          <w:p w14:paraId="42FD1AF5">
            <w:pPr>
              <w:pStyle w:val="158"/>
              <w:spacing w:before="156"/>
            </w:pPr>
          </w:p>
          <w:p w14:paraId="1429C552">
            <w:pPr>
              <w:pStyle w:val="156"/>
              <w:ind w:firstLine="480"/>
            </w:pPr>
          </w:p>
          <w:p w14:paraId="5F75C468">
            <w:pPr>
              <w:pStyle w:val="156"/>
              <w:ind w:firstLine="480"/>
            </w:pPr>
          </w:p>
          <w:p w14:paraId="1A803FB0">
            <w:pPr>
              <w:pStyle w:val="156"/>
              <w:ind w:firstLine="480"/>
            </w:pPr>
          </w:p>
          <w:p w14:paraId="5E9563F2">
            <w:pPr>
              <w:pStyle w:val="156"/>
              <w:ind w:firstLine="480"/>
            </w:pPr>
          </w:p>
          <w:p w14:paraId="54D665F2">
            <w:pPr>
              <w:pStyle w:val="156"/>
              <w:ind w:firstLine="480"/>
            </w:pPr>
          </w:p>
          <w:p w14:paraId="17C58ED3">
            <w:pPr>
              <w:pStyle w:val="156"/>
              <w:ind w:firstLine="480"/>
            </w:pPr>
          </w:p>
          <w:p w14:paraId="7B63690E">
            <w:pPr>
              <w:pStyle w:val="156"/>
              <w:ind w:firstLine="480"/>
            </w:pPr>
          </w:p>
          <w:p w14:paraId="6EF7DEE7">
            <w:pPr>
              <w:pStyle w:val="156"/>
              <w:ind w:firstLine="480"/>
            </w:pPr>
          </w:p>
          <w:p w14:paraId="299DAA8C">
            <w:pPr>
              <w:pStyle w:val="156"/>
              <w:ind w:firstLine="480"/>
            </w:pPr>
          </w:p>
          <w:p w14:paraId="42DAC15E">
            <w:pPr>
              <w:pStyle w:val="156"/>
              <w:ind w:firstLine="480"/>
            </w:pPr>
          </w:p>
          <w:p w14:paraId="2DABA176">
            <w:pPr>
              <w:pStyle w:val="156"/>
              <w:ind w:firstLine="480"/>
            </w:pPr>
          </w:p>
          <w:p w14:paraId="13DA522D">
            <w:pPr>
              <w:pStyle w:val="156"/>
              <w:ind w:firstLine="480"/>
            </w:pPr>
          </w:p>
          <w:p w14:paraId="152B8CB3">
            <w:pPr>
              <w:pStyle w:val="156"/>
              <w:ind w:firstLine="480"/>
            </w:pPr>
          </w:p>
          <w:p w14:paraId="0BB037F4">
            <w:pPr>
              <w:pStyle w:val="156"/>
              <w:ind w:firstLine="480"/>
            </w:pPr>
          </w:p>
          <w:p w14:paraId="5E13216C">
            <w:pPr>
              <w:pStyle w:val="156"/>
              <w:ind w:firstLine="480"/>
            </w:pPr>
          </w:p>
        </w:tc>
      </w:tr>
    </w:tbl>
    <w:p w14:paraId="61054A12">
      <w:pPr>
        <w:sectPr>
          <w:pgSz w:w="11907" w:h="16840"/>
          <w:pgMar w:top="1588" w:right="1418" w:bottom="1588" w:left="1418" w:header="851" w:footer="992" w:gutter="0"/>
          <w:cols w:space="425" w:num="1"/>
          <w:docGrid w:type="lines" w:linePitch="312" w:charSpace="0"/>
        </w:sectPr>
      </w:pPr>
    </w:p>
    <w:p w14:paraId="7DCC93CE">
      <w:pPr>
        <w:pStyle w:val="152"/>
      </w:pPr>
      <w:r>
        <w:t>四、主要环境影响和保护措施</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9287"/>
      </w:tblGrid>
      <w:tr w14:paraId="08BDC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000" w:type="pct"/>
            <w:tcMar>
              <w:top w:w="0" w:type="dxa"/>
              <w:left w:w="108" w:type="dxa"/>
              <w:bottom w:w="0" w:type="dxa"/>
              <w:right w:w="108" w:type="dxa"/>
            </w:tcMar>
          </w:tcPr>
          <w:p w14:paraId="793DA72F">
            <w:pPr>
              <w:pStyle w:val="158"/>
              <w:spacing w:before="156"/>
            </w:pPr>
            <w:r>
              <w:t>施工期环境保护措施</w:t>
            </w:r>
          </w:p>
          <w:p w14:paraId="3542C5CB">
            <w:pPr>
              <w:pStyle w:val="156"/>
              <w:ind w:firstLine="480"/>
              <w:rPr>
                <w:rFonts w:eastAsia="宋体" w:cs="Times New Roman"/>
              </w:rPr>
            </w:pPr>
            <w:r>
              <w:rPr>
                <w:rFonts w:eastAsia="宋体" w:cs="Times New Roman"/>
              </w:rPr>
              <w:t>本项目依托现有生产厂房建设，施工期主要为生产设备安装，主要影响为噪声。</w:t>
            </w:r>
          </w:p>
          <w:p w14:paraId="6B7BAA98">
            <w:pPr>
              <w:pStyle w:val="156"/>
              <w:ind w:firstLine="480"/>
              <w:rPr>
                <w:rFonts w:eastAsia="宋体" w:cs="Times New Roman"/>
              </w:rPr>
            </w:pPr>
            <w:r>
              <w:rPr>
                <w:rFonts w:eastAsia="宋体" w:cs="Times New Roman"/>
              </w:rPr>
              <w:t>施工期采取的环保措施主要为：严格控制施工时间，夜间不施工等，同时通过厂房隔声、距离衰减等，可减轻施工期对周围声环境的影响。</w:t>
            </w:r>
          </w:p>
        </w:tc>
      </w:tr>
      <w:tr w14:paraId="7BEAD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000" w:type="pct"/>
            <w:tcMar>
              <w:top w:w="0" w:type="dxa"/>
              <w:left w:w="108" w:type="dxa"/>
              <w:bottom w:w="0" w:type="dxa"/>
              <w:right w:w="108" w:type="dxa"/>
            </w:tcMar>
          </w:tcPr>
          <w:p w14:paraId="585AA7C1">
            <w:pPr>
              <w:pStyle w:val="158"/>
              <w:spacing w:before="156"/>
            </w:pPr>
            <w:r>
              <w:t>运营期环境影响和保护措施</w:t>
            </w:r>
          </w:p>
          <w:p w14:paraId="6212C373">
            <w:pPr>
              <w:pStyle w:val="157"/>
            </w:pPr>
            <w:r>
              <w:t>1、废气</w:t>
            </w:r>
          </w:p>
          <w:p w14:paraId="7FA28E4A">
            <w:pPr>
              <w:pStyle w:val="179"/>
            </w:pPr>
            <w:r>
              <w:t>1.1废气产排污节点、污染物及污染治理设施信息</w:t>
            </w:r>
          </w:p>
          <w:p w14:paraId="4D220B5F">
            <w:pPr>
              <w:pStyle w:val="156"/>
              <w:ind w:firstLine="480"/>
              <w:rPr>
                <w:rFonts w:eastAsia="宋体" w:cs="Times New Roman"/>
              </w:rPr>
            </w:pPr>
          </w:p>
          <w:p w14:paraId="7CCC93DF">
            <w:pPr>
              <w:pStyle w:val="156"/>
              <w:ind w:firstLine="480"/>
              <w:rPr>
                <w:rFonts w:eastAsia="宋体" w:cs="Times New Roman"/>
              </w:rPr>
            </w:pPr>
          </w:p>
          <w:p w14:paraId="01D4C76F">
            <w:pPr>
              <w:pStyle w:val="156"/>
              <w:ind w:firstLine="480"/>
              <w:rPr>
                <w:rFonts w:eastAsia="宋体" w:cs="Times New Roman"/>
              </w:rPr>
            </w:pPr>
          </w:p>
          <w:p w14:paraId="3AD045A7">
            <w:pPr>
              <w:pStyle w:val="156"/>
              <w:ind w:firstLine="480"/>
              <w:rPr>
                <w:rFonts w:eastAsia="宋体" w:cs="Times New Roman"/>
              </w:rPr>
            </w:pPr>
          </w:p>
          <w:p w14:paraId="4E274386">
            <w:pPr>
              <w:pStyle w:val="156"/>
              <w:ind w:firstLine="480"/>
              <w:rPr>
                <w:rFonts w:eastAsia="宋体" w:cs="Times New Roman"/>
              </w:rPr>
            </w:pPr>
          </w:p>
          <w:p w14:paraId="72F189CE">
            <w:pPr>
              <w:pStyle w:val="156"/>
              <w:ind w:firstLine="480"/>
              <w:rPr>
                <w:rFonts w:eastAsia="宋体" w:cs="Times New Roman"/>
              </w:rPr>
            </w:pPr>
          </w:p>
          <w:p w14:paraId="065D3501">
            <w:pPr>
              <w:pStyle w:val="156"/>
              <w:ind w:firstLine="480"/>
              <w:rPr>
                <w:rFonts w:eastAsia="宋体" w:cs="Times New Roman"/>
              </w:rPr>
            </w:pPr>
          </w:p>
          <w:p w14:paraId="3EF47F8F">
            <w:pPr>
              <w:pStyle w:val="156"/>
              <w:ind w:firstLine="480"/>
              <w:rPr>
                <w:rFonts w:eastAsia="宋体" w:cs="Times New Roman"/>
              </w:rPr>
            </w:pPr>
          </w:p>
          <w:p w14:paraId="2BEAA0F1">
            <w:pPr>
              <w:pStyle w:val="156"/>
              <w:ind w:firstLine="480"/>
              <w:rPr>
                <w:rFonts w:eastAsia="宋体" w:cs="Times New Roman"/>
              </w:rPr>
            </w:pPr>
          </w:p>
          <w:p w14:paraId="67954E89">
            <w:pPr>
              <w:pStyle w:val="156"/>
              <w:ind w:firstLine="480"/>
              <w:rPr>
                <w:rFonts w:eastAsia="宋体" w:cs="Times New Roman"/>
              </w:rPr>
            </w:pPr>
          </w:p>
          <w:p w14:paraId="21203501">
            <w:pPr>
              <w:pStyle w:val="156"/>
              <w:ind w:firstLine="480"/>
              <w:rPr>
                <w:rFonts w:eastAsia="宋体" w:cs="Times New Roman"/>
              </w:rPr>
            </w:pPr>
          </w:p>
          <w:p w14:paraId="48A4DACA">
            <w:pPr>
              <w:pStyle w:val="156"/>
              <w:ind w:firstLine="480"/>
              <w:rPr>
                <w:rFonts w:eastAsia="宋体" w:cs="Times New Roman"/>
              </w:rPr>
            </w:pPr>
          </w:p>
          <w:p w14:paraId="4086DFE3">
            <w:pPr>
              <w:pStyle w:val="156"/>
              <w:ind w:firstLine="480"/>
              <w:rPr>
                <w:rFonts w:eastAsia="宋体" w:cs="Times New Roman"/>
              </w:rPr>
            </w:pPr>
          </w:p>
          <w:p w14:paraId="70307F89">
            <w:pPr>
              <w:pStyle w:val="156"/>
              <w:ind w:firstLine="480"/>
              <w:rPr>
                <w:rFonts w:eastAsia="宋体" w:cs="Times New Roman"/>
              </w:rPr>
            </w:pPr>
          </w:p>
          <w:p w14:paraId="2F22299A">
            <w:pPr>
              <w:pStyle w:val="156"/>
              <w:ind w:firstLine="480"/>
              <w:rPr>
                <w:rFonts w:eastAsia="宋体" w:cs="Times New Roman"/>
              </w:rPr>
            </w:pPr>
          </w:p>
          <w:p w14:paraId="47AB5545">
            <w:pPr>
              <w:pStyle w:val="156"/>
              <w:ind w:firstLine="480"/>
              <w:rPr>
                <w:rFonts w:eastAsia="宋体" w:cs="Times New Roman"/>
              </w:rPr>
            </w:pPr>
          </w:p>
          <w:p w14:paraId="61447433">
            <w:pPr>
              <w:pStyle w:val="156"/>
              <w:ind w:firstLine="480"/>
              <w:rPr>
                <w:rFonts w:eastAsia="宋体" w:cs="Times New Roman"/>
              </w:rPr>
            </w:pPr>
          </w:p>
        </w:tc>
      </w:tr>
    </w:tbl>
    <w:p w14:paraId="1D415D90">
      <w:pPr>
        <w:rPr>
          <w:rFonts w:ascii="Times New Roman" w:hAnsi="Times New Roman"/>
        </w:rPr>
        <w:sectPr>
          <w:pgSz w:w="11907" w:h="16840"/>
          <w:pgMar w:top="1588" w:right="1418" w:bottom="1588" w:left="1418" w:header="851" w:footer="992" w:gutter="0"/>
          <w:cols w:space="425" w:num="1"/>
          <w:docGrid w:type="lines" w:linePitch="312" w:charSpace="0"/>
        </w:sectPr>
      </w:pPr>
    </w:p>
    <w:tbl>
      <w:tblPr>
        <w:tblStyle w:val="88"/>
        <w:tblW w:w="525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574"/>
      </w:tblGrid>
      <w:tr w14:paraId="20B0B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07" w:hRule="atLeast"/>
          <w:jc w:val="center"/>
        </w:trPr>
        <w:tc>
          <w:tcPr>
            <w:tcW w:w="5000" w:type="pct"/>
            <w:tcMar>
              <w:top w:w="0" w:type="dxa"/>
              <w:left w:w="108" w:type="dxa"/>
              <w:bottom w:w="0" w:type="dxa"/>
              <w:right w:w="108" w:type="dxa"/>
            </w:tcMar>
          </w:tcPr>
          <w:p w14:paraId="1566B879">
            <w:pPr>
              <w:pStyle w:val="182"/>
              <w:ind w:firstLine="482"/>
              <w:rPr>
                <w:b/>
                <w:u w:val="single"/>
              </w:rPr>
            </w:pPr>
            <w:r>
              <w:rPr>
                <w:b/>
                <w:u w:val="single"/>
              </w:rPr>
              <w:t xml:space="preserve">表4- </w:t>
            </w:r>
            <w:r>
              <w:rPr>
                <w:b/>
                <w:u w:val="single"/>
              </w:rPr>
              <w:fldChar w:fldCharType="begin"/>
            </w:r>
            <w:r>
              <w:rPr>
                <w:b/>
                <w:u w:val="single"/>
              </w:rPr>
              <w:instrText xml:space="preserve"> SEQ 表4- \* ARABIC </w:instrText>
            </w:r>
            <w:r>
              <w:rPr>
                <w:b/>
                <w:u w:val="single"/>
              </w:rPr>
              <w:fldChar w:fldCharType="separate"/>
            </w:r>
            <w:r>
              <w:rPr>
                <w:b/>
                <w:u w:val="single"/>
              </w:rPr>
              <w:t>1</w:t>
            </w:r>
            <w:r>
              <w:rPr>
                <w:b/>
                <w:u w:val="single"/>
              </w:rPr>
              <w:fldChar w:fldCharType="end"/>
            </w:r>
            <w:r>
              <w:rPr>
                <w:b/>
                <w:u w:val="single"/>
              </w:rPr>
              <w:t xml:space="preserve">                            废气产排污节点、污染物及污染治理设施信息表</w:t>
            </w:r>
          </w:p>
          <w:tbl>
            <w:tblPr>
              <w:tblStyle w:val="88"/>
              <w:tblW w:w="143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9"/>
              <w:gridCol w:w="664"/>
              <w:gridCol w:w="775"/>
              <w:gridCol w:w="553"/>
              <w:gridCol w:w="1729"/>
              <w:gridCol w:w="850"/>
              <w:gridCol w:w="1276"/>
              <w:gridCol w:w="709"/>
              <w:gridCol w:w="567"/>
              <w:gridCol w:w="283"/>
              <w:gridCol w:w="1559"/>
              <w:gridCol w:w="1701"/>
              <w:gridCol w:w="709"/>
              <w:gridCol w:w="567"/>
              <w:gridCol w:w="709"/>
              <w:gridCol w:w="709"/>
              <w:gridCol w:w="529"/>
            </w:tblGrid>
            <w:tr w14:paraId="455895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439" w:type="dxa"/>
                  <w:vMerge w:val="restart"/>
                  <w:vAlign w:val="center"/>
                </w:tcPr>
                <w:p w14:paraId="59941D42">
                  <w:pPr>
                    <w:pStyle w:val="154"/>
                    <w:rPr>
                      <w:b/>
                      <w:sz w:val="21"/>
                      <w:szCs w:val="21"/>
                      <w:u w:val="single"/>
                    </w:rPr>
                  </w:pPr>
                  <w:r>
                    <w:rPr>
                      <w:b/>
                      <w:sz w:val="21"/>
                      <w:szCs w:val="21"/>
                      <w:u w:val="single"/>
                    </w:rPr>
                    <w:t>序号</w:t>
                  </w:r>
                </w:p>
              </w:tc>
              <w:tc>
                <w:tcPr>
                  <w:tcW w:w="664" w:type="dxa"/>
                  <w:vMerge w:val="restart"/>
                  <w:vAlign w:val="center"/>
                </w:tcPr>
                <w:p w14:paraId="0FADCB0A">
                  <w:pPr>
                    <w:pStyle w:val="154"/>
                    <w:rPr>
                      <w:b/>
                      <w:sz w:val="21"/>
                      <w:szCs w:val="21"/>
                      <w:u w:val="single"/>
                    </w:rPr>
                  </w:pPr>
                  <w:r>
                    <w:rPr>
                      <w:rFonts w:hint="eastAsia"/>
                      <w:b/>
                      <w:sz w:val="21"/>
                      <w:szCs w:val="21"/>
                      <w:u w:val="single"/>
                    </w:rPr>
                    <w:t>类别</w:t>
                  </w:r>
                </w:p>
              </w:tc>
              <w:tc>
                <w:tcPr>
                  <w:tcW w:w="775" w:type="dxa"/>
                  <w:vMerge w:val="restart"/>
                  <w:vAlign w:val="center"/>
                </w:tcPr>
                <w:p w14:paraId="20870800">
                  <w:pPr>
                    <w:pStyle w:val="154"/>
                    <w:rPr>
                      <w:b/>
                      <w:sz w:val="21"/>
                      <w:szCs w:val="21"/>
                      <w:u w:val="single"/>
                    </w:rPr>
                  </w:pPr>
                  <w:r>
                    <w:rPr>
                      <w:rFonts w:hint="eastAsia"/>
                      <w:b/>
                      <w:sz w:val="21"/>
                      <w:szCs w:val="21"/>
                      <w:u w:val="single"/>
                    </w:rPr>
                    <w:t>产污环节</w:t>
                  </w:r>
                </w:p>
              </w:tc>
              <w:tc>
                <w:tcPr>
                  <w:tcW w:w="553" w:type="dxa"/>
                  <w:vMerge w:val="restart"/>
                  <w:vAlign w:val="center"/>
                </w:tcPr>
                <w:p w14:paraId="7D016991">
                  <w:pPr>
                    <w:pStyle w:val="154"/>
                    <w:rPr>
                      <w:b/>
                      <w:sz w:val="21"/>
                      <w:szCs w:val="21"/>
                      <w:u w:val="single"/>
                    </w:rPr>
                  </w:pPr>
                  <w:r>
                    <w:rPr>
                      <w:b/>
                      <w:sz w:val="21"/>
                      <w:szCs w:val="21"/>
                      <w:u w:val="single"/>
                    </w:rPr>
                    <w:t>污染物种类</w:t>
                  </w:r>
                </w:p>
              </w:tc>
              <w:tc>
                <w:tcPr>
                  <w:tcW w:w="1729" w:type="dxa"/>
                  <w:vMerge w:val="restart"/>
                  <w:vAlign w:val="center"/>
                </w:tcPr>
                <w:p w14:paraId="369C1604">
                  <w:pPr>
                    <w:pStyle w:val="154"/>
                    <w:rPr>
                      <w:b/>
                      <w:sz w:val="21"/>
                      <w:szCs w:val="21"/>
                      <w:u w:val="single"/>
                    </w:rPr>
                  </w:pPr>
                  <w:r>
                    <w:rPr>
                      <w:b/>
                      <w:sz w:val="21"/>
                      <w:szCs w:val="21"/>
                      <w:u w:val="single"/>
                    </w:rPr>
                    <w:t>产生情况</w:t>
                  </w:r>
                </w:p>
              </w:tc>
              <w:tc>
                <w:tcPr>
                  <w:tcW w:w="850" w:type="dxa"/>
                  <w:vMerge w:val="restart"/>
                  <w:vAlign w:val="center"/>
                </w:tcPr>
                <w:p w14:paraId="7575A810">
                  <w:pPr>
                    <w:pStyle w:val="154"/>
                    <w:rPr>
                      <w:b/>
                      <w:sz w:val="21"/>
                      <w:szCs w:val="21"/>
                      <w:u w:val="single"/>
                    </w:rPr>
                  </w:pPr>
                  <w:r>
                    <w:rPr>
                      <w:b/>
                      <w:sz w:val="21"/>
                      <w:szCs w:val="21"/>
                      <w:u w:val="single"/>
                    </w:rPr>
                    <w:t>排放形式</w:t>
                  </w:r>
                </w:p>
              </w:tc>
              <w:tc>
                <w:tcPr>
                  <w:tcW w:w="2835" w:type="dxa"/>
                  <w:gridSpan w:val="4"/>
                  <w:vAlign w:val="center"/>
                </w:tcPr>
                <w:p w14:paraId="08A1D307">
                  <w:pPr>
                    <w:pStyle w:val="154"/>
                    <w:rPr>
                      <w:b/>
                      <w:sz w:val="21"/>
                      <w:szCs w:val="21"/>
                      <w:u w:val="single"/>
                    </w:rPr>
                  </w:pPr>
                  <w:r>
                    <w:rPr>
                      <w:b/>
                      <w:sz w:val="21"/>
                      <w:szCs w:val="21"/>
                      <w:u w:val="single"/>
                    </w:rPr>
                    <w:t>治理设施</w:t>
                  </w:r>
                </w:p>
              </w:tc>
              <w:tc>
                <w:tcPr>
                  <w:tcW w:w="1559" w:type="dxa"/>
                  <w:vMerge w:val="restart"/>
                  <w:vAlign w:val="center"/>
                </w:tcPr>
                <w:p w14:paraId="2E4C15C3">
                  <w:pPr>
                    <w:pStyle w:val="154"/>
                    <w:rPr>
                      <w:b/>
                      <w:sz w:val="21"/>
                      <w:szCs w:val="21"/>
                      <w:u w:val="single"/>
                    </w:rPr>
                  </w:pPr>
                  <w:r>
                    <w:rPr>
                      <w:b/>
                      <w:sz w:val="21"/>
                      <w:szCs w:val="21"/>
                      <w:u w:val="single"/>
                    </w:rPr>
                    <w:t>排放情况</w:t>
                  </w:r>
                </w:p>
                <w:p w14:paraId="5FF4AFA7">
                  <w:pPr>
                    <w:pStyle w:val="45"/>
                    <w:jc w:val="center"/>
                    <w:rPr>
                      <w:b/>
                      <w:sz w:val="21"/>
                      <w:u w:val="single"/>
                    </w:rPr>
                  </w:pPr>
                  <w:r>
                    <w:rPr>
                      <w:rFonts w:hint="eastAsia"/>
                      <w:b/>
                      <w:sz w:val="21"/>
                      <w:u w:val="single"/>
                    </w:rPr>
                    <w:t>（合并前）</w:t>
                  </w:r>
                </w:p>
              </w:tc>
              <w:tc>
                <w:tcPr>
                  <w:tcW w:w="1701" w:type="dxa"/>
                  <w:vMerge w:val="restart"/>
                </w:tcPr>
                <w:p w14:paraId="5FEEB5F8">
                  <w:pPr>
                    <w:pStyle w:val="154"/>
                    <w:rPr>
                      <w:rFonts w:asciiTheme="minorEastAsia" w:hAnsiTheme="minorEastAsia"/>
                      <w:b/>
                      <w:sz w:val="21"/>
                      <w:szCs w:val="21"/>
                      <w:u w:val="single"/>
                    </w:rPr>
                  </w:pPr>
                </w:p>
                <w:p w14:paraId="6FC35DB5">
                  <w:pPr>
                    <w:pStyle w:val="45"/>
                    <w:rPr>
                      <w:rFonts w:asciiTheme="minorEastAsia" w:hAnsiTheme="minorEastAsia" w:eastAsiaTheme="minorEastAsia"/>
                      <w:sz w:val="21"/>
                    </w:rPr>
                  </w:pPr>
                </w:p>
                <w:p w14:paraId="71D71BDB">
                  <w:pPr>
                    <w:pStyle w:val="45"/>
                    <w:jc w:val="center"/>
                    <w:rPr>
                      <w:rFonts w:asciiTheme="minorEastAsia" w:hAnsiTheme="minorEastAsia" w:eastAsiaTheme="minorEastAsia"/>
                      <w:b/>
                      <w:sz w:val="21"/>
                      <w:u w:val="single"/>
                    </w:rPr>
                  </w:pPr>
                </w:p>
                <w:p w14:paraId="10E73A9E">
                  <w:pPr>
                    <w:pStyle w:val="45"/>
                    <w:jc w:val="center"/>
                    <w:rPr>
                      <w:rFonts w:asciiTheme="minorEastAsia" w:hAnsiTheme="minorEastAsia" w:eastAsiaTheme="minorEastAsia"/>
                      <w:b/>
                      <w:sz w:val="21"/>
                      <w:u w:val="single"/>
                    </w:rPr>
                  </w:pPr>
                  <w:r>
                    <w:rPr>
                      <w:rFonts w:asciiTheme="minorEastAsia" w:hAnsiTheme="minorEastAsia" w:eastAsiaTheme="minorEastAsia"/>
                      <w:b/>
                      <w:sz w:val="21"/>
                      <w:u w:val="single"/>
                    </w:rPr>
                    <w:t>排放情况</w:t>
                  </w:r>
                </w:p>
                <w:p w14:paraId="707F9551">
                  <w:pPr>
                    <w:pStyle w:val="45"/>
                    <w:jc w:val="center"/>
                    <w:rPr>
                      <w:rFonts w:asciiTheme="minorEastAsia" w:hAnsiTheme="minorEastAsia" w:eastAsiaTheme="minorEastAsia"/>
                      <w:b/>
                      <w:sz w:val="21"/>
                      <w:u w:val="single"/>
                    </w:rPr>
                  </w:pPr>
                  <w:r>
                    <w:rPr>
                      <w:rFonts w:hint="eastAsia" w:asciiTheme="minorEastAsia" w:hAnsiTheme="minorEastAsia" w:eastAsiaTheme="minorEastAsia"/>
                      <w:b/>
                      <w:sz w:val="21"/>
                      <w:u w:val="single"/>
                    </w:rPr>
                    <w:t>(合并后)</w:t>
                  </w:r>
                </w:p>
              </w:tc>
              <w:tc>
                <w:tcPr>
                  <w:tcW w:w="709" w:type="dxa"/>
                  <w:vMerge w:val="restart"/>
                  <w:vAlign w:val="center"/>
                </w:tcPr>
                <w:p w14:paraId="3F1F5E16">
                  <w:pPr>
                    <w:pStyle w:val="154"/>
                    <w:rPr>
                      <w:b/>
                      <w:sz w:val="21"/>
                      <w:szCs w:val="21"/>
                      <w:u w:val="single"/>
                    </w:rPr>
                  </w:pPr>
                  <w:r>
                    <w:rPr>
                      <w:b/>
                      <w:sz w:val="21"/>
                      <w:szCs w:val="21"/>
                      <w:u w:val="single"/>
                    </w:rPr>
                    <w:t>排放</w:t>
                  </w:r>
                </w:p>
                <w:p w14:paraId="14FA0F4E">
                  <w:pPr>
                    <w:pStyle w:val="154"/>
                    <w:rPr>
                      <w:b/>
                      <w:sz w:val="21"/>
                      <w:szCs w:val="21"/>
                      <w:u w:val="single"/>
                    </w:rPr>
                  </w:pPr>
                  <w:r>
                    <w:rPr>
                      <w:b/>
                      <w:sz w:val="21"/>
                      <w:szCs w:val="21"/>
                      <w:u w:val="single"/>
                    </w:rPr>
                    <w:t>标准</w:t>
                  </w:r>
                </w:p>
                <w:p w14:paraId="26EB2E04">
                  <w:pPr>
                    <w:pStyle w:val="154"/>
                    <w:rPr>
                      <w:b/>
                      <w:sz w:val="21"/>
                      <w:szCs w:val="21"/>
                      <w:u w:val="single"/>
                    </w:rPr>
                  </w:pPr>
                  <w:r>
                    <w:rPr>
                      <w:b/>
                      <w:sz w:val="21"/>
                      <w:szCs w:val="21"/>
                      <w:u w:val="single"/>
                    </w:rPr>
                    <w:t>mg/m</w:t>
                  </w:r>
                  <w:r>
                    <w:rPr>
                      <w:b/>
                      <w:sz w:val="21"/>
                      <w:szCs w:val="21"/>
                      <w:u w:val="single"/>
                      <w:vertAlign w:val="superscript"/>
                    </w:rPr>
                    <w:t>3</w:t>
                  </w:r>
                </w:p>
              </w:tc>
              <w:tc>
                <w:tcPr>
                  <w:tcW w:w="567" w:type="dxa"/>
                  <w:vMerge w:val="restart"/>
                  <w:vAlign w:val="center"/>
                </w:tcPr>
                <w:p w14:paraId="320E7737">
                  <w:pPr>
                    <w:pStyle w:val="154"/>
                    <w:rPr>
                      <w:b/>
                      <w:sz w:val="21"/>
                      <w:szCs w:val="21"/>
                      <w:u w:val="single"/>
                    </w:rPr>
                  </w:pPr>
                  <w:r>
                    <w:rPr>
                      <w:b/>
                      <w:sz w:val="21"/>
                      <w:szCs w:val="21"/>
                      <w:u w:val="single"/>
                    </w:rPr>
                    <w:t>排放</w:t>
                  </w:r>
                </w:p>
                <w:p w14:paraId="605417EE">
                  <w:pPr>
                    <w:pStyle w:val="154"/>
                    <w:rPr>
                      <w:b/>
                      <w:sz w:val="21"/>
                      <w:szCs w:val="21"/>
                      <w:u w:val="single"/>
                    </w:rPr>
                  </w:pPr>
                  <w:r>
                    <w:rPr>
                      <w:b/>
                      <w:sz w:val="21"/>
                      <w:szCs w:val="21"/>
                      <w:u w:val="single"/>
                    </w:rPr>
                    <w:t>时长</w:t>
                  </w:r>
                </w:p>
                <w:p w14:paraId="23976621">
                  <w:pPr>
                    <w:pStyle w:val="154"/>
                    <w:rPr>
                      <w:b/>
                      <w:sz w:val="21"/>
                      <w:szCs w:val="21"/>
                      <w:u w:val="single"/>
                    </w:rPr>
                  </w:pPr>
                  <w:r>
                    <w:rPr>
                      <w:b/>
                      <w:sz w:val="21"/>
                      <w:szCs w:val="21"/>
                      <w:u w:val="single"/>
                    </w:rPr>
                    <w:t>h/a</w:t>
                  </w:r>
                </w:p>
              </w:tc>
              <w:tc>
                <w:tcPr>
                  <w:tcW w:w="709" w:type="dxa"/>
                  <w:vMerge w:val="restart"/>
                </w:tcPr>
                <w:p w14:paraId="1A34978A">
                  <w:pPr>
                    <w:pStyle w:val="154"/>
                    <w:rPr>
                      <w:b/>
                      <w:sz w:val="21"/>
                      <w:szCs w:val="21"/>
                      <w:u w:val="single"/>
                    </w:rPr>
                  </w:pPr>
                </w:p>
                <w:p w14:paraId="5C60F9E8">
                  <w:pPr>
                    <w:pStyle w:val="45"/>
                    <w:jc w:val="center"/>
                  </w:pPr>
                </w:p>
                <w:p w14:paraId="30B9F72B">
                  <w:pPr>
                    <w:pStyle w:val="45"/>
                    <w:jc w:val="center"/>
                    <w:rPr>
                      <w:b/>
                      <w:sz w:val="21"/>
                      <w:u w:val="single"/>
                    </w:rPr>
                  </w:pPr>
                  <w:r>
                    <w:rPr>
                      <w:rFonts w:hint="eastAsia"/>
                      <w:b/>
                      <w:sz w:val="21"/>
                      <w:u w:val="single"/>
                    </w:rPr>
                    <w:t>设计</w:t>
                  </w:r>
                </w:p>
                <w:p w14:paraId="4CE56214">
                  <w:pPr>
                    <w:pStyle w:val="45"/>
                    <w:jc w:val="center"/>
                    <w:rPr>
                      <w:b/>
                      <w:sz w:val="21"/>
                      <w:u w:val="single"/>
                    </w:rPr>
                  </w:pPr>
                  <w:r>
                    <w:rPr>
                      <w:rFonts w:hint="eastAsia"/>
                      <w:b/>
                      <w:sz w:val="21"/>
                      <w:u w:val="single"/>
                    </w:rPr>
                    <w:t>风量</w:t>
                  </w:r>
                </w:p>
                <w:p w14:paraId="7003F8AE">
                  <w:pPr>
                    <w:pStyle w:val="45"/>
                    <w:jc w:val="center"/>
                    <w:rPr>
                      <w:rFonts w:ascii="Times New Roman" w:hAnsi="Times New Roman" w:cs="Times New Roman"/>
                      <w:b/>
                      <w:sz w:val="21"/>
                    </w:rPr>
                  </w:pPr>
                  <w:r>
                    <w:rPr>
                      <w:rFonts w:ascii="Times New Roman" w:hAnsi="Times New Roman" w:cs="Times New Roman"/>
                      <w:b/>
                      <w:sz w:val="21"/>
                      <w:u w:val="single"/>
                    </w:rPr>
                    <w:t>m³/h</w:t>
                  </w:r>
                </w:p>
              </w:tc>
              <w:tc>
                <w:tcPr>
                  <w:tcW w:w="709" w:type="dxa"/>
                  <w:vMerge w:val="restart"/>
                  <w:vAlign w:val="center"/>
                </w:tcPr>
                <w:p w14:paraId="156EE345">
                  <w:pPr>
                    <w:pStyle w:val="154"/>
                    <w:rPr>
                      <w:b/>
                      <w:sz w:val="21"/>
                      <w:szCs w:val="21"/>
                      <w:u w:val="single"/>
                    </w:rPr>
                  </w:pPr>
                  <w:r>
                    <w:rPr>
                      <w:b/>
                      <w:sz w:val="21"/>
                      <w:szCs w:val="21"/>
                      <w:u w:val="single"/>
                    </w:rPr>
                    <w:t>排放口编号</w:t>
                  </w:r>
                </w:p>
              </w:tc>
              <w:tc>
                <w:tcPr>
                  <w:tcW w:w="529" w:type="dxa"/>
                  <w:vMerge w:val="restart"/>
                  <w:vAlign w:val="center"/>
                </w:tcPr>
                <w:p w14:paraId="5ACE2EF0">
                  <w:pPr>
                    <w:pStyle w:val="154"/>
                    <w:rPr>
                      <w:b/>
                      <w:sz w:val="21"/>
                      <w:szCs w:val="21"/>
                      <w:u w:val="single"/>
                    </w:rPr>
                  </w:pPr>
                  <w:r>
                    <w:rPr>
                      <w:b/>
                      <w:sz w:val="21"/>
                      <w:szCs w:val="21"/>
                      <w:u w:val="single"/>
                    </w:rPr>
                    <w:t>排放口类型</w:t>
                  </w:r>
                </w:p>
              </w:tc>
            </w:tr>
            <w:tr w14:paraId="2534E3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04" w:hRule="atLeast"/>
                <w:jc w:val="center"/>
              </w:trPr>
              <w:tc>
                <w:tcPr>
                  <w:tcW w:w="439" w:type="dxa"/>
                  <w:vMerge w:val="continue"/>
                  <w:vAlign w:val="center"/>
                </w:tcPr>
                <w:p w14:paraId="6C6891F4">
                  <w:pPr>
                    <w:pStyle w:val="154"/>
                    <w:rPr>
                      <w:b/>
                      <w:sz w:val="21"/>
                      <w:szCs w:val="21"/>
                      <w:u w:val="single"/>
                    </w:rPr>
                  </w:pPr>
                </w:p>
              </w:tc>
              <w:tc>
                <w:tcPr>
                  <w:tcW w:w="664" w:type="dxa"/>
                  <w:vMerge w:val="continue"/>
                </w:tcPr>
                <w:p w14:paraId="5990471E">
                  <w:pPr>
                    <w:pStyle w:val="154"/>
                    <w:rPr>
                      <w:b/>
                      <w:sz w:val="21"/>
                      <w:szCs w:val="21"/>
                      <w:u w:val="single"/>
                    </w:rPr>
                  </w:pPr>
                </w:p>
              </w:tc>
              <w:tc>
                <w:tcPr>
                  <w:tcW w:w="775" w:type="dxa"/>
                  <w:vMerge w:val="continue"/>
                  <w:vAlign w:val="center"/>
                </w:tcPr>
                <w:p w14:paraId="3A3AF7E7">
                  <w:pPr>
                    <w:pStyle w:val="154"/>
                    <w:rPr>
                      <w:b/>
                      <w:sz w:val="21"/>
                      <w:szCs w:val="21"/>
                      <w:u w:val="single"/>
                    </w:rPr>
                  </w:pPr>
                </w:p>
              </w:tc>
              <w:tc>
                <w:tcPr>
                  <w:tcW w:w="553" w:type="dxa"/>
                  <w:vMerge w:val="continue"/>
                  <w:vAlign w:val="center"/>
                </w:tcPr>
                <w:p w14:paraId="089BE569">
                  <w:pPr>
                    <w:pStyle w:val="154"/>
                    <w:rPr>
                      <w:b/>
                      <w:sz w:val="21"/>
                      <w:szCs w:val="21"/>
                      <w:u w:val="single"/>
                    </w:rPr>
                  </w:pPr>
                </w:p>
              </w:tc>
              <w:tc>
                <w:tcPr>
                  <w:tcW w:w="1729" w:type="dxa"/>
                  <w:vMerge w:val="continue"/>
                  <w:vAlign w:val="center"/>
                </w:tcPr>
                <w:p w14:paraId="5B8019EE">
                  <w:pPr>
                    <w:pStyle w:val="154"/>
                    <w:rPr>
                      <w:b/>
                      <w:sz w:val="21"/>
                      <w:szCs w:val="21"/>
                      <w:u w:val="single"/>
                    </w:rPr>
                  </w:pPr>
                </w:p>
              </w:tc>
              <w:tc>
                <w:tcPr>
                  <w:tcW w:w="850" w:type="dxa"/>
                  <w:vMerge w:val="continue"/>
                  <w:vAlign w:val="center"/>
                </w:tcPr>
                <w:p w14:paraId="0FA2531E">
                  <w:pPr>
                    <w:pStyle w:val="154"/>
                    <w:rPr>
                      <w:b/>
                      <w:sz w:val="21"/>
                      <w:szCs w:val="21"/>
                      <w:u w:val="single"/>
                    </w:rPr>
                  </w:pPr>
                </w:p>
              </w:tc>
              <w:tc>
                <w:tcPr>
                  <w:tcW w:w="1276" w:type="dxa"/>
                  <w:vAlign w:val="center"/>
                </w:tcPr>
                <w:p w14:paraId="45F57C2D">
                  <w:pPr>
                    <w:pStyle w:val="154"/>
                    <w:rPr>
                      <w:b/>
                      <w:sz w:val="21"/>
                      <w:szCs w:val="21"/>
                      <w:u w:val="single"/>
                    </w:rPr>
                  </w:pPr>
                  <w:r>
                    <w:rPr>
                      <w:b/>
                      <w:sz w:val="21"/>
                      <w:szCs w:val="21"/>
                      <w:u w:val="single"/>
                    </w:rPr>
                    <w:t>具体措施</w:t>
                  </w:r>
                </w:p>
              </w:tc>
              <w:tc>
                <w:tcPr>
                  <w:tcW w:w="709" w:type="dxa"/>
                  <w:vAlign w:val="center"/>
                </w:tcPr>
                <w:p w14:paraId="77F7B13D">
                  <w:pPr>
                    <w:pStyle w:val="154"/>
                    <w:rPr>
                      <w:b/>
                      <w:sz w:val="21"/>
                      <w:szCs w:val="21"/>
                      <w:u w:val="single"/>
                    </w:rPr>
                  </w:pPr>
                  <w:r>
                    <w:rPr>
                      <w:b/>
                      <w:sz w:val="21"/>
                      <w:szCs w:val="21"/>
                      <w:u w:val="single"/>
                    </w:rPr>
                    <w:t>收集效率</w:t>
                  </w:r>
                </w:p>
              </w:tc>
              <w:tc>
                <w:tcPr>
                  <w:tcW w:w="567" w:type="dxa"/>
                  <w:vAlign w:val="center"/>
                </w:tcPr>
                <w:p w14:paraId="45F958E4">
                  <w:pPr>
                    <w:pStyle w:val="154"/>
                    <w:rPr>
                      <w:b/>
                      <w:sz w:val="21"/>
                      <w:szCs w:val="21"/>
                      <w:u w:val="single"/>
                    </w:rPr>
                  </w:pPr>
                  <w:r>
                    <w:rPr>
                      <w:b/>
                      <w:sz w:val="21"/>
                      <w:szCs w:val="21"/>
                      <w:u w:val="single"/>
                    </w:rPr>
                    <w:t>去除效率</w:t>
                  </w:r>
                </w:p>
              </w:tc>
              <w:tc>
                <w:tcPr>
                  <w:tcW w:w="283" w:type="dxa"/>
                  <w:vAlign w:val="center"/>
                </w:tcPr>
                <w:p w14:paraId="1674AE48">
                  <w:pPr>
                    <w:pStyle w:val="154"/>
                    <w:rPr>
                      <w:b/>
                      <w:sz w:val="21"/>
                      <w:szCs w:val="21"/>
                      <w:u w:val="single"/>
                    </w:rPr>
                  </w:pPr>
                  <w:r>
                    <w:rPr>
                      <w:b/>
                      <w:sz w:val="21"/>
                      <w:szCs w:val="21"/>
                      <w:u w:val="single"/>
                    </w:rPr>
                    <w:t>是否为可行技术</w:t>
                  </w:r>
                </w:p>
              </w:tc>
              <w:tc>
                <w:tcPr>
                  <w:tcW w:w="1559" w:type="dxa"/>
                  <w:vMerge w:val="continue"/>
                  <w:vAlign w:val="center"/>
                </w:tcPr>
                <w:p w14:paraId="29BA2C9D">
                  <w:pPr>
                    <w:pStyle w:val="154"/>
                    <w:rPr>
                      <w:b/>
                      <w:u w:val="single"/>
                    </w:rPr>
                  </w:pPr>
                </w:p>
              </w:tc>
              <w:tc>
                <w:tcPr>
                  <w:tcW w:w="1701" w:type="dxa"/>
                  <w:vMerge w:val="continue"/>
                </w:tcPr>
                <w:p w14:paraId="6350F6E8">
                  <w:pPr>
                    <w:pStyle w:val="154"/>
                    <w:rPr>
                      <w:rFonts w:asciiTheme="minorEastAsia" w:hAnsiTheme="minorEastAsia"/>
                      <w:b/>
                      <w:sz w:val="21"/>
                      <w:szCs w:val="21"/>
                      <w:u w:val="single"/>
                    </w:rPr>
                  </w:pPr>
                </w:p>
              </w:tc>
              <w:tc>
                <w:tcPr>
                  <w:tcW w:w="709" w:type="dxa"/>
                  <w:vMerge w:val="continue"/>
                  <w:vAlign w:val="center"/>
                </w:tcPr>
                <w:p w14:paraId="6A3A7842">
                  <w:pPr>
                    <w:pStyle w:val="154"/>
                    <w:rPr>
                      <w:b/>
                      <w:u w:val="single"/>
                    </w:rPr>
                  </w:pPr>
                </w:p>
              </w:tc>
              <w:tc>
                <w:tcPr>
                  <w:tcW w:w="567" w:type="dxa"/>
                  <w:vMerge w:val="continue"/>
                </w:tcPr>
                <w:p w14:paraId="2A02574E">
                  <w:pPr>
                    <w:pStyle w:val="154"/>
                    <w:rPr>
                      <w:b/>
                      <w:u w:val="single"/>
                    </w:rPr>
                  </w:pPr>
                </w:p>
              </w:tc>
              <w:tc>
                <w:tcPr>
                  <w:tcW w:w="709" w:type="dxa"/>
                  <w:vMerge w:val="continue"/>
                </w:tcPr>
                <w:p w14:paraId="50518145">
                  <w:pPr>
                    <w:pStyle w:val="154"/>
                    <w:rPr>
                      <w:b/>
                      <w:u w:val="single"/>
                    </w:rPr>
                  </w:pPr>
                </w:p>
              </w:tc>
              <w:tc>
                <w:tcPr>
                  <w:tcW w:w="709" w:type="dxa"/>
                  <w:vMerge w:val="continue"/>
                  <w:vAlign w:val="center"/>
                </w:tcPr>
                <w:p w14:paraId="02D51F82">
                  <w:pPr>
                    <w:pStyle w:val="154"/>
                    <w:rPr>
                      <w:b/>
                      <w:u w:val="single"/>
                    </w:rPr>
                  </w:pPr>
                </w:p>
              </w:tc>
              <w:tc>
                <w:tcPr>
                  <w:tcW w:w="529" w:type="dxa"/>
                  <w:vMerge w:val="continue"/>
                  <w:vAlign w:val="center"/>
                </w:tcPr>
                <w:p w14:paraId="25327EBE">
                  <w:pPr>
                    <w:pStyle w:val="154"/>
                    <w:rPr>
                      <w:b/>
                      <w:u w:val="single"/>
                    </w:rPr>
                  </w:pPr>
                </w:p>
              </w:tc>
            </w:tr>
            <w:tr w14:paraId="491820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1" w:hRule="atLeast"/>
                <w:jc w:val="center"/>
              </w:trPr>
              <w:tc>
                <w:tcPr>
                  <w:tcW w:w="439" w:type="dxa"/>
                  <w:vMerge w:val="restart"/>
                  <w:vAlign w:val="center"/>
                </w:tcPr>
                <w:p w14:paraId="2679152B">
                  <w:pPr>
                    <w:pStyle w:val="154"/>
                    <w:rPr>
                      <w:b/>
                      <w:sz w:val="21"/>
                      <w:szCs w:val="21"/>
                      <w:u w:val="single"/>
                    </w:rPr>
                  </w:pPr>
                  <w:r>
                    <w:rPr>
                      <w:b/>
                      <w:sz w:val="21"/>
                      <w:szCs w:val="21"/>
                      <w:u w:val="single"/>
                    </w:rPr>
                    <w:t>1</w:t>
                  </w:r>
                </w:p>
              </w:tc>
              <w:tc>
                <w:tcPr>
                  <w:tcW w:w="664" w:type="dxa"/>
                  <w:vMerge w:val="restart"/>
                  <w:vAlign w:val="center"/>
                </w:tcPr>
                <w:p w14:paraId="76C29170">
                  <w:pPr>
                    <w:pStyle w:val="154"/>
                    <w:rPr>
                      <w:b/>
                      <w:sz w:val="21"/>
                      <w:szCs w:val="21"/>
                      <w:u w:val="single"/>
                    </w:rPr>
                  </w:pPr>
                  <w:r>
                    <w:rPr>
                      <w:rFonts w:hint="eastAsia"/>
                      <w:b/>
                      <w:sz w:val="21"/>
                      <w:szCs w:val="21"/>
                      <w:u w:val="single"/>
                    </w:rPr>
                    <w:t>注塑工艺生产线</w:t>
                  </w:r>
                </w:p>
              </w:tc>
              <w:tc>
                <w:tcPr>
                  <w:tcW w:w="775" w:type="dxa"/>
                  <w:vAlign w:val="center"/>
                </w:tcPr>
                <w:p w14:paraId="6DCE9DB2">
                  <w:pPr>
                    <w:pStyle w:val="154"/>
                    <w:rPr>
                      <w:b/>
                      <w:sz w:val="21"/>
                      <w:szCs w:val="21"/>
                      <w:u w:val="single"/>
                    </w:rPr>
                  </w:pPr>
                  <w:r>
                    <w:rPr>
                      <w:rFonts w:hint="eastAsia"/>
                      <w:b/>
                      <w:sz w:val="21"/>
                      <w:szCs w:val="21"/>
                      <w:u w:val="single"/>
                    </w:rPr>
                    <w:t>混合搅拌、破碎</w:t>
                  </w:r>
                </w:p>
              </w:tc>
              <w:tc>
                <w:tcPr>
                  <w:tcW w:w="553" w:type="dxa"/>
                  <w:vAlign w:val="center"/>
                </w:tcPr>
                <w:p w14:paraId="01B3EB6B">
                  <w:pPr>
                    <w:pStyle w:val="154"/>
                    <w:rPr>
                      <w:b/>
                      <w:sz w:val="21"/>
                      <w:szCs w:val="21"/>
                      <w:u w:val="single"/>
                    </w:rPr>
                  </w:pPr>
                  <w:r>
                    <w:rPr>
                      <w:b/>
                      <w:sz w:val="21"/>
                      <w:szCs w:val="21"/>
                      <w:u w:val="single"/>
                    </w:rPr>
                    <w:t>颗粒物</w:t>
                  </w:r>
                </w:p>
              </w:tc>
              <w:tc>
                <w:tcPr>
                  <w:tcW w:w="1729" w:type="dxa"/>
                  <w:vAlign w:val="center"/>
                </w:tcPr>
                <w:p w14:paraId="1ACCCA00">
                  <w:pPr>
                    <w:pStyle w:val="154"/>
                    <w:rPr>
                      <w:b/>
                      <w:color w:val="000000" w:themeColor="text1"/>
                      <w:sz w:val="21"/>
                      <w:szCs w:val="21"/>
                      <w:u w:val="single"/>
                    </w:rPr>
                  </w:pPr>
                  <w:r>
                    <w:rPr>
                      <w:b/>
                      <w:color w:val="000000" w:themeColor="text1"/>
                      <w:sz w:val="21"/>
                      <w:szCs w:val="21"/>
                      <w:u w:val="single"/>
                    </w:rPr>
                    <w:t>产生量:</w:t>
                  </w:r>
                  <w:r>
                    <w:rPr>
                      <w:rFonts w:hint="eastAsia"/>
                      <w:b/>
                      <w:color w:val="000000" w:themeColor="text1"/>
                      <w:sz w:val="21"/>
                      <w:szCs w:val="21"/>
                      <w:u w:val="single"/>
                    </w:rPr>
                    <w:t>4.9060</w:t>
                  </w:r>
                  <w:r>
                    <w:rPr>
                      <w:b/>
                      <w:color w:val="000000" w:themeColor="text1"/>
                      <w:sz w:val="21"/>
                      <w:szCs w:val="21"/>
                      <w:u w:val="single"/>
                    </w:rPr>
                    <w:t>t/a</w:t>
                  </w:r>
                </w:p>
                <w:p w14:paraId="595F09E8">
                  <w:pPr>
                    <w:pStyle w:val="154"/>
                    <w:rPr>
                      <w:b/>
                      <w:color w:val="000000" w:themeColor="text1"/>
                      <w:sz w:val="21"/>
                      <w:szCs w:val="21"/>
                      <w:u w:val="single"/>
                    </w:rPr>
                  </w:pPr>
                  <w:r>
                    <w:rPr>
                      <w:b/>
                      <w:color w:val="000000" w:themeColor="text1"/>
                      <w:sz w:val="21"/>
                      <w:szCs w:val="21"/>
                      <w:u w:val="single"/>
                    </w:rPr>
                    <w:t>速率:</w:t>
                  </w:r>
                  <w:r>
                    <w:rPr>
                      <w:rFonts w:hint="eastAsia"/>
                      <w:b/>
                      <w:color w:val="000000" w:themeColor="text1"/>
                      <w:sz w:val="21"/>
                      <w:szCs w:val="21"/>
                      <w:u w:val="single"/>
                    </w:rPr>
                    <w:t>5.451</w:t>
                  </w:r>
                  <w:r>
                    <w:rPr>
                      <w:b/>
                      <w:color w:val="000000" w:themeColor="text1"/>
                      <w:sz w:val="21"/>
                      <w:szCs w:val="21"/>
                      <w:u w:val="single"/>
                    </w:rPr>
                    <w:t>kg/h</w:t>
                  </w:r>
                </w:p>
                <w:p w14:paraId="629E4D94">
                  <w:pPr>
                    <w:pStyle w:val="154"/>
                    <w:rPr>
                      <w:b/>
                      <w:color w:val="000000" w:themeColor="text1"/>
                      <w:sz w:val="21"/>
                      <w:szCs w:val="21"/>
                      <w:u w:val="single"/>
                    </w:rPr>
                  </w:pPr>
                  <w:r>
                    <w:rPr>
                      <w:b/>
                      <w:color w:val="000000" w:themeColor="text1"/>
                      <w:sz w:val="21"/>
                      <w:szCs w:val="21"/>
                      <w:u w:val="single"/>
                    </w:rPr>
                    <w:t>浓度:</w:t>
                  </w:r>
                  <w:r>
                    <w:rPr>
                      <w:rFonts w:hint="eastAsia"/>
                      <w:b/>
                      <w:color w:val="000000" w:themeColor="text1"/>
                      <w:sz w:val="21"/>
                      <w:szCs w:val="21"/>
                      <w:u w:val="single"/>
                    </w:rPr>
                    <w:t>605.67</w:t>
                  </w:r>
                  <w:r>
                    <w:rPr>
                      <w:b/>
                      <w:color w:val="000000" w:themeColor="text1"/>
                      <w:sz w:val="21"/>
                      <w:szCs w:val="21"/>
                      <w:u w:val="single"/>
                    </w:rPr>
                    <w:t>mg/m</w:t>
                  </w:r>
                  <w:r>
                    <w:rPr>
                      <w:b/>
                      <w:color w:val="000000" w:themeColor="text1"/>
                      <w:sz w:val="21"/>
                      <w:szCs w:val="21"/>
                      <w:u w:val="single"/>
                      <w:vertAlign w:val="superscript"/>
                    </w:rPr>
                    <w:t>3</w:t>
                  </w:r>
                </w:p>
              </w:tc>
              <w:tc>
                <w:tcPr>
                  <w:tcW w:w="850" w:type="dxa"/>
                  <w:vAlign w:val="center"/>
                </w:tcPr>
                <w:p w14:paraId="3CED0D77">
                  <w:pPr>
                    <w:pStyle w:val="154"/>
                    <w:rPr>
                      <w:b/>
                      <w:color w:val="000000" w:themeColor="text1"/>
                      <w:sz w:val="21"/>
                      <w:szCs w:val="21"/>
                      <w:u w:val="single"/>
                    </w:rPr>
                  </w:pPr>
                  <w:r>
                    <w:rPr>
                      <w:b/>
                      <w:color w:val="000000" w:themeColor="text1"/>
                      <w:sz w:val="21"/>
                      <w:szCs w:val="21"/>
                      <w:u w:val="single"/>
                    </w:rPr>
                    <w:t>有组织</w:t>
                  </w:r>
                </w:p>
              </w:tc>
              <w:tc>
                <w:tcPr>
                  <w:tcW w:w="1276" w:type="dxa"/>
                  <w:vMerge w:val="restart"/>
                  <w:vAlign w:val="center"/>
                </w:tcPr>
                <w:p w14:paraId="20E811FB">
                  <w:pPr>
                    <w:pStyle w:val="154"/>
                    <w:rPr>
                      <w:b/>
                      <w:color w:val="000000" w:themeColor="text1"/>
                      <w:sz w:val="21"/>
                      <w:szCs w:val="21"/>
                      <w:u w:val="single"/>
                    </w:rPr>
                  </w:pPr>
                  <w:r>
                    <w:rPr>
                      <w:rFonts w:eastAsia="宋体" w:cs="Times New Roman"/>
                      <w:b/>
                      <w:kern w:val="2"/>
                      <w:sz w:val="21"/>
                      <w:szCs w:val="21"/>
                      <w:u w:val="single"/>
                    </w:rPr>
                    <w:t>注</w:t>
                  </w:r>
                  <w:r>
                    <w:rPr>
                      <w:rFonts w:hint="eastAsia" w:eastAsia="宋体" w:cs="Times New Roman"/>
                      <w:b/>
                      <w:kern w:val="2"/>
                      <w:sz w:val="21"/>
                      <w:szCs w:val="21"/>
                      <w:u w:val="single"/>
                    </w:rPr>
                    <w:t>塑工艺生产线混合搅拌、破碎工序产生的含尘、VOCs废气</w:t>
                  </w:r>
                  <w:r>
                    <w:rPr>
                      <w:rFonts w:eastAsia="宋体" w:cs="Times New Roman"/>
                      <w:b/>
                      <w:kern w:val="2"/>
                      <w:sz w:val="21"/>
                      <w:szCs w:val="21"/>
                      <w:u w:val="single"/>
                    </w:rPr>
                    <w:t>通过1套</w:t>
                  </w:r>
                  <w:r>
                    <w:rPr>
                      <w:rFonts w:hint="eastAsia" w:eastAsia="宋体" w:cs="Times New Roman"/>
                      <w:b/>
                      <w:kern w:val="2"/>
                      <w:sz w:val="21"/>
                      <w:szCs w:val="21"/>
                      <w:u w:val="single"/>
                    </w:rPr>
                    <w:t>覆膜</w:t>
                  </w:r>
                  <w:r>
                    <w:rPr>
                      <w:rFonts w:eastAsia="宋体" w:cs="Times New Roman"/>
                      <w:b/>
                      <w:kern w:val="2"/>
                      <w:sz w:val="21"/>
                      <w:szCs w:val="21"/>
                      <w:u w:val="single"/>
                    </w:rPr>
                    <w:t>袋式除尘器</w:t>
                  </w:r>
                  <w:r>
                    <w:rPr>
                      <w:rFonts w:hint="eastAsia" w:eastAsia="宋体" w:cs="Times New Roman"/>
                      <w:b/>
                      <w:kern w:val="2"/>
                      <w:sz w:val="21"/>
                      <w:szCs w:val="21"/>
                      <w:u w:val="single"/>
                    </w:rPr>
                    <w:t>处理后，与注塑工序过程中产生的废气共同进入主管道；聚氨酯工艺生产线过程中产生的废气</w:t>
                  </w:r>
                  <w:r>
                    <w:rPr>
                      <w:rFonts w:eastAsia="宋体" w:cs="Times New Roman"/>
                      <w:b/>
                      <w:kern w:val="2"/>
                      <w:sz w:val="21"/>
                      <w:szCs w:val="21"/>
                      <w:u w:val="single"/>
                    </w:rPr>
                    <w:t>进入主管道</w:t>
                  </w:r>
                  <w:r>
                    <w:rPr>
                      <w:rFonts w:hint="eastAsia" w:eastAsia="宋体" w:cs="Times New Roman"/>
                      <w:b/>
                      <w:kern w:val="2"/>
                      <w:sz w:val="21"/>
                      <w:szCs w:val="21"/>
                      <w:u w:val="single"/>
                    </w:rPr>
                    <w:t>；鞋面布激光切割产生废气进入主管道，三者合并后经过一套两级活性炭吸附工艺处理后通过排气筒DA001排放。</w:t>
                  </w:r>
                </w:p>
              </w:tc>
              <w:tc>
                <w:tcPr>
                  <w:tcW w:w="709" w:type="dxa"/>
                  <w:vAlign w:val="center"/>
                </w:tcPr>
                <w:p w14:paraId="5A4535C2">
                  <w:pPr>
                    <w:pStyle w:val="154"/>
                    <w:rPr>
                      <w:b/>
                      <w:color w:val="000000" w:themeColor="text1"/>
                      <w:sz w:val="21"/>
                      <w:szCs w:val="21"/>
                      <w:u w:val="single"/>
                    </w:rPr>
                  </w:pPr>
                  <w:r>
                    <w:rPr>
                      <w:b/>
                      <w:color w:val="000000" w:themeColor="text1"/>
                      <w:sz w:val="21"/>
                      <w:szCs w:val="21"/>
                      <w:u w:val="single"/>
                    </w:rPr>
                    <w:t>90%</w:t>
                  </w:r>
                </w:p>
              </w:tc>
              <w:tc>
                <w:tcPr>
                  <w:tcW w:w="567" w:type="dxa"/>
                  <w:vAlign w:val="center"/>
                </w:tcPr>
                <w:p w14:paraId="4BD04873">
                  <w:pPr>
                    <w:pStyle w:val="154"/>
                    <w:rPr>
                      <w:b/>
                      <w:color w:val="000000" w:themeColor="text1"/>
                      <w:sz w:val="21"/>
                      <w:szCs w:val="21"/>
                      <w:u w:val="single"/>
                    </w:rPr>
                  </w:pPr>
                  <w:r>
                    <w:rPr>
                      <w:rFonts w:hint="eastAsia"/>
                      <w:b/>
                      <w:color w:val="000000" w:themeColor="text1"/>
                      <w:sz w:val="21"/>
                      <w:szCs w:val="21"/>
                      <w:u w:val="single"/>
                    </w:rPr>
                    <w:t>99</w:t>
                  </w:r>
                  <w:r>
                    <w:rPr>
                      <w:b/>
                      <w:color w:val="000000" w:themeColor="text1"/>
                      <w:sz w:val="21"/>
                      <w:szCs w:val="21"/>
                      <w:u w:val="single"/>
                    </w:rPr>
                    <w:t>%</w:t>
                  </w:r>
                </w:p>
              </w:tc>
              <w:tc>
                <w:tcPr>
                  <w:tcW w:w="283" w:type="dxa"/>
                  <w:vAlign w:val="center"/>
                </w:tcPr>
                <w:p w14:paraId="04AC028C">
                  <w:pPr>
                    <w:pStyle w:val="154"/>
                    <w:rPr>
                      <w:b/>
                      <w:color w:val="000000" w:themeColor="text1"/>
                      <w:sz w:val="21"/>
                      <w:szCs w:val="21"/>
                      <w:u w:val="single"/>
                    </w:rPr>
                  </w:pPr>
                  <w:r>
                    <w:rPr>
                      <w:b/>
                      <w:color w:val="000000" w:themeColor="text1"/>
                      <w:sz w:val="21"/>
                      <w:szCs w:val="21"/>
                      <w:u w:val="single"/>
                    </w:rPr>
                    <w:t>是</w:t>
                  </w:r>
                </w:p>
              </w:tc>
              <w:tc>
                <w:tcPr>
                  <w:tcW w:w="1559" w:type="dxa"/>
                  <w:vAlign w:val="center"/>
                </w:tcPr>
                <w:p w14:paraId="03B0581C">
                  <w:pPr>
                    <w:pStyle w:val="154"/>
                    <w:rPr>
                      <w:b/>
                      <w:color w:val="000000" w:themeColor="text1"/>
                      <w:sz w:val="21"/>
                      <w:szCs w:val="21"/>
                      <w:u w:val="single"/>
                    </w:rPr>
                  </w:pPr>
                  <w:r>
                    <w:rPr>
                      <w:b/>
                      <w:color w:val="000000" w:themeColor="text1"/>
                      <w:sz w:val="21"/>
                      <w:szCs w:val="21"/>
                      <w:u w:val="single"/>
                    </w:rPr>
                    <w:t>排放量:</w:t>
                  </w:r>
                  <w:r>
                    <w:rPr>
                      <w:rFonts w:hint="eastAsia"/>
                      <w:b/>
                      <w:color w:val="000000" w:themeColor="text1"/>
                      <w:sz w:val="21"/>
                      <w:szCs w:val="21"/>
                      <w:u w:val="single"/>
                    </w:rPr>
                    <w:t>0.0491</w:t>
                  </w:r>
                  <w:r>
                    <w:rPr>
                      <w:b/>
                      <w:color w:val="000000" w:themeColor="text1"/>
                      <w:sz w:val="21"/>
                      <w:szCs w:val="21"/>
                      <w:u w:val="single"/>
                    </w:rPr>
                    <w:t>t/a</w:t>
                  </w:r>
                </w:p>
                <w:p w14:paraId="65A58D17">
                  <w:pPr>
                    <w:pStyle w:val="154"/>
                    <w:rPr>
                      <w:b/>
                      <w:color w:val="000000" w:themeColor="text1"/>
                      <w:sz w:val="21"/>
                      <w:szCs w:val="21"/>
                      <w:u w:val="single"/>
                    </w:rPr>
                  </w:pPr>
                  <w:r>
                    <w:rPr>
                      <w:b/>
                      <w:color w:val="000000" w:themeColor="text1"/>
                      <w:sz w:val="21"/>
                      <w:szCs w:val="21"/>
                      <w:u w:val="single"/>
                    </w:rPr>
                    <w:t>速率:</w:t>
                  </w:r>
                  <w:r>
                    <w:rPr>
                      <w:rFonts w:hint="eastAsia"/>
                      <w:b/>
                      <w:color w:val="000000" w:themeColor="text1"/>
                      <w:sz w:val="21"/>
                      <w:szCs w:val="21"/>
                      <w:u w:val="single"/>
                    </w:rPr>
                    <w:t>0.055</w:t>
                  </w:r>
                  <w:r>
                    <w:rPr>
                      <w:b/>
                      <w:color w:val="000000" w:themeColor="text1"/>
                      <w:sz w:val="21"/>
                      <w:szCs w:val="21"/>
                      <w:u w:val="single"/>
                    </w:rPr>
                    <w:t>kg/h</w:t>
                  </w:r>
                </w:p>
                <w:p w14:paraId="2D3E0519">
                  <w:pPr>
                    <w:pStyle w:val="154"/>
                    <w:rPr>
                      <w:b/>
                      <w:color w:val="000000" w:themeColor="text1"/>
                      <w:sz w:val="21"/>
                      <w:szCs w:val="21"/>
                      <w:u w:val="single"/>
                    </w:rPr>
                  </w:pPr>
                  <w:r>
                    <w:rPr>
                      <w:b/>
                      <w:color w:val="000000" w:themeColor="text1"/>
                      <w:sz w:val="21"/>
                      <w:szCs w:val="21"/>
                      <w:u w:val="single"/>
                    </w:rPr>
                    <w:t>浓度:</w:t>
                  </w:r>
                  <w:r>
                    <w:rPr>
                      <w:rFonts w:hint="eastAsia"/>
                      <w:b/>
                      <w:color w:val="000000" w:themeColor="text1"/>
                      <w:sz w:val="21"/>
                      <w:szCs w:val="21"/>
                      <w:u w:val="single"/>
                    </w:rPr>
                    <w:t>6.11</w:t>
                  </w:r>
                  <w:r>
                    <w:rPr>
                      <w:b/>
                      <w:color w:val="000000" w:themeColor="text1"/>
                      <w:sz w:val="21"/>
                      <w:szCs w:val="21"/>
                      <w:u w:val="single"/>
                    </w:rPr>
                    <w:t>mg/m</w:t>
                  </w:r>
                  <w:r>
                    <w:rPr>
                      <w:b/>
                      <w:color w:val="000000" w:themeColor="text1"/>
                      <w:sz w:val="21"/>
                      <w:szCs w:val="21"/>
                      <w:u w:val="single"/>
                      <w:vertAlign w:val="superscript"/>
                    </w:rPr>
                    <w:t>3</w:t>
                  </w:r>
                </w:p>
              </w:tc>
              <w:tc>
                <w:tcPr>
                  <w:tcW w:w="1701" w:type="dxa"/>
                </w:tcPr>
                <w:p w14:paraId="378F826B">
                  <w:pPr>
                    <w:pStyle w:val="154"/>
                    <w:rPr>
                      <w:b/>
                      <w:color w:val="000000" w:themeColor="text1"/>
                      <w:sz w:val="21"/>
                      <w:szCs w:val="21"/>
                      <w:u w:val="single"/>
                    </w:rPr>
                  </w:pPr>
                  <w:r>
                    <w:rPr>
                      <w:b/>
                      <w:color w:val="000000" w:themeColor="text1"/>
                      <w:sz w:val="21"/>
                      <w:szCs w:val="21"/>
                      <w:u w:val="single"/>
                    </w:rPr>
                    <w:t>排放量:</w:t>
                  </w:r>
                  <w:r>
                    <w:rPr>
                      <w:rFonts w:hint="eastAsia"/>
                      <w:b/>
                      <w:color w:val="000000" w:themeColor="text1"/>
                      <w:sz w:val="21"/>
                      <w:szCs w:val="21"/>
                      <w:u w:val="single"/>
                    </w:rPr>
                    <w:t>0.0491</w:t>
                  </w:r>
                  <w:r>
                    <w:rPr>
                      <w:b/>
                      <w:color w:val="000000" w:themeColor="text1"/>
                      <w:sz w:val="21"/>
                      <w:szCs w:val="21"/>
                      <w:u w:val="single"/>
                    </w:rPr>
                    <w:t>t/a</w:t>
                  </w:r>
                </w:p>
                <w:p w14:paraId="610A2FEB">
                  <w:pPr>
                    <w:pStyle w:val="154"/>
                    <w:rPr>
                      <w:b/>
                      <w:color w:val="000000" w:themeColor="text1"/>
                      <w:sz w:val="21"/>
                      <w:szCs w:val="21"/>
                      <w:u w:val="single"/>
                    </w:rPr>
                  </w:pPr>
                  <w:r>
                    <w:rPr>
                      <w:b/>
                      <w:color w:val="000000" w:themeColor="text1"/>
                      <w:sz w:val="21"/>
                      <w:szCs w:val="21"/>
                      <w:u w:val="single"/>
                    </w:rPr>
                    <w:t>速率:</w:t>
                  </w:r>
                  <w:r>
                    <w:rPr>
                      <w:rFonts w:hint="eastAsia"/>
                      <w:b/>
                      <w:color w:val="000000" w:themeColor="text1"/>
                      <w:sz w:val="21"/>
                      <w:szCs w:val="21"/>
                      <w:u w:val="single"/>
                    </w:rPr>
                    <w:t>0.055</w:t>
                  </w:r>
                  <w:r>
                    <w:rPr>
                      <w:b/>
                      <w:color w:val="000000" w:themeColor="text1"/>
                      <w:sz w:val="21"/>
                      <w:szCs w:val="21"/>
                      <w:u w:val="single"/>
                    </w:rPr>
                    <w:t>kg/h</w:t>
                  </w:r>
                </w:p>
                <w:p w14:paraId="6A9A44E3">
                  <w:pPr>
                    <w:pStyle w:val="154"/>
                    <w:rPr>
                      <w:rFonts w:asciiTheme="minorEastAsia" w:hAnsiTheme="minorEastAsia"/>
                      <w:b/>
                      <w:sz w:val="21"/>
                      <w:szCs w:val="21"/>
                      <w:u w:val="single"/>
                    </w:rPr>
                  </w:pPr>
                  <w:r>
                    <w:rPr>
                      <w:b/>
                      <w:color w:val="000000" w:themeColor="text1"/>
                      <w:sz w:val="21"/>
                      <w:szCs w:val="21"/>
                      <w:u w:val="single"/>
                    </w:rPr>
                    <w:t>浓度:</w:t>
                  </w:r>
                  <w:r>
                    <w:rPr>
                      <w:rFonts w:hint="eastAsia"/>
                      <w:b/>
                      <w:color w:val="000000" w:themeColor="text1"/>
                      <w:sz w:val="21"/>
                      <w:szCs w:val="21"/>
                      <w:u w:val="single"/>
                    </w:rPr>
                    <w:t>2.04</w:t>
                  </w:r>
                  <w:r>
                    <w:rPr>
                      <w:b/>
                      <w:color w:val="000000" w:themeColor="text1"/>
                      <w:sz w:val="21"/>
                      <w:szCs w:val="21"/>
                      <w:u w:val="single"/>
                    </w:rPr>
                    <w:t>mg/m</w:t>
                  </w:r>
                  <w:r>
                    <w:rPr>
                      <w:b/>
                      <w:color w:val="000000" w:themeColor="text1"/>
                      <w:sz w:val="21"/>
                      <w:szCs w:val="21"/>
                      <w:u w:val="single"/>
                      <w:vertAlign w:val="superscript"/>
                    </w:rPr>
                    <w:t>3</w:t>
                  </w:r>
                </w:p>
              </w:tc>
              <w:tc>
                <w:tcPr>
                  <w:tcW w:w="709" w:type="dxa"/>
                  <w:vAlign w:val="center"/>
                </w:tcPr>
                <w:p w14:paraId="70DE8C48">
                  <w:pPr>
                    <w:pStyle w:val="154"/>
                    <w:rPr>
                      <w:b/>
                      <w:sz w:val="21"/>
                      <w:szCs w:val="21"/>
                      <w:u w:val="single"/>
                    </w:rPr>
                  </w:pPr>
                  <w:r>
                    <w:rPr>
                      <w:b/>
                      <w:sz w:val="21"/>
                      <w:szCs w:val="21"/>
                      <w:u w:val="single"/>
                    </w:rPr>
                    <w:t>20</w:t>
                  </w:r>
                </w:p>
              </w:tc>
              <w:tc>
                <w:tcPr>
                  <w:tcW w:w="567" w:type="dxa"/>
                  <w:vAlign w:val="center"/>
                </w:tcPr>
                <w:p w14:paraId="676C9555">
                  <w:pPr>
                    <w:pStyle w:val="154"/>
                    <w:rPr>
                      <w:b/>
                      <w:sz w:val="21"/>
                      <w:szCs w:val="21"/>
                      <w:u w:val="single"/>
                    </w:rPr>
                  </w:pPr>
                  <w:r>
                    <w:rPr>
                      <w:rFonts w:hint="eastAsia"/>
                      <w:b/>
                      <w:sz w:val="21"/>
                      <w:szCs w:val="21"/>
                      <w:u w:val="single"/>
                    </w:rPr>
                    <w:t>900</w:t>
                  </w:r>
                </w:p>
              </w:tc>
              <w:tc>
                <w:tcPr>
                  <w:tcW w:w="709" w:type="dxa"/>
                  <w:vMerge w:val="restart"/>
                </w:tcPr>
                <w:p w14:paraId="21DF45FE">
                  <w:pPr>
                    <w:pStyle w:val="45"/>
                  </w:pPr>
                </w:p>
                <w:p w14:paraId="65D6B2A1">
                  <w:pPr>
                    <w:pStyle w:val="154"/>
                    <w:jc w:val="left"/>
                    <w:rPr>
                      <w:rFonts w:cs="Times New Roman"/>
                      <w:b/>
                      <w:sz w:val="21"/>
                      <w:szCs w:val="21"/>
                      <w:u w:val="single"/>
                    </w:rPr>
                  </w:pPr>
                </w:p>
                <w:p w14:paraId="19BB6D09">
                  <w:pPr>
                    <w:pStyle w:val="154"/>
                    <w:jc w:val="left"/>
                    <w:rPr>
                      <w:b/>
                      <w:sz w:val="21"/>
                      <w:szCs w:val="21"/>
                      <w:u w:val="single"/>
                    </w:rPr>
                  </w:pPr>
                </w:p>
                <w:p w14:paraId="181582BF">
                  <w:pPr>
                    <w:pStyle w:val="45"/>
                  </w:pPr>
                </w:p>
                <w:p w14:paraId="6267BA21">
                  <w:pPr>
                    <w:pStyle w:val="45"/>
                  </w:pPr>
                </w:p>
                <w:p w14:paraId="1304E859">
                  <w:pPr>
                    <w:pStyle w:val="45"/>
                    <w:jc w:val="center"/>
                    <w:rPr>
                      <w:rFonts w:cs="Times New Roman"/>
                      <w:b/>
                      <w:sz w:val="21"/>
                      <w:u w:val="single"/>
                    </w:rPr>
                  </w:pPr>
                  <w:r>
                    <w:rPr>
                      <w:rFonts w:ascii="Times New Roman" w:hAnsi="Times New Roman" w:cs="Times New Roman"/>
                      <w:b/>
                      <w:sz w:val="21"/>
                      <w:u w:val="single"/>
                    </w:rPr>
                    <w:t>9000</w:t>
                  </w:r>
                </w:p>
              </w:tc>
              <w:tc>
                <w:tcPr>
                  <w:tcW w:w="709" w:type="dxa"/>
                  <w:vMerge w:val="restart"/>
                  <w:vAlign w:val="center"/>
                </w:tcPr>
                <w:p w14:paraId="59217227">
                  <w:pPr>
                    <w:pStyle w:val="154"/>
                    <w:rPr>
                      <w:b/>
                      <w:sz w:val="21"/>
                      <w:szCs w:val="21"/>
                      <w:u w:val="single"/>
                    </w:rPr>
                  </w:pPr>
                  <w:r>
                    <w:rPr>
                      <w:rFonts w:hint="eastAsia"/>
                      <w:b/>
                      <w:sz w:val="21"/>
                      <w:szCs w:val="21"/>
                      <w:u w:val="single"/>
                    </w:rPr>
                    <w:t>DA001</w:t>
                  </w:r>
                </w:p>
              </w:tc>
              <w:tc>
                <w:tcPr>
                  <w:tcW w:w="529" w:type="dxa"/>
                  <w:vMerge w:val="restart"/>
                  <w:vAlign w:val="center"/>
                </w:tcPr>
                <w:p w14:paraId="4148891F">
                  <w:pPr>
                    <w:pStyle w:val="154"/>
                    <w:rPr>
                      <w:b/>
                      <w:sz w:val="21"/>
                      <w:szCs w:val="21"/>
                      <w:u w:val="single"/>
                    </w:rPr>
                  </w:pPr>
                  <w:r>
                    <w:rPr>
                      <w:b/>
                      <w:sz w:val="21"/>
                      <w:szCs w:val="21"/>
                      <w:u w:val="single"/>
                    </w:rPr>
                    <w:t>一般</w:t>
                  </w:r>
                </w:p>
              </w:tc>
            </w:tr>
            <w:tr w14:paraId="1E2A39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9" w:hRule="atLeast"/>
                <w:jc w:val="center"/>
              </w:trPr>
              <w:tc>
                <w:tcPr>
                  <w:tcW w:w="439" w:type="dxa"/>
                  <w:vMerge w:val="continue"/>
                  <w:vAlign w:val="center"/>
                </w:tcPr>
                <w:p w14:paraId="07907DAA">
                  <w:pPr>
                    <w:pStyle w:val="154"/>
                    <w:rPr>
                      <w:b/>
                      <w:sz w:val="21"/>
                      <w:szCs w:val="21"/>
                      <w:u w:val="single"/>
                    </w:rPr>
                  </w:pPr>
                </w:p>
              </w:tc>
              <w:tc>
                <w:tcPr>
                  <w:tcW w:w="664" w:type="dxa"/>
                  <w:vMerge w:val="continue"/>
                  <w:vAlign w:val="center"/>
                </w:tcPr>
                <w:p w14:paraId="7996B8CE">
                  <w:pPr>
                    <w:pStyle w:val="154"/>
                    <w:rPr>
                      <w:b/>
                      <w:sz w:val="21"/>
                      <w:szCs w:val="21"/>
                      <w:u w:val="single"/>
                    </w:rPr>
                  </w:pPr>
                </w:p>
              </w:tc>
              <w:tc>
                <w:tcPr>
                  <w:tcW w:w="775" w:type="dxa"/>
                  <w:vMerge w:val="restart"/>
                  <w:vAlign w:val="center"/>
                </w:tcPr>
                <w:p w14:paraId="37D71A8F">
                  <w:pPr>
                    <w:pStyle w:val="154"/>
                    <w:rPr>
                      <w:b/>
                      <w:sz w:val="21"/>
                      <w:szCs w:val="21"/>
                      <w:u w:val="single"/>
                    </w:rPr>
                  </w:pPr>
                  <w:r>
                    <w:rPr>
                      <w:rFonts w:hint="eastAsia"/>
                      <w:b/>
                      <w:sz w:val="21"/>
                      <w:szCs w:val="21"/>
                      <w:u w:val="single"/>
                    </w:rPr>
                    <w:t>注塑</w:t>
                  </w:r>
                </w:p>
              </w:tc>
              <w:tc>
                <w:tcPr>
                  <w:tcW w:w="553" w:type="dxa"/>
                  <w:vAlign w:val="center"/>
                </w:tcPr>
                <w:p w14:paraId="60328F94">
                  <w:pPr>
                    <w:pStyle w:val="154"/>
                    <w:rPr>
                      <w:b/>
                      <w:sz w:val="21"/>
                      <w:szCs w:val="21"/>
                      <w:u w:val="single"/>
                    </w:rPr>
                  </w:pPr>
                  <w:r>
                    <w:rPr>
                      <w:b/>
                      <w:sz w:val="21"/>
                      <w:szCs w:val="21"/>
                      <w:u w:val="single"/>
                    </w:rPr>
                    <w:t>氯化氢</w:t>
                  </w:r>
                </w:p>
              </w:tc>
              <w:tc>
                <w:tcPr>
                  <w:tcW w:w="1729" w:type="dxa"/>
                  <w:vAlign w:val="center"/>
                </w:tcPr>
                <w:p w14:paraId="2F531847">
                  <w:pPr>
                    <w:pStyle w:val="154"/>
                    <w:rPr>
                      <w:b/>
                      <w:color w:val="000000" w:themeColor="text1"/>
                      <w:sz w:val="21"/>
                      <w:szCs w:val="21"/>
                      <w:u w:val="single"/>
                    </w:rPr>
                  </w:pPr>
                  <w:r>
                    <w:rPr>
                      <w:b/>
                      <w:color w:val="000000" w:themeColor="text1"/>
                      <w:sz w:val="21"/>
                      <w:szCs w:val="21"/>
                      <w:u w:val="single"/>
                    </w:rPr>
                    <w:t>产生量:0.00</w:t>
                  </w:r>
                  <w:r>
                    <w:rPr>
                      <w:rFonts w:hint="eastAsia"/>
                      <w:b/>
                      <w:color w:val="000000" w:themeColor="text1"/>
                      <w:sz w:val="21"/>
                      <w:szCs w:val="21"/>
                      <w:u w:val="single"/>
                    </w:rPr>
                    <w:t>79</w:t>
                  </w:r>
                  <w:r>
                    <w:rPr>
                      <w:b/>
                      <w:color w:val="000000" w:themeColor="text1"/>
                      <w:sz w:val="21"/>
                      <w:szCs w:val="21"/>
                      <w:u w:val="single"/>
                    </w:rPr>
                    <w:t>t/a</w:t>
                  </w:r>
                </w:p>
                <w:p w14:paraId="0A54F4C3">
                  <w:pPr>
                    <w:pStyle w:val="154"/>
                    <w:rPr>
                      <w:b/>
                      <w:color w:val="000000" w:themeColor="text1"/>
                      <w:sz w:val="21"/>
                      <w:szCs w:val="21"/>
                      <w:u w:val="single"/>
                    </w:rPr>
                  </w:pPr>
                  <w:r>
                    <w:rPr>
                      <w:b/>
                      <w:color w:val="000000" w:themeColor="text1"/>
                      <w:sz w:val="21"/>
                      <w:szCs w:val="21"/>
                      <w:u w:val="single"/>
                    </w:rPr>
                    <w:t>速率:0.00</w:t>
                  </w:r>
                  <w:r>
                    <w:rPr>
                      <w:rFonts w:hint="eastAsia"/>
                      <w:b/>
                      <w:color w:val="000000" w:themeColor="text1"/>
                      <w:sz w:val="21"/>
                      <w:szCs w:val="21"/>
                      <w:u w:val="single"/>
                    </w:rPr>
                    <w:t>3</w:t>
                  </w:r>
                  <w:r>
                    <w:rPr>
                      <w:b/>
                      <w:color w:val="000000" w:themeColor="text1"/>
                      <w:sz w:val="21"/>
                      <w:szCs w:val="21"/>
                      <w:u w:val="single"/>
                    </w:rPr>
                    <w:t>kg/h</w:t>
                  </w:r>
                </w:p>
                <w:p w14:paraId="49E77121">
                  <w:pPr>
                    <w:pStyle w:val="154"/>
                    <w:rPr>
                      <w:b/>
                      <w:color w:val="000000" w:themeColor="text1"/>
                      <w:sz w:val="21"/>
                      <w:szCs w:val="21"/>
                      <w:u w:val="single"/>
                    </w:rPr>
                  </w:pPr>
                  <w:r>
                    <w:rPr>
                      <w:b/>
                      <w:color w:val="000000" w:themeColor="text1"/>
                      <w:sz w:val="21"/>
                      <w:szCs w:val="21"/>
                      <w:u w:val="single"/>
                    </w:rPr>
                    <w:t>浓度:</w:t>
                  </w:r>
                  <w:r>
                    <w:rPr>
                      <w:rFonts w:hint="eastAsia"/>
                      <w:b/>
                      <w:color w:val="000000" w:themeColor="text1"/>
                      <w:sz w:val="21"/>
                      <w:szCs w:val="21"/>
                      <w:u w:val="single"/>
                    </w:rPr>
                    <w:t>0.33</w:t>
                  </w:r>
                  <w:r>
                    <w:rPr>
                      <w:b/>
                      <w:color w:val="000000" w:themeColor="text1"/>
                      <w:sz w:val="21"/>
                      <w:szCs w:val="21"/>
                      <w:u w:val="single"/>
                    </w:rPr>
                    <w:t>mg/m</w:t>
                  </w:r>
                  <w:r>
                    <w:rPr>
                      <w:b/>
                      <w:color w:val="000000" w:themeColor="text1"/>
                      <w:sz w:val="21"/>
                      <w:szCs w:val="21"/>
                      <w:u w:val="single"/>
                      <w:vertAlign w:val="superscript"/>
                    </w:rPr>
                    <w:t>3</w:t>
                  </w:r>
                </w:p>
              </w:tc>
              <w:tc>
                <w:tcPr>
                  <w:tcW w:w="850" w:type="dxa"/>
                  <w:vAlign w:val="center"/>
                </w:tcPr>
                <w:p w14:paraId="58B07669">
                  <w:pPr>
                    <w:pStyle w:val="154"/>
                    <w:rPr>
                      <w:b/>
                      <w:color w:val="000000" w:themeColor="text1"/>
                      <w:sz w:val="21"/>
                      <w:szCs w:val="21"/>
                      <w:u w:val="single"/>
                    </w:rPr>
                  </w:pPr>
                  <w:r>
                    <w:rPr>
                      <w:b/>
                      <w:color w:val="000000" w:themeColor="text1"/>
                      <w:sz w:val="21"/>
                      <w:szCs w:val="21"/>
                      <w:u w:val="single"/>
                    </w:rPr>
                    <w:t>有组织</w:t>
                  </w:r>
                </w:p>
              </w:tc>
              <w:tc>
                <w:tcPr>
                  <w:tcW w:w="1276" w:type="dxa"/>
                  <w:vMerge w:val="continue"/>
                  <w:vAlign w:val="center"/>
                </w:tcPr>
                <w:p w14:paraId="5D3346B1">
                  <w:pPr>
                    <w:pStyle w:val="154"/>
                    <w:rPr>
                      <w:b/>
                      <w:color w:val="000000" w:themeColor="text1"/>
                      <w:sz w:val="21"/>
                      <w:szCs w:val="21"/>
                      <w:u w:val="single"/>
                    </w:rPr>
                  </w:pPr>
                </w:p>
              </w:tc>
              <w:tc>
                <w:tcPr>
                  <w:tcW w:w="709" w:type="dxa"/>
                  <w:vAlign w:val="center"/>
                </w:tcPr>
                <w:p w14:paraId="0D59C117">
                  <w:pPr>
                    <w:pStyle w:val="154"/>
                    <w:rPr>
                      <w:b/>
                      <w:color w:val="000000" w:themeColor="text1"/>
                      <w:sz w:val="21"/>
                      <w:szCs w:val="21"/>
                      <w:u w:val="single"/>
                    </w:rPr>
                  </w:pPr>
                  <w:r>
                    <w:rPr>
                      <w:b/>
                      <w:color w:val="000000" w:themeColor="text1"/>
                      <w:sz w:val="21"/>
                      <w:szCs w:val="21"/>
                      <w:u w:val="single"/>
                    </w:rPr>
                    <w:t>90%</w:t>
                  </w:r>
                </w:p>
              </w:tc>
              <w:tc>
                <w:tcPr>
                  <w:tcW w:w="567" w:type="dxa"/>
                  <w:vAlign w:val="center"/>
                </w:tcPr>
                <w:p w14:paraId="10209038">
                  <w:pPr>
                    <w:pStyle w:val="154"/>
                    <w:rPr>
                      <w:b/>
                      <w:color w:val="000000" w:themeColor="text1"/>
                      <w:sz w:val="21"/>
                      <w:szCs w:val="21"/>
                      <w:u w:val="single"/>
                    </w:rPr>
                  </w:pPr>
                  <w:r>
                    <w:rPr>
                      <w:b/>
                      <w:color w:val="000000" w:themeColor="text1"/>
                      <w:sz w:val="21"/>
                      <w:szCs w:val="21"/>
                      <w:u w:val="single"/>
                    </w:rPr>
                    <w:t>0</w:t>
                  </w:r>
                </w:p>
              </w:tc>
              <w:tc>
                <w:tcPr>
                  <w:tcW w:w="283" w:type="dxa"/>
                  <w:vAlign w:val="center"/>
                </w:tcPr>
                <w:p w14:paraId="6A18F4AE">
                  <w:pPr>
                    <w:pStyle w:val="154"/>
                    <w:rPr>
                      <w:b/>
                      <w:color w:val="000000" w:themeColor="text1"/>
                      <w:sz w:val="21"/>
                      <w:szCs w:val="21"/>
                      <w:u w:val="single"/>
                    </w:rPr>
                  </w:pPr>
                  <w:r>
                    <w:rPr>
                      <w:b/>
                      <w:color w:val="000000" w:themeColor="text1"/>
                      <w:sz w:val="21"/>
                      <w:szCs w:val="21"/>
                      <w:u w:val="single"/>
                    </w:rPr>
                    <w:t>是</w:t>
                  </w:r>
                </w:p>
              </w:tc>
              <w:tc>
                <w:tcPr>
                  <w:tcW w:w="1559" w:type="dxa"/>
                  <w:vAlign w:val="center"/>
                </w:tcPr>
                <w:p w14:paraId="39AD91C2">
                  <w:pPr>
                    <w:pStyle w:val="154"/>
                    <w:rPr>
                      <w:b/>
                      <w:color w:val="000000" w:themeColor="text1"/>
                      <w:sz w:val="21"/>
                      <w:szCs w:val="21"/>
                      <w:u w:val="single"/>
                    </w:rPr>
                  </w:pPr>
                  <w:r>
                    <w:rPr>
                      <w:b/>
                      <w:color w:val="000000" w:themeColor="text1"/>
                      <w:sz w:val="21"/>
                      <w:szCs w:val="21"/>
                      <w:u w:val="single"/>
                    </w:rPr>
                    <w:t>排放量:</w:t>
                  </w:r>
                  <w:r>
                    <w:rPr>
                      <w:rFonts w:hint="eastAsia"/>
                      <w:b/>
                      <w:color w:val="000000" w:themeColor="text1"/>
                      <w:sz w:val="21"/>
                      <w:szCs w:val="21"/>
                      <w:u w:val="single"/>
                    </w:rPr>
                    <w:t>0.0079</w:t>
                  </w:r>
                  <w:r>
                    <w:rPr>
                      <w:b/>
                      <w:color w:val="000000" w:themeColor="text1"/>
                      <w:sz w:val="21"/>
                      <w:szCs w:val="21"/>
                      <w:u w:val="single"/>
                    </w:rPr>
                    <w:t>t/a</w:t>
                  </w:r>
                </w:p>
                <w:p w14:paraId="6E9CE393">
                  <w:pPr>
                    <w:pStyle w:val="154"/>
                    <w:rPr>
                      <w:b/>
                      <w:color w:val="000000" w:themeColor="text1"/>
                      <w:sz w:val="21"/>
                      <w:szCs w:val="21"/>
                      <w:u w:val="single"/>
                    </w:rPr>
                  </w:pPr>
                  <w:r>
                    <w:rPr>
                      <w:b/>
                      <w:color w:val="000000" w:themeColor="text1"/>
                      <w:sz w:val="21"/>
                      <w:szCs w:val="21"/>
                      <w:u w:val="single"/>
                    </w:rPr>
                    <w:t>速率:0.00</w:t>
                  </w:r>
                  <w:r>
                    <w:rPr>
                      <w:rFonts w:hint="eastAsia"/>
                      <w:b/>
                      <w:color w:val="000000" w:themeColor="text1"/>
                      <w:sz w:val="21"/>
                      <w:szCs w:val="21"/>
                      <w:u w:val="single"/>
                    </w:rPr>
                    <w:t>3</w:t>
                  </w:r>
                  <w:r>
                    <w:rPr>
                      <w:b/>
                      <w:color w:val="000000" w:themeColor="text1"/>
                      <w:sz w:val="21"/>
                      <w:szCs w:val="21"/>
                      <w:u w:val="single"/>
                    </w:rPr>
                    <w:t>kg/h</w:t>
                  </w:r>
                </w:p>
                <w:p w14:paraId="5CE36192">
                  <w:pPr>
                    <w:pStyle w:val="154"/>
                    <w:rPr>
                      <w:b/>
                      <w:color w:val="000000" w:themeColor="text1"/>
                      <w:sz w:val="21"/>
                      <w:szCs w:val="21"/>
                      <w:u w:val="single"/>
                    </w:rPr>
                  </w:pPr>
                  <w:r>
                    <w:rPr>
                      <w:rFonts w:hint="eastAsia"/>
                      <w:b/>
                      <w:color w:val="000000" w:themeColor="text1"/>
                      <w:sz w:val="21"/>
                      <w:szCs w:val="21"/>
                      <w:u w:val="single"/>
                    </w:rPr>
                    <w:t>浓</w:t>
                  </w:r>
                  <w:r>
                    <w:rPr>
                      <w:b/>
                      <w:color w:val="000000" w:themeColor="text1"/>
                      <w:sz w:val="21"/>
                      <w:szCs w:val="21"/>
                      <w:u w:val="single"/>
                    </w:rPr>
                    <w:t>度:</w:t>
                  </w:r>
                  <w:r>
                    <w:rPr>
                      <w:rFonts w:hint="eastAsia"/>
                      <w:b/>
                      <w:color w:val="000000" w:themeColor="text1"/>
                      <w:sz w:val="21"/>
                      <w:szCs w:val="21"/>
                      <w:u w:val="single"/>
                    </w:rPr>
                    <w:t>0.33</w:t>
                  </w:r>
                  <w:r>
                    <w:rPr>
                      <w:b/>
                      <w:color w:val="000000" w:themeColor="text1"/>
                      <w:sz w:val="21"/>
                      <w:szCs w:val="21"/>
                      <w:u w:val="single"/>
                    </w:rPr>
                    <w:t>mg/m</w:t>
                  </w:r>
                  <w:r>
                    <w:rPr>
                      <w:b/>
                      <w:color w:val="000000" w:themeColor="text1"/>
                      <w:sz w:val="21"/>
                      <w:szCs w:val="21"/>
                      <w:u w:val="single"/>
                      <w:vertAlign w:val="superscript"/>
                    </w:rPr>
                    <w:t>3</w:t>
                  </w:r>
                </w:p>
              </w:tc>
              <w:tc>
                <w:tcPr>
                  <w:tcW w:w="1701" w:type="dxa"/>
                </w:tcPr>
                <w:p w14:paraId="0224B130">
                  <w:pPr>
                    <w:pStyle w:val="154"/>
                    <w:rPr>
                      <w:b/>
                      <w:color w:val="000000" w:themeColor="text1"/>
                      <w:sz w:val="21"/>
                      <w:szCs w:val="21"/>
                      <w:u w:val="single"/>
                    </w:rPr>
                  </w:pPr>
                </w:p>
                <w:p w14:paraId="2FE3ECC9">
                  <w:pPr>
                    <w:pStyle w:val="154"/>
                    <w:rPr>
                      <w:b/>
                      <w:color w:val="000000" w:themeColor="text1"/>
                      <w:sz w:val="21"/>
                      <w:szCs w:val="21"/>
                      <w:u w:val="single"/>
                    </w:rPr>
                  </w:pPr>
                  <w:r>
                    <w:rPr>
                      <w:b/>
                      <w:color w:val="000000" w:themeColor="text1"/>
                      <w:sz w:val="21"/>
                      <w:szCs w:val="21"/>
                      <w:u w:val="single"/>
                    </w:rPr>
                    <w:t>排放量:</w:t>
                  </w:r>
                  <w:r>
                    <w:rPr>
                      <w:rFonts w:hint="eastAsia"/>
                      <w:b/>
                      <w:color w:val="000000" w:themeColor="text1"/>
                      <w:sz w:val="21"/>
                      <w:szCs w:val="21"/>
                      <w:u w:val="single"/>
                    </w:rPr>
                    <w:t>0.0079</w:t>
                  </w:r>
                  <w:r>
                    <w:rPr>
                      <w:b/>
                      <w:color w:val="000000" w:themeColor="text1"/>
                      <w:sz w:val="21"/>
                      <w:szCs w:val="21"/>
                      <w:u w:val="single"/>
                    </w:rPr>
                    <w:t>t/a</w:t>
                  </w:r>
                </w:p>
                <w:p w14:paraId="4814B510">
                  <w:pPr>
                    <w:pStyle w:val="154"/>
                    <w:rPr>
                      <w:b/>
                      <w:color w:val="000000" w:themeColor="text1"/>
                      <w:sz w:val="21"/>
                      <w:szCs w:val="21"/>
                      <w:u w:val="single"/>
                    </w:rPr>
                  </w:pPr>
                  <w:r>
                    <w:rPr>
                      <w:b/>
                      <w:color w:val="000000" w:themeColor="text1"/>
                      <w:sz w:val="21"/>
                      <w:szCs w:val="21"/>
                      <w:u w:val="single"/>
                    </w:rPr>
                    <w:t>速率:</w:t>
                  </w:r>
                  <w:r>
                    <w:rPr>
                      <w:rFonts w:hint="eastAsia"/>
                      <w:b/>
                      <w:color w:val="000000" w:themeColor="text1"/>
                      <w:sz w:val="21"/>
                      <w:szCs w:val="21"/>
                      <w:u w:val="single"/>
                    </w:rPr>
                    <w:t>0.003</w:t>
                  </w:r>
                  <w:r>
                    <w:rPr>
                      <w:b/>
                      <w:color w:val="000000" w:themeColor="text1"/>
                      <w:sz w:val="21"/>
                      <w:szCs w:val="21"/>
                      <w:u w:val="single"/>
                    </w:rPr>
                    <w:t>kg/h</w:t>
                  </w:r>
                </w:p>
                <w:p w14:paraId="55C52480">
                  <w:pPr>
                    <w:pStyle w:val="154"/>
                    <w:rPr>
                      <w:rFonts w:asciiTheme="minorEastAsia" w:hAnsiTheme="minorEastAsia"/>
                      <w:b/>
                      <w:sz w:val="21"/>
                      <w:szCs w:val="21"/>
                      <w:u w:val="single"/>
                    </w:rPr>
                  </w:pPr>
                  <w:r>
                    <w:rPr>
                      <w:b/>
                      <w:color w:val="000000" w:themeColor="text1"/>
                      <w:sz w:val="21"/>
                      <w:szCs w:val="21"/>
                      <w:u w:val="single"/>
                    </w:rPr>
                    <w:t>浓度:</w:t>
                  </w:r>
                  <w:r>
                    <w:rPr>
                      <w:rFonts w:hint="eastAsia"/>
                      <w:b/>
                      <w:color w:val="000000" w:themeColor="text1"/>
                      <w:sz w:val="21"/>
                      <w:szCs w:val="21"/>
                      <w:u w:val="single"/>
                    </w:rPr>
                    <w:t>0.11</w:t>
                  </w:r>
                  <w:r>
                    <w:rPr>
                      <w:b/>
                      <w:color w:val="000000" w:themeColor="text1"/>
                      <w:sz w:val="21"/>
                      <w:szCs w:val="21"/>
                      <w:u w:val="single"/>
                    </w:rPr>
                    <w:t>mg/m</w:t>
                  </w:r>
                  <w:r>
                    <w:rPr>
                      <w:b/>
                      <w:color w:val="000000" w:themeColor="text1"/>
                      <w:sz w:val="21"/>
                      <w:szCs w:val="21"/>
                      <w:u w:val="single"/>
                      <w:vertAlign w:val="superscript"/>
                    </w:rPr>
                    <w:t>3</w:t>
                  </w:r>
                </w:p>
              </w:tc>
              <w:tc>
                <w:tcPr>
                  <w:tcW w:w="709" w:type="dxa"/>
                  <w:vAlign w:val="center"/>
                </w:tcPr>
                <w:p w14:paraId="081B9521">
                  <w:pPr>
                    <w:pStyle w:val="154"/>
                    <w:rPr>
                      <w:b/>
                      <w:sz w:val="21"/>
                      <w:szCs w:val="21"/>
                      <w:u w:val="single"/>
                    </w:rPr>
                  </w:pPr>
                  <w:r>
                    <w:rPr>
                      <w:rFonts w:hint="eastAsia"/>
                      <w:b/>
                      <w:sz w:val="21"/>
                      <w:szCs w:val="21"/>
                      <w:u w:val="single"/>
                    </w:rPr>
                    <w:t>100</w:t>
                  </w:r>
                </w:p>
              </w:tc>
              <w:tc>
                <w:tcPr>
                  <w:tcW w:w="567" w:type="dxa"/>
                  <w:vAlign w:val="center"/>
                </w:tcPr>
                <w:p w14:paraId="4E804F14">
                  <w:pPr>
                    <w:pStyle w:val="154"/>
                    <w:rPr>
                      <w:b/>
                      <w:sz w:val="21"/>
                      <w:szCs w:val="21"/>
                      <w:u w:val="single"/>
                    </w:rPr>
                  </w:pPr>
                  <w:r>
                    <w:rPr>
                      <w:rFonts w:hint="eastAsia"/>
                      <w:b/>
                      <w:sz w:val="21"/>
                      <w:szCs w:val="21"/>
                      <w:u w:val="single"/>
                    </w:rPr>
                    <w:t>2400</w:t>
                  </w:r>
                </w:p>
              </w:tc>
              <w:tc>
                <w:tcPr>
                  <w:tcW w:w="709" w:type="dxa"/>
                  <w:vMerge w:val="continue"/>
                </w:tcPr>
                <w:p w14:paraId="33CD4D28">
                  <w:pPr>
                    <w:pStyle w:val="45"/>
                    <w:jc w:val="center"/>
                    <w:rPr>
                      <w:rFonts w:ascii="Times New Roman" w:hAnsi="Times New Roman" w:cs="Times New Roman"/>
                      <w:b/>
                      <w:sz w:val="21"/>
                      <w:u w:val="single"/>
                    </w:rPr>
                  </w:pPr>
                </w:p>
              </w:tc>
              <w:tc>
                <w:tcPr>
                  <w:tcW w:w="709" w:type="dxa"/>
                  <w:vMerge w:val="continue"/>
                  <w:vAlign w:val="center"/>
                </w:tcPr>
                <w:p w14:paraId="55F0BCD9">
                  <w:pPr>
                    <w:pStyle w:val="154"/>
                    <w:rPr>
                      <w:b/>
                      <w:sz w:val="21"/>
                      <w:szCs w:val="21"/>
                      <w:u w:val="single"/>
                    </w:rPr>
                  </w:pPr>
                </w:p>
              </w:tc>
              <w:tc>
                <w:tcPr>
                  <w:tcW w:w="529" w:type="dxa"/>
                  <w:vMerge w:val="continue"/>
                  <w:vAlign w:val="center"/>
                </w:tcPr>
                <w:p w14:paraId="225A1994">
                  <w:pPr>
                    <w:pStyle w:val="154"/>
                    <w:rPr>
                      <w:b/>
                      <w:sz w:val="21"/>
                      <w:szCs w:val="21"/>
                      <w:u w:val="single"/>
                    </w:rPr>
                  </w:pPr>
                </w:p>
              </w:tc>
            </w:tr>
            <w:tr w14:paraId="7D757B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93" w:hRule="atLeast"/>
                <w:jc w:val="center"/>
              </w:trPr>
              <w:tc>
                <w:tcPr>
                  <w:tcW w:w="439" w:type="dxa"/>
                  <w:vMerge w:val="continue"/>
                  <w:vAlign w:val="center"/>
                </w:tcPr>
                <w:p w14:paraId="3E714580">
                  <w:pPr>
                    <w:pStyle w:val="154"/>
                    <w:rPr>
                      <w:b/>
                      <w:sz w:val="21"/>
                      <w:szCs w:val="21"/>
                      <w:u w:val="single"/>
                    </w:rPr>
                  </w:pPr>
                </w:p>
              </w:tc>
              <w:tc>
                <w:tcPr>
                  <w:tcW w:w="664" w:type="dxa"/>
                  <w:vMerge w:val="continue"/>
                  <w:vAlign w:val="center"/>
                </w:tcPr>
                <w:p w14:paraId="757E04C3">
                  <w:pPr>
                    <w:pStyle w:val="154"/>
                    <w:rPr>
                      <w:b/>
                      <w:sz w:val="21"/>
                      <w:szCs w:val="21"/>
                      <w:u w:val="single"/>
                    </w:rPr>
                  </w:pPr>
                </w:p>
              </w:tc>
              <w:tc>
                <w:tcPr>
                  <w:tcW w:w="775" w:type="dxa"/>
                  <w:vMerge w:val="continue"/>
                  <w:vAlign w:val="center"/>
                </w:tcPr>
                <w:p w14:paraId="73348C0A">
                  <w:pPr>
                    <w:pStyle w:val="154"/>
                    <w:rPr>
                      <w:b/>
                      <w:sz w:val="21"/>
                      <w:szCs w:val="21"/>
                      <w:u w:val="single"/>
                    </w:rPr>
                  </w:pPr>
                </w:p>
              </w:tc>
              <w:tc>
                <w:tcPr>
                  <w:tcW w:w="553" w:type="dxa"/>
                  <w:vAlign w:val="center"/>
                </w:tcPr>
                <w:p w14:paraId="06E228E0">
                  <w:pPr>
                    <w:pStyle w:val="154"/>
                    <w:rPr>
                      <w:b/>
                      <w:sz w:val="21"/>
                      <w:szCs w:val="21"/>
                      <w:u w:val="single"/>
                    </w:rPr>
                  </w:pPr>
                  <w:r>
                    <w:rPr>
                      <w:b/>
                      <w:sz w:val="21"/>
                      <w:szCs w:val="21"/>
                      <w:u w:val="single"/>
                    </w:rPr>
                    <w:t>非甲烷总烃</w:t>
                  </w:r>
                </w:p>
              </w:tc>
              <w:tc>
                <w:tcPr>
                  <w:tcW w:w="1729" w:type="dxa"/>
                  <w:vAlign w:val="center"/>
                </w:tcPr>
                <w:p w14:paraId="165F6AFB">
                  <w:pPr>
                    <w:pStyle w:val="154"/>
                    <w:rPr>
                      <w:b/>
                      <w:color w:val="000000" w:themeColor="text1"/>
                      <w:sz w:val="21"/>
                      <w:szCs w:val="21"/>
                      <w:u w:val="single"/>
                    </w:rPr>
                  </w:pPr>
                  <w:r>
                    <w:rPr>
                      <w:b/>
                      <w:color w:val="000000" w:themeColor="text1"/>
                      <w:sz w:val="21"/>
                      <w:szCs w:val="21"/>
                      <w:u w:val="single"/>
                    </w:rPr>
                    <w:t>产生量:</w:t>
                  </w:r>
                  <w:r>
                    <w:rPr>
                      <w:rFonts w:hint="eastAsia"/>
                      <w:b/>
                      <w:color w:val="000000" w:themeColor="text1"/>
                      <w:sz w:val="21"/>
                      <w:szCs w:val="21"/>
                      <w:u w:val="single"/>
                    </w:rPr>
                    <w:t>0.1701</w:t>
                  </w:r>
                  <w:r>
                    <w:rPr>
                      <w:b/>
                      <w:color w:val="000000" w:themeColor="text1"/>
                      <w:sz w:val="21"/>
                      <w:szCs w:val="21"/>
                      <w:u w:val="single"/>
                    </w:rPr>
                    <w:t>t/a</w:t>
                  </w:r>
                </w:p>
                <w:p w14:paraId="37CBB22F">
                  <w:pPr>
                    <w:pStyle w:val="154"/>
                    <w:rPr>
                      <w:b/>
                      <w:color w:val="000000" w:themeColor="text1"/>
                      <w:sz w:val="21"/>
                      <w:szCs w:val="21"/>
                      <w:u w:val="single"/>
                    </w:rPr>
                  </w:pPr>
                  <w:r>
                    <w:rPr>
                      <w:b/>
                      <w:color w:val="000000" w:themeColor="text1"/>
                      <w:sz w:val="21"/>
                      <w:szCs w:val="21"/>
                      <w:u w:val="single"/>
                    </w:rPr>
                    <w:t>速率:0.</w:t>
                  </w:r>
                  <w:r>
                    <w:rPr>
                      <w:rFonts w:hint="eastAsia"/>
                      <w:b/>
                      <w:color w:val="000000" w:themeColor="text1"/>
                      <w:sz w:val="21"/>
                      <w:szCs w:val="21"/>
                      <w:u w:val="single"/>
                    </w:rPr>
                    <w:t>071</w:t>
                  </w:r>
                  <w:r>
                    <w:rPr>
                      <w:b/>
                      <w:color w:val="000000" w:themeColor="text1"/>
                      <w:sz w:val="21"/>
                      <w:szCs w:val="21"/>
                      <w:u w:val="single"/>
                    </w:rPr>
                    <w:t>kg/h</w:t>
                  </w:r>
                </w:p>
                <w:p w14:paraId="0E874977">
                  <w:pPr>
                    <w:pStyle w:val="154"/>
                    <w:rPr>
                      <w:b/>
                      <w:color w:val="000000" w:themeColor="text1"/>
                      <w:sz w:val="21"/>
                      <w:szCs w:val="21"/>
                      <w:u w:val="single"/>
                    </w:rPr>
                  </w:pPr>
                  <w:r>
                    <w:rPr>
                      <w:rFonts w:hint="eastAsia"/>
                      <w:b/>
                      <w:color w:val="000000" w:themeColor="text1"/>
                      <w:sz w:val="21"/>
                      <w:szCs w:val="21"/>
                      <w:u w:val="single"/>
                    </w:rPr>
                    <w:t>浓度</w:t>
                  </w:r>
                  <w:r>
                    <w:rPr>
                      <w:b/>
                      <w:color w:val="000000" w:themeColor="text1"/>
                      <w:sz w:val="21"/>
                      <w:szCs w:val="21"/>
                      <w:u w:val="single"/>
                    </w:rPr>
                    <w:t>:</w:t>
                  </w:r>
                  <w:r>
                    <w:rPr>
                      <w:rFonts w:hint="eastAsia"/>
                      <w:b/>
                      <w:color w:val="000000" w:themeColor="text1"/>
                      <w:sz w:val="21"/>
                      <w:szCs w:val="21"/>
                      <w:u w:val="single"/>
                    </w:rPr>
                    <w:t>7.89</w:t>
                  </w:r>
                  <w:r>
                    <w:rPr>
                      <w:b/>
                      <w:color w:val="000000" w:themeColor="text1"/>
                      <w:sz w:val="21"/>
                      <w:szCs w:val="21"/>
                      <w:u w:val="single"/>
                    </w:rPr>
                    <w:t>mg/m</w:t>
                  </w:r>
                  <w:r>
                    <w:rPr>
                      <w:b/>
                      <w:color w:val="000000" w:themeColor="text1"/>
                      <w:sz w:val="21"/>
                      <w:szCs w:val="21"/>
                      <w:u w:val="single"/>
                      <w:vertAlign w:val="superscript"/>
                    </w:rPr>
                    <w:t>3</w:t>
                  </w:r>
                </w:p>
              </w:tc>
              <w:tc>
                <w:tcPr>
                  <w:tcW w:w="850" w:type="dxa"/>
                  <w:vAlign w:val="center"/>
                </w:tcPr>
                <w:p w14:paraId="45A44502">
                  <w:pPr>
                    <w:pStyle w:val="154"/>
                    <w:rPr>
                      <w:b/>
                      <w:color w:val="000000" w:themeColor="text1"/>
                      <w:sz w:val="21"/>
                      <w:szCs w:val="21"/>
                      <w:u w:val="single"/>
                    </w:rPr>
                  </w:pPr>
                  <w:r>
                    <w:rPr>
                      <w:b/>
                      <w:color w:val="000000" w:themeColor="text1"/>
                      <w:sz w:val="21"/>
                      <w:szCs w:val="21"/>
                      <w:u w:val="single"/>
                    </w:rPr>
                    <w:t>有组织</w:t>
                  </w:r>
                </w:p>
              </w:tc>
              <w:tc>
                <w:tcPr>
                  <w:tcW w:w="1276" w:type="dxa"/>
                  <w:vMerge w:val="continue"/>
                  <w:vAlign w:val="center"/>
                </w:tcPr>
                <w:p w14:paraId="2D72159C">
                  <w:pPr>
                    <w:pStyle w:val="154"/>
                    <w:rPr>
                      <w:b/>
                      <w:color w:val="000000" w:themeColor="text1"/>
                      <w:sz w:val="21"/>
                      <w:szCs w:val="21"/>
                      <w:u w:val="single"/>
                    </w:rPr>
                  </w:pPr>
                </w:p>
              </w:tc>
              <w:tc>
                <w:tcPr>
                  <w:tcW w:w="709" w:type="dxa"/>
                  <w:vAlign w:val="center"/>
                </w:tcPr>
                <w:p w14:paraId="1D8FFDDF">
                  <w:pPr>
                    <w:pStyle w:val="154"/>
                    <w:rPr>
                      <w:b/>
                      <w:color w:val="000000" w:themeColor="text1"/>
                      <w:sz w:val="21"/>
                      <w:szCs w:val="21"/>
                      <w:u w:val="single"/>
                    </w:rPr>
                  </w:pPr>
                  <w:r>
                    <w:rPr>
                      <w:b/>
                      <w:color w:val="000000" w:themeColor="text1"/>
                      <w:sz w:val="21"/>
                      <w:szCs w:val="21"/>
                      <w:u w:val="single"/>
                    </w:rPr>
                    <w:t>90%</w:t>
                  </w:r>
                </w:p>
              </w:tc>
              <w:tc>
                <w:tcPr>
                  <w:tcW w:w="567" w:type="dxa"/>
                  <w:vAlign w:val="center"/>
                </w:tcPr>
                <w:p w14:paraId="7512AEBE">
                  <w:pPr>
                    <w:pStyle w:val="154"/>
                    <w:rPr>
                      <w:b/>
                      <w:color w:val="000000" w:themeColor="text1"/>
                      <w:sz w:val="21"/>
                      <w:szCs w:val="21"/>
                      <w:u w:val="single"/>
                    </w:rPr>
                  </w:pPr>
                  <w:r>
                    <w:rPr>
                      <w:b/>
                      <w:color w:val="000000" w:themeColor="text1"/>
                      <w:sz w:val="21"/>
                      <w:szCs w:val="21"/>
                      <w:u w:val="single"/>
                    </w:rPr>
                    <w:t>80%</w:t>
                  </w:r>
                </w:p>
              </w:tc>
              <w:tc>
                <w:tcPr>
                  <w:tcW w:w="283" w:type="dxa"/>
                  <w:vAlign w:val="center"/>
                </w:tcPr>
                <w:p w14:paraId="53FF3A63">
                  <w:pPr>
                    <w:pStyle w:val="154"/>
                    <w:rPr>
                      <w:b/>
                      <w:color w:val="000000" w:themeColor="text1"/>
                      <w:sz w:val="21"/>
                      <w:szCs w:val="21"/>
                      <w:u w:val="single"/>
                    </w:rPr>
                  </w:pPr>
                  <w:r>
                    <w:rPr>
                      <w:b/>
                      <w:color w:val="000000" w:themeColor="text1"/>
                      <w:sz w:val="21"/>
                      <w:szCs w:val="21"/>
                      <w:u w:val="single"/>
                    </w:rPr>
                    <w:t>是</w:t>
                  </w:r>
                </w:p>
              </w:tc>
              <w:tc>
                <w:tcPr>
                  <w:tcW w:w="1559" w:type="dxa"/>
                  <w:vAlign w:val="center"/>
                </w:tcPr>
                <w:p w14:paraId="0E0CF45B">
                  <w:pPr>
                    <w:pStyle w:val="154"/>
                    <w:rPr>
                      <w:b/>
                      <w:color w:val="000000" w:themeColor="text1"/>
                      <w:sz w:val="21"/>
                      <w:szCs w:val="21"/>
                      <w:u w:val="single"/>
                    </w:rPr>
                  </w:pPr>
                  <w:r>
                    <w:rPr>
                      <w:b/>
                      <w:color w:val="000000" w:themeColor="text1"/>
                      <w:sz w:val="21"/>
                      <w:szCs w:val="21"/>
                      <w:u w:val="single"/>
                    </w:rPr>
                    <w:t>排放量:</w:t>
                  </w:r>
                  <w:r>
                    <w:rPr>
                      <w:rFonts w:hint="eastAsia"/>
                      <w:b/>
                      <w:color w:val="000000" w:themeColor="text1"/>
                      <w:sz w:val="21"/>
                      <w:szCs w:val="21"/>
                      <w:u w:val="single"/>
                    </w:rPr>
                    <w:t>0.0340</w:t>
                  </w:r>
                  <w:r>
                    <w:rPr>
                      <w:b/>
                      <w:color w:val="000000" w:themeColor="text1"/>
                      <w:sz w:val="21"/>
                      <w:szCs w:val="21"/>
                      <w:u w:val="single"/>
                    </w:rPr>
                    <w:t>t/a</w:t>
                  </w:r>
                </w:p>
                <w:p w14:paraId="17230CB2">
                  <w:pPr>
                    <w:pStyle w:val="154"/>
                    <w:rPr>
                      <w:b/>
                      <w:color w:val="000000" w:themeColor="text1"/>
                      <w:sz w:val="21"/>
                      <w:szCs w:val="21"/>
                      <w:u w:val="single"/>
                    </w:rPr>
                  </w:pPr>
                  <w:r>
                    <w:rPr>
                      <w:b/>
                      <w:color w:val="000000" w:themeColor="text1"/>
                      <w:sz w:val="21"/>
                      <w:szCs w:val="21"/>
                      <w:u w:val="single"/>
                    </w:rPr>
                    <w:t>速率:</w:t>
                  </w:r>
                  <w:r>
                    <w:rPr>
                      <w:rFonts w:hint="eastAsia"/>
                      <w:b/>
                      <w:color w:val="000000" w:themeColor="text1"/>
                      <w:sz w:val="21"/>
                      <w:szCs w:val="21"/>
                      <w:u w:val="single"/>
                    </w:rPr>
                    <w:t>0.014</w:t>
                  </w:r>
                  <w:r>
                    <w:rPr>
                      <w:b/>
                      <w:color w:val="000000" w:themeColor="text1"/>
                      <w:sz w:val="21"/>
                      <w:szCs w:val="21"/>
                      <w:u w:val="single"/>
                    </w:rPr>
                    <w:t>kg/h</w:t>
                  </w:r>
                </w:p>
                <w:p w14:paraId="21EE9285">
                  <w:pPr>
                    <w:pStyle w:val="154"/>
                    <w:rPr>
                      <w:b/>
                      <w:color w:val="000000" w:themeColor="text1"/>
                      <w:sz w:val="21"/>
                      <w:szCs w:val="21"/>
                      <w:u w:val="single"/>
                    </w:rPr>
                  </w:pPr>
                  <w:r>
                    <w:rPr>
                      <w:b/>
                      <w:color w:val="000000" w:themeColor="text1"/>
                      <w:sz w:val="21"/>
                      <w:szCs w:val="21"/>
                      <w:u w:val="single"/>
                    </w:rPr>
                    <w:t>浓度:</w:t>
                  </w:r>
                  <w:r>
                    <w:rPr>
                      <w:rFonts w:hint="eastAsia"/>
                      <w:b/>
                      <w:color w:val="000000" w:themeColor="text1"/>
                      <w:sz w:val="21"/>
                      <w:szCs w:val="21"/>
                      <w:u w:val="single"/>
                    </w:rPr>
                    <w:t>1.55</w:t>
                  </w:r>
                  <w:r>
                    <w:rPr>
                      <w:b/>
                      <w:color w:val="000000" w:themeColor="text1"/>
                      <w:sz w:val="21"/>
                      <w:szCs w:val="21"/>
                      <w:u w:val="single"/>
                    </w:rPr>
                    <w:t>mg/m</w:t>
                  </w:r>
                  <w:r>
                    <w:rPr>
                      <w:b/>
                      <w:color w:val="000000" w:themeColor="text1"/>
                      <w:sz w:val="21"/>
                      <w:szCs w:val="21"/>
                      <w:u w:val="single"/>
                      <w:vertAlign w:val="superscript"/>
                    </w:rPr>
                    <w:t>3</w:t>
                  </w:r>
                </w:p>
              </w:tc>
              <w:tc>
                <w:tcPr>
                  <w:tcW w:w="1701" w:type="dxa"/>
                  <w:vMerge w:val="restart"/>
                </w:tcPr>
                <w:p w14:paraId="76BAABAF">
                  <w:pPr>
                    <w:pStyle w:val="154"/>
                    <w:rPr>
                      <w:b/>
                      <w:color w:val="000000" w:themeColor="text1"/>
                      <w:sz w:val="21"/>
                      <w:szCs w:val="21"/>
                      <w:u w:val="single"/>
                    </w:rPr>
                  </w:pPr>
                </w:p>
                <w:p w14:paraId="2E97551B">
                  <w:pPr>
                    <w:pStyle w:val="154"/>
                    <w:rPr>
                      <w:b/>
                      <w:color w:val="000000" w:themeColor="text1"/>
                      <w:sz w:val="21"/>
                      <w:szCs w:val="21"/>
                      <w:u w:val="single"/>
                    </w:rPr>
                  </w:pPr>
                </w:p>
                <w:p w14:paraId="029C52FC">
                  <w:pPr>
                    <w:pStyle w:val="154"/>
                    <w:rPr>
                      <w:b/>
                      <w:color w:val="000000" w:themeColor="text1"/>
                      <w:sz w:val="21"/>
                      <w:szCs w:val="21"/>
                      <w:u w:val="single"/>
                    </w:rPr>
                  </w:pPr>
                </w:p>
                <w:p w14:paraId="7F718574">
                  <w:pPr>
                    <w:pStyle w:val="154"/>
                    <w:rPr>
                      <w:b/>
                      <w:color w:val="000000" w:themeColor="text1"/>
                      <w:sz w:val="21"/>
                      <w:szCs w:val="21"/>
                      <w:u w:val="single"/>
                    </w:rPr>
                  </w:pPr>
                </w:p>
                <w:p w14:paraId="603B0284">
                  <w:pPr>
                    <w:pStyle w:val="154"/>
                    <w:rPr>
                      <w:b/>
                      <w:color w:val="000000" w:themeColor="text1"/>
                      <w:sz w:val="21"/>
                      <w:szCs w:val="21"/>
                      <w:u w:val="single"/>
                    </w:rPr>
                  </w:pPr>
                </w:p>
                <w:p w14:paraId="354BC856">
                  <w:pPr>
                    <w:pStyle w:val="154"/>
                    <w:rPr>
                      <w:b/>
                      <w:color w:val="000000" w:themeColor="text1"/>
                      <w:sz w:val="21"/>
                      <w:szCs w:val="21"/>
                      <w:u w:val="single"/>
                    </w:rPr>
                  </w:pPr>
                  <w:r>
                    <w:rPr>
                      <w:b/>
                      <w:color w:val="000000" w:themeColor="text1"/>
                      <w:sz w:val="21"/>
                      <w:szCs w:val="21"/>
                      <w:u w:val="single"/>
                    </w:rPr>
                    <w:t>排放量:</w:t>
                  </w:r>
                  <w:r>
                    <w:rPr>
                      <w:rFonts w:hint="eastAsia"/>
                      <w:b/>
                      <w:color w:val="000000" w:themeColor="text1"/>
                      <w:sz w:val="21"/>
                      <w:szCs w:val="21"/>
                      <w:u w:val="single"/>
                    </w:rPr>
                    <w:t>0.1513</w:t>
                  </w:r>
                  <w:r>
                    <w:rPr>
                      <w:b/>
                      <w:color w:val="000000" w:themeColor="text1"/>
                      <w:sz w:val="21"/>
                      <w:szCs w:val="21"/>
                      <w:u w:val="single"/>
                    </w:rPr>
                    <w:t>t/a</w:t>
                  </w:r>
                </w:p>
                <w:p w14:paraId="2A72E6A8">
                  <w:pPr>
                    <w:pStyle w:val="154"/>
                    <w:rPr>
                      <w:b/>
                      <w:color w:val="000000" w:themeColor="text1"/>
                      <w:sz w:val="21"/>
                      <w:szCs w:val="21"/>
                      <w:u w:val="single"/>
                    </w:rPr>
                  </w:pPr>
                  <w:r>
                    <w:rPr>
                      <w:b/>
                      <w:color w:val="000000" w:themeColor="text1"/>
                      <w:sz w:val="21"/>
                      <w:szCs w:val="21"/>
                      <w:u w:val="single"/>
                    </w:rPr>
                    <w:t>速率:</w:t>
                  </w:r>
                  <w:r>
                    <w:rPr>
                      <w:rFonts w:hint="eastAsia"/>
                      <w:b/>
                      <w:color w:val="000000" w:themeColor="text1"/>
                      <w:sz w:val="21"/>
                      <w:szCs w:val="21"/>
                      <w:u w:val="single"/>
                    </w:rPr>
                    <w:t>0.063</w:t>
                  </w:r>
                  <w:r>
                    <w:rPr>
                      <w:b/>
                      <w:color w:val="000000" w:themeColor="text1"/>
                      <w:sz w:val="21"/>
                      <w:szCs w:val="21"/>
                      <w:u w:val="single"/>
                    </w:rPr>
                    <w:t>kg/h</w:t>
                  </w:r>
                </w:p>
                <w:p w14:paraId="15F7C6DD">
                  <w:pPr>
                    <w:pStyle w:val="154"/>
                    <w:rPr>
                      <w:rFonts w:asciiTheme="minorEastAsia" w:hAnsiTheme="minorEastAsia"/>
                      <w:b/>
                      <w:sz w:val="21"/>
                      <w:szCs w:val="21"/>
                      <w:u w:val="single"/>
                    </w:rPr>
                  </w:pPr>
                  <w:r>
                    <w:rPr>
                      <w:b/>
                      <w:color w:val="000000" w:themeColor="text1"/>
                      <w:sz w:val="21"/>
                      <w:szCs w:val="21"/>
                      <w:u w:val="single"/>
                    </w:rPr>
                    <w:t>浓度:</w:t>
                  </w:r>
                  <w:r>
                    <w:rPr>
                      <w:rFonts w:hint="eastAsia"/>
                      <w:b/>
                      <w:color w:val="000000" w:themeColor="text1"/>
                      <w:sz w:val="21"/>
                      <w:szCs w:val="21"/>
                      <w:u w:val="single"/>
                    </w:rPr>
                    <w:t>2.33</w:t>
                  </w:r>
                  <w:r>
                    <w:rPr>
                      <w:b/>
                      <w:color w:val="000000" w:themeColor="text1"/>
                      <w:sz w:val="21"/>
                      <w:szCs w:val="21"/>
                      <w:u w:val="single"/>
                    </w:rPr>
                    <w:t>mg/m</w:t>
                  </w:r>
                  <w:r>
                    <w:rPr>
                      <w:b/>
                      <w:color w:val="000000" w:themeColor="text1"/>
                      <w:sz w:val="21"/>
                      <w:szCs w:val="21"/>
                      <w:u w:val="single"/>
                      <w:vertAlign w:val="superscript"/>
                    </w:rPr>
                    <w:t>3</w:t>
                  </w:r>
                </w:p>
              </w:tc>
              <w:tc>
                <w:tcPr>
                  <w:tcW w:w="709" w:type="dxa"/>
                  <w:vAlign w:val="center"/>
                </w:tcPr>
                <w:p w14:paraId="7E0948E4">
                  <w:pPr>
                    <w:pStyle w:val="154"/>
                    <w:rPr>
                      <w:b/>
                      <w:sz w:val="21"/>
                      <w:szCs w:val="21"/>
                      <w:u w:val="single"/>
                    </w:rPr>
                  </w:pPr>
                  <w:r>
                    <w:rPr>
                      <w:b/>
                      <w:sz w:val="21"/>
                      <w:szCs w:val="21"/>
                      <w:u w:val="single"/>
                    </w:rPr>
                    <w:t>40</w:t>
                  </w:r>
                </w:p>
              </w:tc>
              <w:tc>
                <w:tcPr>
                  <w:tcW w:w="567" w:type="dxa"/>
                  <w:vAlign w:val="center"/>
                </w:tcPr>
                <w:p w14:paraId="4440326F">
                  <w:pPr>
                    <w:pStyle w:val="154"/>
                    <w:rPr>
                      <w:b/>
                      <w:sz w:val="21"/>
                      <w:szCs w:val="21"/>
                      <w:u w:val="single"/>
                    </w:rPr>
                  </w:pPr>
                  <w:r>
                    <w:rPr>
                      <w:rFonts w:hint="eastAsia"/>
                      <w:b/>
                      <w:sz w:val="21"/>
                      <w:szCs w:val="21"/>
                      <w:u w:val="single"/>
                    </w:rPr>
                    <w:t>2400</w:t>
                  </w:r>
                </w:p>
              </w:tc>
              <w:tc>
                <w:tcPr>
                  <w:tcW w:w="709" w:type="dxa"/>
                  <w:vMerge w:val="continue"/>
                </w:tcPr>
                <w:p w14:paraId="2BCD5D22">
                  <w:pPr>
                    <w:pStyle w:val="154"/>
                    <w:rPr>
                      <w:b/>
                      <w:sz w:val="21"/>
                      <w:szCs w:val="21"/>
                      <w:u w:val="single"/>
                    </w:rPr>
                  </w:pPr>
                </w:p>
              </w:tc>
              <w:tc>
                <w:tcPr>
                  <w:tcW w:w="709" w:type="dxa"/>
                  <w:vMerge w:val="continue"/>
                  <w:vAlign w:val="center"/>
                </w:tcPr>
                <w:p w14:paraId="66B88E6D">
                  <w:pPr>
                    <w:pStyle w:val="154"/>
                    <w:rPr>
                      <w:b/>
                      <w:sz w:val="21"/>
                      <w:szCs w:val="21"/>
                      <w:u w:val="single"/>
                    </w:rPr>
                  </w:pPr>
                </w:p>
              </w:tc>
              <w:tc>
                <w:tcPr>
                  <w:tcW w:w="529" w:type="dxa"/>
                  <w:vMerge w:val="continue"/>
                  <w:vAlign w:val="center"/>
                </w:tcPr>
                <w:p w14:paraId="15E73444">
                  <w:pPr>
                    <w:pStyle w:val="154"/>
                    <w:rPr>
                      <w:b/>
                      <w:sz w:val="21"/>
                      <w:szCs w:val="21"/>
                      <w:u w:val="single"/>
                    </w:rPr>
                  </w:pPr>
                </w:p>
              </w:tc>
            </w:tr>
            <w:tr w14:paraId="7250F8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439" w:type="dxa"/>
                  <w:vAlign w:val="center"/>
                </w:tcPr>
                <w:p w14:paraId="0EA2B622">
                  <w:pPr>
                    <w:pStyle w:val="154"/>
                    <w:rPr>
                      <w:b/>
                      <w:sz w:val="21"/>
                      <w:szCs w:val="21"/>
                      <w:u w:val="single"/>
                    </w:rPr>
                  </w:pPr>
                  <w:r>
                    <w:rPr>
                      <w:rFonts w:hint="eastAsia"/>
                      <w:b/>
                      <w:sz w:val="21"/>
                      <w:szCs w:val="21"/>
                      <w:u w:val="single"/>
                    </w:rPr>
                    <w:t>2</w:t>
                  </w:r>
                </w:p>
              </w:tc>
              <w:tc>
                <w:tcPr>
                  <w:tcW w:w="664" w:type="dxa"/>
                  <w:vAlign w:val="center"/>
                </w:tcPr>
                <w:p w14:paraId="3C4D13A5">
                  <w:pPr>
                    <w:pStyle w:val="154"/>
                    <w:rPr>
                      <w:b/>
                      <w:sz w:val="21"/>
                      <w:szCs w:val="21"/>
                      <w:u w:val="single"/>
                    </w:rPr>
                  </w:pPr>
                  <w:r>
                    <w:rPr>
                      <w:rFonts w:hint="eastAsia"/>
                      <w:b/>
                      <w:sz w:val="21"/>
                      <w:szCs w:val="21"/>
                      <w:u w:val="single"/>
                    </w:rPr>
                    <w:t>聚氨酯工艺生产线</w:t>
                  </w:r>
                </w:p>
              </w:tc>
              <w:tc>
                <w:tcPr>
                  <w:tcW w:w="775" w:type="dxa"/>
                  <w:vAlign w:val="center"/>
                </w:tcPr>
                <w:p w14:paraId="4D88D1DD">
                  <w:pPr>
                    <w:pStyle w:val="154"/>
                    <w:rPr>
                      <w:b/>
                      <w:sz w:val="21"/>
                      <w:szCs w:val="21"/>
                      <w:u w:val="single"/>
                    </w:rPr>
                  </w:pPr>
                  <w:r>
                    <w:rPr>
                      <w:rFonts w:hint="eastAsia"/>
                      <w:b/>
                      <w:sz w:val="21"/>
                      <w:szCs w:val="21"/>
                      <w:u w:val="single"/>
                    </w:rPr>
                    <w:t>混合搅拌、中转、喷脱模剂、浇注、烘干</w:t>
                  </w:r>
                </w:p>
              </w:tc>
              <w:tc>
                <w:tcPr>
                  <w:tcW w:w="553" w:type="dxa"/>
                  <w:vAlign w:val="center"/>
                </w:tcPr>
                <w:p w14:paraId="7FE673D2">
                  <w:pPr>
                    <w:pStyle w:val="154"/>
                    <w:rPr>
                      <w:b/>
                      <w:sz w:val="21"/>
                      <w:szCs w:val="21"/>
                      <w:u w:val="single"/>
                    </w:rPr>
                  </w:pPr>
                  <w:r>
                    <w:rPr>
                      <w:rFonts w:hint="eastAsia"/>
                      <w:b/>
                      <w:sz w:val="21"/>
                      <w:szCs w:val="21"/>
                      <w:u w:val="single"/>
                    </w:rPr>
                    <w:t>非甲烷总烃</w:t>
                  </w:r>
                </w:p>
              </w:tc>
              <w:tc>
                <w:tcPr>
                  <w:tcW w:w="1729" w:type="dxa"/>
                  <w:vAlign w:val="center"/>
                </w:tcPr>
                <w:p w14:paraId="7CE86E89">
                  <w:pPr>
                    <w:pStyle w:val="154"/>
                    <w:rPr>
                      <w:b/>
                      <w:color w:val="000000" w:themeColor="text1"/>
                      <w:sz w:val="21"/>
                      <w:szCs w:val="21"/>
                      <w:u w:val="single"/>
                    </w:rPr>
                  </w:pPr>
                  <w:r>
                    <w:rPr>
                      <w:rFonts w:hint="eastAsia"/>
                      <w:b/>
                      <w:color w:val="000000" w:themeColor="text1"/>
                      <w:sz w:val="21"/>
                      <w:szCs w:val="21"/>
                      <w:u w:val="single"/>
                    </w:rPr>
                    <w:t>产生量</w:t>
                  </w:r>
                  <w:r>
                    <w:rPr>
                      <w:b/>
                      <w:color w:val="000000" w:themeColor="text1"/>
                      <w:sz w:val="21"/>
                      <w:szCs w:val="21"/>
                      <w:u w:val="single"/>
                    </w:rPr>
                    <w:t>:</w:t>
                  </w:r>
                  <w:r>
                    <w:rPr>
                      <w:rFonts w:hint="eastAsia"/>
                      <w:b/>
                      <w:color w:val="000000" w:themeColor="text1"/>
                      <w:sz w:val="21"/>
                      <w:szCs w:val="21"/>
                      <w:u w:val="single"/>
                    </w:rPr>
                    <w:t>0.2849</w:t>
                  </w:r>
                  <w:r>
                    <w:rPr>
                      <w:b/>
                      <w:color w:val="000000" w:themeColor="text1"/>
                      <w:sz w:val="21"/>
                      <w:szCs w:val="21"/>
                      <w:u w:val="single"/>
                    </w:rPr>
                    <w:t>t/a</w:t>
                  </w:r>
                </w:p>
                <w:p w14:paraId="5AA91F4A">
                  <w:pPr>
                    <w:pStyle w:val="154"/>
                    <w:rPr>
                      <w:b/>
                      <w:color w:val="000000" w:themeColor="text1"/>
                      <w:sz w:val="21"/>
                      <w:szCs w:val="21"/>
                      <w:u w:val="single"/>
                    </w:rPr>
                  </w:pPr>
                  <w:r>
                    <w:rPr>
                      <w:rFonts w:hint="eastAsia"/>
                      <w:b/>
                      <w:color w:val="000000" w:themeColor="text1"/>
                      <w:sz w:val="21"/>
                      <w:szCs w:val="21"/>
                      <w:u w:val="single"/>
                    </w:rPr>
                    <w:t>速率</w:t>
                  </w:r>
                  <w:r>
                    <w:rPr>
                      <w:b/>
                      <w:color w:val="000000" w:themeColor="text1"/>
                      <w:sz w:val="21"/>
                      <w:szCs w:val="21"/>
                      <w:u w:val="single"/>
                    </w:rPr>
                    <w:t>:0.</w:t>
                  </w:r>
                  <w:r>
                    <w:rPr>
                      <w:rFonts w:hint="eastAsia"/>
                      <w:b/>
                      <w:color w:val="000000" w:themeColor="text1"/>
                      <w:sz w:val="21"/>
                      <w:szCs w:val="21"/>
                      <w:u w:val="single"/>
                    </w:rPr>
                    <w:t>119</w:t>
                  </w:r>
                  <w:r>
                    <w:rPr>
                      <w:b/>
                      <w:color w:val="000000" w:themeColor="text1"/>
                      <w:sz w:val="21"/>
                      <w:szCs w:val="21"/>
                      <w:u w:val="single"/>
                    </w:rPr>
                    <w:t>kg/h</w:t>
                  </w:r>
                </w:p>
                <w:p w14:paraId="3002F7E2">
                  <w:pPr>
                    <w:pStyle w:val="154"/>
                    <w:rPr>
                      <w:b/>
                      <w:color w:val="000000" w:themeColor="text1"/>
                      <w:sz w:val="21"/>
                      <w:szCs w:val="21"/>
                      <w:u w:val="single"/>
                    </w:rPr>
                  </w:pPr>
                  <w:r>
                    <w:rPr>
                      <w:rFonts w:hint="eastAsia"/>
                      <w:b/>
                      <w:color w:val="000000" w:themeColor="text1"/>
                      <w:sz w:val="21"/>
                      <w:szCs w:val="21"/>
                      <w:u w:val="single"/>
                    </w:rPr>
                    <w:t>浓度</w:t>
                  </w:r>
                  <w:r>
                    <w:rPr>
                      <w:b/>
                      <w:color w:val="000000" w:themeColor="text1"/>
                      <w:sz w:val="21"/>
                      <w:szCs w:val="21"/>
                      <w:u w:val="single"/>
                    </w:rPr>
                    <w:t>:</w:t>
                  </w:r>
                  <w:r>
                    <w:rPr>
                      <w:rFonts w:hint="eastAsia"/>
                      <w:b/>
                      <w:color w:val="000000" w:themeColor="text1"/>
                      <w:sz w:val="21"/>
                      <w:szCs w:val="21"/>
                      <w:u w:val="single"/>
                    </w:rPr>
                    <w:t>9.91</w:t>
                  </w:r>
                  <w:r>
                    <w:rPr>
                      <w:b/>
                      <w:color w:val="000000" w:themeColor="text1"/>
                      <w:sz w:val="21"/>
                      <w:szCs w:val="21"/>
                      <w:u w:val="single"/>
                    </w:rPr>
                    <w:t>mg/m</w:t>
                  </w:r>
                  <w:r>
                    <w:rPr>
                      <w:b/>
                      <w:color w:val="000000" w:themeColor="text1"/>
                      <w:sz w:val="21"/>
                      <w:szCs w:val="21"/>
                      <w:u w:val="single"/>
                      <w:vertAlign w:val="superscript"/>
                    </w:rPr>
                    <w:t>3</w:t>
                  </w:r>
                </w:p>
              </w:tc>
              <w:tc>
                <w:tcPr>
                  <w:tcW w:w="850" w:type="dxa"/>
                  <w:vAlign w:val="center"/>
                </w:tcPr>
                <w:p w14:paraId="0C49F624">
                  <w:pPr>
                    <w:pStyle w:val="154"/>
                    <w:rPr>
                      <w:b/>
                      <w:color w:val="000000" w:themeColor="text1"/>
                      <w:sz w:val="21"/>
                      <w:szCs w:val="21"/>
                      <w:u w:val="single"/>
                    </w:rPr>
                  </w:pPr>
                  <w:r>
                    <w:rPr>
                      <w:rFonts w:hint="eastAsia"/>
                      <w:b/>
                      <w:color w:val="000000" w:themeColor="text1"/>
                      <w:sz w:val="21"/>
                      <w:szCs w:val="21"/>
                      <w:u w:val="single"/>
                    </w:rPr>
                    <w:t>有组织</w:t>
                  </w:r>
                </w:p>
              </w:tc>
              <w:tc>
                <w:tcPr>
                  <w:tcW w:w="1276" w:type="dxa"/>
                  <w:vMerge w:val="continue"/>
                  <w:vAlign w:val="center"/>
                </w:tcPr>
                <w:p w14:paraId="7E2CBEA4">
                  <w:pPr>
                    <w:pStyle w:val="154"/>
                    <w:rPr>
                      <w:b/>
                      <w:color w:val="000000" w:themeColor="text1"/>
                      <w:sz w:val="21"/>
                      <w:szCs w:val="21"/>
                      <w:u w:val="single"/>
                    </w:rPr>
                  </w:pPr>
                </w:p>
              </w:tc>
              <w:tc>
                <w:tcPr>
                  <w:tcW w:w="709" w:type="dxa"/>
                  <w:vAlign w:val="center"/>
                </w:tcPr>
                <w:p w14:paraId="4FBD5D1D">
                  <w:pPr>
                    <w:pStyle w:val="154"/>
                    <w:rPr>
                      <w:b/>
                      <w:color w:val="000000" w:themeColor="text1"/>
                      <w:sz w:val="21"/>
                      <w:szCs w:val="21"/>
                      <w:u w:val="single"/>
                    </w:rPr>
                  </w:pPr>
                  <w:r>
                    <w:rPr>
                      <w:b/>
                      <w:color w:val="000000" w:themeColor="text1"/>
                      <w:sz w:val="21"/>
                      <w:szCs w:val="21"/>
                      <w:u w:val="single"/>
                    </w:rPr>
                    <w:t>90%</w:t>
                  </w:r>
                </w:p>
              </w:tc>
              <w:tc>
                <w:tcPr>
                  <w:tcW w:w="567" w:type="dxa"/>
                  <w:vAlign w:val="center"/>
                </w:tcPr>
                <w:p w14:paraId="522E8E8E">
                  <w:pPr>
                    <w:pStyle w:val="154"/>
                    <w:rPr>
                      <w:b/>
                      <w:color w:val="000000" w:themeColor="text1"/>
                      <w:sz w:val="21"/>
                      <w:szCs w:val="21"/>
                      <w:u w:val="single"/>
                    </w:rPr>
                  </w:pPr>
                  <w:r>
                    <w:rPr>
                      <w:b/>
                      <w:color w:val="000000" w:themeColor="text1"/>
                      <w:sz w:val="21"/>
                      <w:szCs w:val="21"/>
                      <w:u w:val="single"/>
                    </w:rPr>
                    <w:t>80%</w:t>
                  </w:r>
                </w:p>
              </w:tc>
              <w:tc>
                <w:tcPr>
                  <w:tcW w:w="283" w:type="dxa"/>
                  <w:vAlign w:val="center"/>
                </w:tcPr>
                <w:p w14:paraId="778C8895">
                  <w:pPr>
                    <w:pStyle w:val="154"/>
                    <w:rPr>
                      <w:b/>
                      <w:color w:val="000000" w:themeColor="text1"/>
                      <w:sz w:val="21"/>
                      <w:szCs w:val="21"/>
                      <w:u w:val="single"/>
                    </w:rPr>
                  </w:pPr>
                  <w:r>
                    <w:rPr>
                      <w:rFonts w:hint="eastAsia"/>
                      <w:b/>
                      <w:color w:val="000000" w:themeColor="text1"/>
                      <w:sz w:val="21"/>
                      <w:szCs w:val="21"/>
                      <w:u w:val="single"/>
                    </w:rPr>
                    <w:t>是</w:t>
                  </w:r>
                </w:p>
              </w:tc>
              <w:tc>
                <w:tcPr>
                  <w:tcW w:w="1559" w:type="dxa"/>
                  <w:vAlign w:val="center"/>
                </w:tcPr>
                <w:p w14:paraId="7695F9F5">
                  <w:pPr>
                    <w:pStyle w:val="154"/>
                    <w:rPr>
                      <w:b/>
                      <w:color w:val="000000" w:themeColor="text1"/>
                      <w:sz w:val="21"/>
                      <w:szCs w:val="21"/>
                      <w:u w:val="single"/>
                    </w:rPr>
                  </w:pPr>
                  <w:r>
                    <w:rPr>
                      <w:b/>
                      <w:color w:val="000000" w:themeColor="text1"/>
                      <w:sz w:val="21"/>
                      <w:szCs w:val="21"/>
                      <w:u w:val="single"/>
                    </w:rPr>
                    <w:t>排放量:</w:t>
                  </w:r>
                  <w:r>
                    <w:rPr>
                      <w:rFonts w:hint="eastAsia"/>
                      <w:b/>
                      <w:color w:val="000000" w:themeColor="text1"/>
                      <w:sz w:val="21"/>
                      <w:szCs w:val="21"/>
                      <w:u w:val="single"/>
                    </w:rPr>
                    <w:t>0.0570</w:t>
                  </w:r>
                  <w:r>
                    <w:rPr>
                      <w:b/>
                      <w:color w:val="000000" w:themeColor="text1"/>
                      <w:sz w:val="21"/>
                      <w:szCs w:val="21"/>
                      <w:u w:val="single"/>
                    </w:rPr>
                    <w:t>t/a</w:t>
                  </w:r>
                </w:p>
                <w:p w14:paraId="20E66858">
                  <w:pPr>
                    <w:pStyle w:val="154"/>
                    <w:rPr>
                      <w:b/>
                      <w:color w:val="000000" w:themeColor="text1"/>
                      <w:sz w:val="21"/>
                      <w:szCs w:val="21"/>
                      <w:u w:val="single"/>
                    </w:rPr>
                  </w:pPr>
                  <w:r>
                    <w:rPr>
                      <w:b/>
                      <w:color w:val="000000" w:themeColor="text1"/>
                      <w:sz w:val="21"/>
                      <w:szCs w:val="21"/>
                      <w:u w:val="single"/>
                    </w:rPr>
                    <w:t>速率:</w:t>
                  </w:r>
                  <w:r>
                    <w:rPr>
                      <w:rFonts w:hint="eastAsia"/>
                      <w:b/>
                      <w:color w:val="000000" w:themeColor="text1"/>
                      <w:sz w:val="21"/>
                      <w:szCs w:val="21"/>
                      <w:u w:val="single"/>
                    </w:rPr>
                    <w:t>0.024</w:t>
                  </w:r>
                  <w:r>
                    <w:rPr>
                      <w:b/>
                      <w:color w:val="000000" w:themeColor="text1"/>
                      <w:sz w:val="21"/>
                      <w:szCs w:val="21"/>
                      <w:u w:val="single"/>
                    </w:rPr>
                    <w:t>kg/h</w:t>
                  </w:r>
                </w:p>
                <w:p w14:paraId="64EEA419">
                  <w:pPr>
                    <w:pStyle w:val="154"/>
                    <w:rPr>
                      <w:b/>
                      <w:color w:val="000000" w:themeColor="text1"/>
                      <w:sz w:val="21"/>
                      <w:szCs w:val="21"/>
                      <w:u w:val="single"/>
                    </w:rPr>
                  </w:pPr>
                  <w:r>
                    <w:rPr>
                      <w:b/>
                      <w:color w:val="000000" w:themeColor="text1"/>
                      <w:sz w:val="21"/>
                      <w:szCs w:val="21"/>
                      <w:u w:val="single"/>
                    </w:rPr>
                    <w:t>浓度:</w:t>
                  </w:r>
                  <w:r>
                    <w:rPr>
                      <w:rFonts w:hint="eastAsia"/>
                      <w:b/>
                      <w:color w:val="000000" w:themeColor="text1"/>
                      <w:sz w:val="21"/>
                      <w:szCs w:val="21"/>
                      <w:u w:val="single"/>
                    </w:rPr>
                    <w:t>2.00</w:t>
                  </w:r>
                  <w:r>
                    <w:rPr>
                      <w:b/>
                      <w:color w:val="000000" w:themeColor="text1"/>
                      <w:sz w:val="21"/>
                      <w:szCs w:val="21"/>
                      <w:u w:val="single"/>
                    </w:rPr>
                    <w:t>mg/m</w:t>
                  </w:r>
                  <w:r>
                    <w:rPr>
                      <w:b/>
                      <w:color w:val="000000" w:themeColor="text1"/>
                      <w:sz w:val="21"/>
                      <w:szCs w:val="21"/>
                      <w:u w:val="single"/>
                      <w:vertAlign w:val="superscript"/>
                    </w:rPr>
                    <w:t>3</w:t>
                  </w:r>
                </w:p>
              </w:tc>
              <w:tc>
                <w:tcPr>
                  <w:tcW w:w="1701" w:type="dxa"/>
                  <w:vMerge w:val="continue"/>
                </w:tcPr>
                <w:p w14:paraId="75D2FC97">
                  <w:pPr>
                    <w:pStyle w:val="154"/>
                    <w:rPr>
                      <w:rFonts w:asciiTheme="minorEastAsia" w:hAnsiTheme="minorEastAsia"/>
                      <w:b/>
                      <w:sz w:val="21"/>
                      <w:szCs w:val="21"/>
                      <w:u w:val="single"/>
                    </w:rPr>
                  </w:pPr>
                </w:p>
              </w:tc>
              <w:tc>
                <w:tcPr>
                  <w:tcW w:w="709" w:type="dxa"/>
                  <w:vAlign w:val="center"/>
                </w:tcPr>
                <w:p w14:paraId="2C5D1B40">
                  <w:pPr>
                    <w:pStyle w:val="154"/>
                    <w:rPr>
                      <w:b/>
                      <w:sz w:val="21"/>
                      <w:szCs w:val="21"/>
                      <w:u w:val="single"/>
                    </w:rPr>
                  </w:pPr>
                  <w:r>
                    <w:rPr>
                      <w:rFonts w:hint="eastAsia"/>
                      <w:b/>
                      <w:sz w:val="21"/>
                      <w:szCs w:val="21"/>
                      <w:u w:val="single"/>
                    </w:rPr>
                    <w:t>40</w:t>
                  </w:r>
                </w:p>
              </w:tc>
              <w:tc>
                <w:tcPr>
                  <w:tcW w:w="567" w:type="dxa"/>
                  <w:vAlign w:val="center"/>
                </w:tcPr>
                <w:p w14:paraId="62C79C32">
                  <w:pPr>
                    <w:pStyle w:val="154"/>
                    <w:rPr>
                      <w:b/>
                      <w:sz w:val="21"/>
                      <w:szCs w:val="21"/>
                      <w:u w:val="single"/>
                    </w:rPr>
                  </w:pPr>
                  <w:r>
                    <w:rPr>
                      <w:rFonts w:hint="eastAsia"/>
                      <w:b/>
                      <w:sz w:val="21"/>
                      <w:szCs w:val="21"/>
                      <w:u w:val="single"/>
                    </w:rPr>
                    <w:t>2400</w:t>
                  </w:r>
                </w:p>
              </w:tc>
              <w:tc>
                <w:tcPr>
                  <w:tcW w:w="709" w:type="dxa"/>
                </w:tcPr>
                <w:p w14:paraId="5241E4AD">
                  <w:pPr>
                    <w:pStyle w:val="154"/>
                    <w:rPr>
                      <w:b/>
                      <w:sz w:val="21"/>
                      <w:szCs w:val="21"/>
                      <w:u w:val="single"/>
                    </w:rPr>
                  </w:pPr>
                </w:p>
                <w:p w14:paraId="776BEFD1">
                  <w:pPr>
                    <w:pStyle w:val="45"/>
                  </w:pPr>
                </w:p>
                <w:p w14:paraId="1908A909">
                  <w:pPr>
                    <w:pStyle w:val="45"/>
                    <w:jc w:val="center"/>
                    <w:rPr>
                      <w:rFonts w:ascii="Times New Roman" w:hAnsi="Times New Roman" w:cs="Times New Roman"/>
                      <w:b/>
                      <w:sz w:val="21"/>
                      <w:u w:val="single"/>
                    </w:rPr>
                  </w:pPr>
                  <w:r>
                    <w:rPr>
                      <w:rFonts w:hint="eastAsia" w:ascii="Times New Roman" w:hAnsi="Times New Roman" w:cs="Times New Roman"/>
                      <w:b/>
                      <w:sz w:val="21"/>
                      <w:u w:val="single"/>
                    </w:rPr>
                    <w:t>12</w:t>
                  </w:r>
                  <w:r>
                    <w:rPr>
                      <w:rFonts w:ascii="Times New Roman" w:hAnsi="Times New Roman" w:cs="Times New Roman"/>
                      <w:b/>
                      <w:sz w:val="21"/>
                      <w:u w:val="single"/>
                    </w:rPr>
                    <w:t>000</w:t>
                  </w:r>
                </w:p>
              </w:tc>
              <w:tc>
                <w:tcPr>
                  <w:tcW w:w="709" w:type="dxa"/>
                  <w:vMerge w:val="continue"/>
                  <w:vAlign w:val="center"/>
                </w:tcPr>
                <w:p w14:paraId="15302617">
                  <w:pPr>
                    <w:pStyle w:val="154"/>
                    <w:rPr>
                      <w:b/>
                      <w:sz w:val="21"/>
                      <w:szCs w:val="21"/>
                      <w:u w:val="single"/>
                    </w:rPr>
                  </w:pPr>
                </w:p>
              </w:tc>
              <w:tc>
                <w:tcPr>
                  <w:tcW w:w="529" w:type="dxa"/>
                  <w:vMerge w:val="continue"/>
                  <w:vAlign w:val="center"/>
                </w:tcPr>
                <w:p w14:paraId="7633CA31">
                  <w:pPr>
                    <w:pStyle w:val="154"/>
                    <w:rPr>
                      <w:b/>
                      <w:sz w:val="21"/>
                      <w:szCs w:val="21"/>
                      <w:u w:val="single"/>
                    </w:rPr>
                  </w:pPr>
                </w:p>
              </w:tc>
            </w:tr>
            <w:tr w14:paraId="4856D7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45" w:hRule="atLeast"/>
                <w:jc w:val="center"/>
              </w:trPr>
              <w:tc>
                <w:tcPr>
                  <w:tcW w:w="439" w:type="dxa"/>
                  <w:vAlign w:val="center"/>
                </w:tcPr>
                <w:p w14:paraId="24BD3E8E">
                  <w:pPr>
                    <w:pStyle w:val="154"/>
                    <w:rPr>
                      <w:b/>
                      <w:sz w:val="21"/>
                      <w:szCs w:val="21"/>
                      <w:u w:val="single"/>
                    </w:rPr>
                  </w:pPr>
                  <w:r>
                    <w:rPr>
                      <w:rFonts w:hint="eastAsia"/>
                      <w:b/>
                      <w:sz w:val="21"/>
                      <w:szCs w:val="21"/>
                      <w:u w:val="single"/>
                    </w:rPr>
                    <w:t>3</w:t>
                  </w:r>
                </w:p>
              </w:tc>
              <w:tc>
                <w:tcPr>
                  <w:tcW w:w="664" w:type="dxa"/>
                  <w:vAlign w:val="center"/>
                </w:tcPr>
                <w:p w14:paraId="2BCB4CC0">
                  <w:pPr>
                    <w:pStyle w:val="154"/>
                    <w:rPr>
                      <w:b/>
                      <w:sz w:val="21"/>
                      <w:szCs w:val="21"/>
                      <w:u w:val="single"/>
                    </w:rPr>
                  </w:pPr>
                  <w:r>
                    <w:rPr>
                      <w:rFonts w:hint="eastAsia"/>
                      <w:b/>
                      <w:sz w:val="21"/>
                      <w:szCs w:val="21"/>
                      <w:u w:val="single"/>
                    </w:rPr>
                    <w:t>鞋帮加工</w:t>
                  </w:r>
                </w:p>
              </w:tc>
              <w:tc>
                <w:tcPr>
                  <w:tcW w:w="775" w:type="dxa"/>
                  <w:vAlign w:val="center"/>
                </w:tcPr>
                <w:p w14:paraId="0F245521">
                  <w:pPr>
                    <w:pStyle w:val="154"/>
                    <w:rPr>
                      <w:b/>
                      <w:sz w:val="21"/>
                      <w:szCs w:val="21"/>
                      <w:u w:val="single"/>
                    </w:rPr>
                  </w:pPr>
                  <w:r>
                    <w:rPr>
                      <w:rFonts w:hint="eastAsia"/>
                      <w:b/>
                      <w:sz w:val="21"/>
                      <w:szCs w:val="21"/>
                      <w:u w:val="single"/>
                    </w:rPr>
                    <w:t>激光切割</w:t>
                  </w:r>
                </w:p>
              </w:tc>
              <w:tc>
                <w:tcPr>
                  <w:tcW w:w="553" w:type="dxa"/>
                  <w:vAlign w:val="center"/>
                </w:tcPr>
                <w:p w14:paraId="43D93A52">
                  <w:pPr>
                    <w:pStyle w:val="154"/>
                    <w:rPr>
                      <w:b/>
                      <w:sz w:val="21"/>
                      <w:szCs w:val="21"/>
                      <w:u w:val="single"/>
                    </w:rPr>
                  </w:pPr>
                  <w:r>
                    <w:rPr>
                      <w:b/>
                      <w:sz w:val="21"/>
                      <w:szCs w:val="21"/>
                      <w:u w:val="single"/>
                    </w:rPr>
                    <w:t>非甲烷总烃</w:t>
                  </w:r>
                </w:p>
              </w:tc>
              <w:tc>
                <w:tcPr>
                  <w:tcW w:w="1729" w:type="dxa"/>
                  <w:vAlign w:val="center"/>
                </w:tcPr>
                <w:p w14:paraId="6F0A6648">
                  <w:pPr>
                    <w:pStyle w:val="154"/>
                    <w:rPr>
                      <w:b/>
                      <w:sz w:val="21"/>
                      <w:szCs w:val="21"/>
                      <w:u w:val="single"/>
                    </w:rPr>
                  </w:pPr>
                  <w:r>
                    <w:rPr>
                      <w:rFonts w:hint="eastAsia"/>
                      <w:b/>
                      <w:sz w:val="21"/>
                      <w:szCs w:val="21"/>
                      <w:u w:val="single"/>
                    </w:rPr>
                    <w:t>产生量</w:t>
                  </w:r>
                  <w:r>
                    <w:rPr>
                      <w:b/>
                      <w:sz w:val="21"/>
                      <w:szCs w:val="21"/>
                      <w:u w:val="single"/>
                    </w:rPr>
                    <w:t>:</w:t>
                  </w:r>
                  <w:r>
                    <w:rPr>
                      <w:rFonts w:hint="eastAsia"/>
                      <w:b/>
                      <w:sz w:val="21"/>
                      <w:szCs w:val="21"/>
                      <w:u w:val="single"/>
                    </w:rPr>
                    <w:t>0.3015t</w:t>
                  </w:r>
                  <w:r>
                    <w:rPr>
                      <w:b/>
                      <w:sz w:val="21"/>
                      <w:szCs w:val="21"/>
                      <w:u w:val="single"/>
                    </w:rPr>
                    <w:t>/a</w:t>
                  </w:r>
                </w:p>
                <w:p w14:paraId="070208E5">
                  <w:pPr>
                    <w:pStyle w:val="154"/>
                    <w:rPr>
                      <w:b/>
                      <w:sz w:val="21"/>
                      <w:szCs w:val="21"/>
                      <w:u w:val="single"/>
                    </w:rPr>
                  </w:pPr>
                  <w:r>
                    <w:rPr>
                      <w:rFonts w:hint="eastAsia"/>
                      <w:b/>
                      <w:sz w:val="21"/>
                      <w:szCs w:val="21"/>
                      <w:u w:val="single"/>
                    </w:rPr>
                    <w:t>速率</w:t>
                  </w:r>
                  <w:r>
                    <w:rPr>
                      <w:b/>
                      <w:sz w:val="21"/>
                      <w:szCs w:val="21"/>
                      <w:u w:val="single"/>
                    </w:rPr>
                    <w:t>:</w:t>
                  </w:r>
                  <w:r>
                    <w:rPr>
                      <w:rFonts w:hint="eastAsia"/>
                      <w:b/>
                      <w:sz w:val="21"/>
                      <w:szCs w:val="21"/>
                      <w:u w:val="single"/>
                    </w:rPr>
                    <w:t>0.126</w:t>
                  </w:r>
                  <w:r>
                    <w:rPr>
                      <w:b/>
                      <w:sz w:val="21"/>
                      <w:szCs w:val="21"/>
                      <w:u w:val="single"/>
                    </w:rPr>
                    <w:t>kg/h</w:t>
                  </w:r>
                </w:p>
                <w:p w14:paraId="4322BF2C">
                  <w:pPr>
                    <w:pStyle w:val="154"/>
                    <w:rPr>
                      <w:b/>
                      <w:sz w:val="21"/>
                      <w:szCs w:val="21"/>
                      <w:u w:val="single"/>
                    </w:rPr>
                  </w:pPr>
                  <w:r>
                    <w:rPr>
                      <w:rFonts w:hint="eastAsia"/>
                      <w:b/>
                      <w:sz w:val="21"/>
                      <w:szCs w:val="21"/>
                      <w:u w:val="single"/>
                    </w:rPr>
                    <w:t>浓度</w:t>
                  </w:r>
                  <w:r>
                    <w:rPr>
                      <w:b/>
                      <w:sz w:val="21"/>
                      <w:szCs w:val="21"/>
                      <w:u w:val="single"/>
                    </w:rPr>
                    <w:t>:</w:t>
                  </w:r>
                  <w:r>
                    <w:rPr>
                      <w:rFonts w:hint="eastAsia"/>
                      <w:b/>
                      <w:sz w:val="21"/>
                      <w:szCs w:val="21"/>
                      <w:u w:val="single"/>
                    </w:rPr>
                    <w:t>21.00</w:t>
                  </w:r>
                  <w:r>
                    <w:rPr>
                      <w:b/>
                      <w:sz w:val="21"/>
                      <w:szCs w:val="21"/>
                      <w:u w:val="single"/>
                    </w:rPr>
                    <w:t>mg/m</w:t>
                  </w:r>
                  <w:r>
                    <w:rPr>
                      <w:b/>
                      <w:sz w:val="21"/>
                      <w:szCs w:val="21"/>
                      <w:u w:val="single"/>
                      <w:vertAlign w:val="superscript"/>
                    </w:rPr>
                    <w:t>3</w:t>
                  </w:r>
                </w:p>
              </w:tc>
              <w:tc>
                <w:tcPr>
                  <w:tcW w:w="850" w:type="dxa"/>
                  <w:vAlign w:val="center"/>
                </w:tcPr>
                <w:p w14:paraId="68B9DA16">
                  <w:pPr>
                    <w:pStyle w:val="154"/>
                    <w:rPr>
                      <w:b/>
                      <w:sz w:val="21"/>
                      <w:szCs w:val="21"/>
                      <w:u w:val="single"/>
                    </w:rPr>
                  </w:pPr>
                  <w:r>
                    <w:rPr>
                      <w:b/>
                      <w:sz w:val="21"/>
                      <w:szCs w:val="21"/>
                      <w:u w:val="single"/>
                    </w:rPr>
                    <w:t>有组织</w:t>
                  </w:r>
                </w:p>
              </w:tc>
              <w:tc>
                <w:tcPr>
                  <w:tcW w:w="1276" w:type="dxa"/>
                  <w:vMerge w:val="continue"/>
                  <w:vAlign w:val="center"/>
                </w:tcPr>
                <w:p w14:paraId="4FFD053D">
                  <w:pPr>
                    <w:pStyle w:val="154"/>
                    <w:rPr>
                      <w:b/>
                      <w:sz w:val="21"/>
                      <w:szCs w:val="21"/>
                      <w:u w:val="single"/>
                    </w:rPr>
                  </w:pPr>
                </w:p>
              </w:tc>
              <w:tc>
                <w:tcPr>
                  <w:tcW w:w="709" w:type="dxa"/>
                  <w:vAlign w:val="center"/>
                </w:tcPr>
                <w:p w14:paraId="07365AA9">
                  <w:pPr>
                    <w:pStyle w:val="154"/>
                    <w:rPr>
                      <w:b/>
                      <w:sz w:val="21"/>
                      <w:szCs w:val="21"/>
                      <w:u w:val="single"/>
                    </w:rPr>
                  </w:pPr>
                  <w:r>
                    <w:rPr>
                      <w:b/>
                      <w:sz w:val="21"/>
                      <w:szCs w:val="21"/>
                      <w:u w:val="single"/>
                    </w:rPr>
                    <w:t>90%</w:t>
                  </w:r>
                </w:p>
              </w:tc>
              <w:tc>
                <w:tcPr>
                  <w:tcW w:w="567" w:type="dxa"/>
                  <w:vAlign w:val="center"/>
                </w:tcPr>
                <w:p w14:paraId="6D1552E3">
                  <w:pPr>
                    <w:pStyle w:val="154"/>
                    <w:rPr>
                      <w:b/>
                      <w:sz w:val="21"/>
                      <w:szCs w:val="21"/>
                      <w:u w:val="single"/>
                    </w:rPr>
                  </w:pPr>
                  <w:r>
                    <w:rPr>
                      <w:rFonts w:hint="eastAsia"/>
                      <w:b/>
                      <w:sz w:val="21"/>
                      <w:szCs w:val="21"/>
                      <w:u w:val="single"/>
                    </w:rPr>
                    <w:t>8</w:t>
                  </w:r>
                  <w:r>
                    <w:rPr>
                      <w:b/>
                      <w:sz w:val="21"/>
                      <w:szCs w:val="21"/>
                      <w:u w:val="single"/>
                    </w:rPr>
                    <w:t>0%</w:t>
                  </w:r>
                </w:p>
              </w:tc>
              <w:tc>
                <w:tcPr>
                  <w:tcW w:w="283" w:type="dxa"/>
                  <w:vAlign w:val="center"/>
                </w:tcPr>
                <w:p w14:paraId="7FADA885">
                  <w:pPr>
                    <w:pStyle w:val="154"/>
                    <w:rPr>
                      <w:b/>
                      <w:sz w:val="21"/>
                      <w:szCs w:val="21"/>
                      <w:u w:val="single"/>
                    </w:rPr>
                  </w:pPr>
                  <w:r>
                    <w:rPr>
                      <w:rFonts w:hint="eastAsia"/>
                      <w:b/>
                      <w:sz w:val="21"/>
                      <w:szCs w:val="21"/>
                      <w:u w:val="single"/>
                    </w:rPr>
                    <w:t>是</w:t>
                  </w:r>
                </w:p>
              </w:tc>
              <w:tc>
                <w:tcPr>
                  <w:tcW w:w="1559" w:type="dxa"/>
                  <w:vAlign w:val="center"/>
                </w:tcPr>
                <w:p w14:paraId="5158C5AE">
                  <w:pPr>
                    <w:pStyle w:val="154"/>
                    <w:rPr>
                      <w:b/>
                      <w:sz w:val="21"/>
                      <w:szCs w:val="21"/>
                      <w:u w:val="single"/>
                    </w:rPr>
                  </w:pPr>
                  <w:r>
                    <w:rPr>
                      <w:rFonts w:hint="eastAsia"/>
                      <w:b/>
                      <w:sz w:val="21"/>
                      <w:szCs w:val="21"/>
                      <w:u w:val="single"/>
                    </w:rPr>
                    <w:t>排放量</w:t>
                  </w:r>
                  <w:r>
                    <w:rPr>
                      <w:b/>
                      <w:sz w:val="21"/>
                      <w:szCs w:val="21"/>
                      <w:u w:val="single"/>
                    </w:rPr>
                    <w:t>:</w:t>
                  </w:r>
                  <w:r>
                    <w:rPr>
                      <w:rFonts w:hint="eastAsia"/>
                      <w:b/>
                      <w:sz w:val="21"/>
                      <w:szCs w:val="21"/>
                      <w:u w:val="single"/>
                    </w:rPr>
                    <w:t>0.0603</w:t>
                  </w:r>
                  <w:r>
                    <w:rPr>
                      <w:b/>
                      <w:sz w:val="21"/>
                      <w:szCs w:val="21"/>
                      <w:u w:val="single"/>
                    </w:rPr>
                    <w:t>t/a</w:t>
                  </w:r>
                </w:p>
                <w:p w14:paraId="2980DC6A">
                  <w:pPr>
                    <w:pStyle w:val="154"/>
                    <w:rPr>
                      <w:b/>
                      <w:sz w:val="21"/>
                      <w:szCs w:val="21"/>
                      <w:u w:val="single"/>
                    </w:rPr>
                  </w:pPr>
                  <w:r>
                    <w:rPr>
                      <w:rFonts w:hint="eastAsia"/>
                      <w:b/>
                      <w:sz w:val="21"/>
                      <w:szCs w:val="21"/>
                      <w:u w:val="single"/>
                    </w:rPr>
                    <w:t>速率</w:t>
                  </w:r>
                  <w:r>
                    <w:rPr>
                      <w:b/>
                      <w:sz w:val="21"/>
                      <w:szCs w:val="21"/>
                      <w:u w:val="single"/>
                    </w:rPr>
                    <w:t>:</w:t>
                  </w:r>
                  <w:r>
                    <w:rPr>
                      <w:rFonts w:hint="eastAsia"/>
                      <w:b/>
                      <w:sz w:val="21"/>
                      <w:szCs w:val="21"/>
                      <w:u w:val="single"/>
                    </w:rPr>
                    <w:t>0.025</w:t>
                  </w:r>
                  <w:r>
                    <w:rPr>
                      <w:b/>
                      <w:sz w:val="21"/>
                      <w:szCs w:val="21"/>
                      <w:u w:val="single"/>
                    </w:rPr>
                    <w:t>kg/h</w:t>
                  </w:r>
                </w:p>
                <w:p w14:paraId="4DAF8980">
                  <w:pPr>
                    <w:pStyle w:val="154"/>
                    <w:rPr>
                      <w:b/>
                      <w:sz w:val="21"/>
                      <w:szCs w:val="21"/>
                      <w:u w:val="single"/>
                    </w:rPr>
                  </w:pPr>
                  <w:r>
                    <w:rPr>
                      <w:rFonts w:hint="eastAsia"/>
                      <w:b/>
                      <w:sz w:val="21"/>
                      <w:szCs w:val="21"/>
                      <w:u w:val="single"/>
                    </w:rPr>
                    <w:t>浓度</w:t>
                  </w:r>
                  <w:r>
                    <w:rPr>
                      <w:b/>
                      <w:sz w:val="21"/>
                      <w:szCs w:val="21"/>
                      <w:u w:val="single"/>
                    </w:rPr>
                    <w:t>:</w:t>
                  </w:r>
                  <w:r>
                    <w:rPr>
                      <w:rFonts w:hint="eastAsia"/>
                      <w:b/>
                      <w:sz w:val="21"/>
                      <w:szCs w:val="21"/>
                      <w:u w:val="single"/>
                    </w:rPr>
                    <w:t>4.17</w:t>
                  </w:r>
                  <w:r>
                    <w:rPr>
                      <w:b/>
                      <w:sz w:val="21"/>
                      <w:szCs w:val="21"/>
                      <w:u w:val="single"/>
                    </w:rPr>
                    <w:t>mg/m</w:t>
                  </w:r>
                  <w:r>
                    <w:rPr>
                      <w:b/>
                      <w:sz w:val="21"/>
                      <w:szCs w:val="21"/>
                      <w:u w:val="single"/>
                      <w:vertAlign w:val="superscript"/>
                    </w:rPr>
                    <w:t>3</w:t>
                  </w:r>
                </w:p>
              </w:tc>
              <w:tc>
                <w:tcPr>
                  <w:tcW w:w="1701" w:type="dxa"/>
                  <w:vMerge w:val="continue"/>
                </w:tcPr>
                <w:p w14:paraId="004DBD59">
                  <w:pPr>
                    <w:pStyle w:val="154"/>
                    <w:rPr>
                      <w:b/>
                      <w:sz w:val="21"/>
                      <w:szCs w:val="21"/>
                      <w:u w:val="single"/>
                    </w:rPr>
                  </w:pPr>
                </w:p>
              </w:tc>
              <w:tc>
                <w:tcPr>
                  <w:tcW w:w="709" w:type="dxa"/>
                  <w:vAlign w:val="center"/>
                </w:tcPr>
                <w:p w14:paraId="421EBB41">
                  <w:pPr>
                    <w:pStyle w:val="154"/>
                    <w:rPr>
                      <w:b/>
                      <w:sz w:val="21"/>
                      <w:szCs w:val="21"/>
                      <w:u w:val="single"/>
                    </w:rPr>
                  </w:pPr>
                  <w:r>
                    <w:rPr>
                      <w:rFonts w:hint="eastAsia"/>
                      <w:b/>
                      <w:sz w:val="21"/>
                      <w:szCs w:val="21"/>
                      <w:u w:val="single"/>
                    </w:rPr>
                    <w:t>40</w:t>
                  </w:r>
                </w:p>
              </w:tc>
              <w:tc>
                <w:tcPr>
                  <w:tcW w:w="567" w:type="dxa"/>
                  <w:vAlign w:val="center"/>
                </w:tcPr>
                <w:p w14:paraId="632951BC">
                  <w:pPr>
                    <w:pStyle w:val="154"/>
                    <w:rPr>
                      <w:b/>
                      <w:sz w:val="21"/>
                      <w:szCs w:val="21"/>
                      <w:u w:val="single"/>
                    </w:rPr>
                  </w:pPr>
                  <w:r>
                    <w:rPr>
                      <w:rFonts w:hint="eastAsia"/>
                      <w:b/>
                      <w:sz w:val="21"/>
                      <w:szCs w:val="21"/>
                      <w:u w:val="single"/>
                    </w:rPr>
                    <w:t>2400</w:t>
                  </w:r>
                </w:p>
              </w:tc>
              <w:tc>
                <w:tcPr>
                  <w:tcW w:w="709" w:type="dxa"/>
                </w:tcPr>
                <w:p w14:paraId="2968EAB5">
                  <w:pPr>
                    <w:pStyle w:val="154"/>
                    <w:rPr>
                      <w:b/>
                      <w:sz w:val="21"/>
                      <w:szCs w:val="21"/>
                      <w:u w:val="single"/>
                    </w:rPr>
                  </w:pPr>
                </w:p>
                <w:p w14:paraId="7222842C">
                  <w:pPr>
                    <w:pStyle w:val="154"/>
                    <w:rPr>
                      <w:b/>
                      <w:sz w:val="21"/>
                      <w:szCs w:val="21"/>
                      <w:u w:val="single"/>
                    </w:rPr>
                  </w:pPr>
                </w:p>
                <w:p w14:paraId="7213D198">
                  <w:pPr>
                    <w:pStyle w:val="154"/>
                    <w:rPr>
                      <w:b/>
                      <w:sz w:val="21"/>
                      <w:szCs w:val="21"/>
                      <w:u w:val="single"/>
                    </w:rPr>
                  </w:pPr>
                  <w:r>
                    <w:rPr>
                      <w:rFonts w:hint="eastAsia"/>
                      <w:b/>
                      <w:sz w:val="21"/>
                      <w:szCs w:val="21"/>
                      <w:u w:val="single"/>
                    </w:rPr>
                    <w:t>6000</w:t>
                  </w:r>
                </w:p>
              </w:tc>
              <w:tc>
                <w:tcPr>
                  <w:tcW w:w="709" w:type="dxa"/>
                  <w:vMerge w:val="continue"/>
                  <w:vAlign w:val="center"/>
                </w:tcPr>
                <w:p w14:paraId="071DE6D3">
                  <w:pPr>
                    <w:pStyle w:val="154"/>
                    <w:rPr>
                      <w:b/>
                      <w:sz w:val="21"/>
                      <w:szCs w:val="21"/>
                      <w:u w:val="single"/>
                    </w:rPr>
                  </w:pPr>
                </w:p>
              </w:tc>
              <w:tc>
                <w:tcPr>
                  <w:tcW w:w="529" w:type="dxa"/>
                  <w:vMerge w:val="continue"/>
                  <w:vAlign w:val="center"/>
                </w:tcPr>
                <w:p w14:paraId="20FDB4BD">
                  <w:pPr>
                    <w:pStyle w:val="154"/>
                    <w:rPr>
                      <w:b/>
                      <w:sz w:val="21"/>
                      <w:szCs w:val="21"/>
                      <w:u w:val="single"/>
                    </w:rPr>
                  </w:pPr>
                </w:p>
              </w:tc>
            </w:tr>
            <w:tr w14:paraId="56802F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41" w:hRule="atLeast"/>
                <w:jc w:val="center"/>
              </w:trPr>
              <w:tc>
                <w:tcPr>
                  <w:tcW w:w="439" w:type="dxa"/>
                  <w:vMerge w:val="restart"/>
                  <w:vAlign w:val="center"/>
                </w:tcPr>
                <w:p w14:paraId="33F9917F">
                  <w:pPr>
                    <w:pStyle w:val="154"/>
                    <w:rPr>
                      <w:b/>
                      <w:sz w:val="21"/>
                      <w:szCs w:val="21"/>
                      <w:u w:val="single"/>
                    </w:rPr>
                  </w:pPr>
                  <w:r>
                    <w:rPr>
                      <w:rFonts w:hint="eastAsia"/>
                      <w:b/>
                      <w:sz w:val="21"/>
                      <w:szCs w:val="21"/>
                      <w:u w:val="single"/>
                    </w:rPr>
                    <w:t>4</w:t>
                  </w:r>
                </w:p>
              </w:tc>
              <w:tc>
                <w:tcPr>
                  <w:tcW w:w="664" w:type="dxa"/>
                  <w:vMerge w:val="restart"/>
                  <w:vAlign w:val="center"/>
                </w:tcPr>
                <w:p w14:paraId="5D875AF8">
                  <w:pPr>
                    <w:pStyle w:val="154"/>
                    <w:rPr>
                      <w:b/>
                      <w:sz w:val="21"/>
                      <w:szCs w:val="21"/>
                      <w:u w:val="single"/>
                    </w:rPr>
                  </w:pPr>
                  <w:r>
                    <w:rPr>
                      <w:rFonts w:hint="eastAsia"/>
                      <w:b/>
                      <w:sz w:val="21"/>
                      <w:szCs w:val="21"/>
                      <w:u w:val="single"/>
                    </w:rPr>
                    <w:t>生产车间</w:t>
                  </w:r>
                </w:p>
              </w:tc>
              <w:tc>
                <w:tcPr>
                  <w:tcW w:w="775" w:type="dxa"/>
                  <w:vMerge w:val="restart"/>
                  <w:vAlign w:val="center"/>
                </w:tcPr>
                <w:p w14:paraId="1BE620C7">
                  <w:pPr>
                    <w:pStyle w:val="154"/>
                    <w:rPr>
                      <w:b/>
                      <w:sz w:val="21"/>
                      <w:szCs w:val="21"/>
                      <w:u w:val="single"/>
                    </w:rPr>
                  </w:pPr>
                  <w:r>
                    <w:rPr>
                      <w:rFonts w:hint="eastAsia"/>
                      <w:b/>
                      <w:sz w:val="21"/>
                      <w:szCs w:val="21"/>
                      <w:u w:val="single"/>
                    </w:rPr>
                    <w:t>生产加工</w:t>
                  </w:r>
                </w:p>
              </w:tc>
              <w:tc>
                <w:tcPr>
                  <w:tcW w:w="553" w:type="dxa"/>
                  <w:vAlign w:val="center"/>
                </w:tcPr>
                <w:p w14:paraId="433BA550">
                  <w:pPr>
                    <w:pStyle w:val="154"/>
                    <w:rPr>
                      <w:b/>
                      <w:sz w:val="21"/>
                      <w:szCs w:val="21"/>
                      <w:u w:val="single"/>
                    </w:rPr>
                  </w:pPr>
                  <w:r>
                    <w:rPr>
                      <w:b/>
                      <w:sz w:val="21"/>
                      <w:szCs w:val="21"/>
                      <w:u w:val="single"/>
                    </w:rPr>
                    <w:t>非甲烷总烃</w:t>
                  </w:r>
                </w:p>
              </w:tc>
              <w:tc>
                <w:tcPr>
                  <w:tcW w:w="1729" w:type="dxa"/>
                  <w:vAlign w:val="center"/>
                </w:tcPr>
                <w:p w14:paraId="26FD402A">
                  <w:pPr>
                    <w:pStyle w:val="154"/>
                    <w:rPr>
                      <w:b/>
                      <w:sz w:val="21"/>
                      <w:szCs w:val="21"/>
                      <w:u w:val="single"/>
                    </w:rPr>
                  </w:pPr>
                  <w:r>
                    <w:rPr>
                      <w:rFonts w:hint="eastAsia"/>
                      <w:b/>
                      <w:sz w:val="21"/>
                      <w:szCs w:val="21"/>
                      <w:u w:val="single"/>
                    </w:rPr>
                    <w:t>0.0841</w:t>
                  </w:r>
                  <w:r>
                    <w:rPr>
                      <w:b/>
                      <w:sz w:val="21"/>
                      <w:szCs w:val="21"/>
                      <w:u w:val="single"/>
                    </w:rPr>
                    <w:t>t/a</w:t>
                  </w:r>
                </w:p>
              </w:tc>
              <w:tc>
                <w:tcPr>
                  <w:tcW w:w="850" w:type="dxa"/>
                  <w:vMerge w:val="restart"/>
                  <w:vAlign w:val="center"/>
                </w:tcPr>
                <w:p w14:paraId="25414DB3">
                  <w:pPr>
                    <w:pStyle w:val="154"/>
                    <w:rPr>
                      <w:b/>
                      <w:sz w:val="21"/>
                      <w:szCs w:val="21"/>
                      <w:u w:val="single"/>
                    </w:rPr>
                  </w:pPr>
                  <w:r>
                    <w:rPr>
                      <w:b/>
                      <w:sz w:val="21"/>
                      <w:szCs w:val="21"/>
                      <w:u w:val="single"/>
                    </w:rPr>
                    <w:t>无组织</w:t>
                  </w:r>
                </w:p>
              </w:tc>
              <w:tc>
                <w:tcPr>
                  <w:tcW w:w="1276" w:type="dxa"/>
                  <w:vMerge w:val="restart"/>
                  <w:vAlign w:val="center"/>
                </w:tcPr>
                <w:p w14:paraId="1B55C467">
                  <w:pPr>
                    <w:pStyle w:val="154"/>
                    <w:rPr>
                      <w:b/>
                      <w:sz w:val="21"/>
                      <w:szCs w:val="21"/>
                      <w:u w:val="single"/>
                    </w:rPr>
                  </w:pPr>
                  <w:r>
                    <w:rPr>
                      <w:rFonts w:hint="eastAsia"/>
                      <w:b/>
                      <w:sz w:val="21"/>
                      <w:szCs w:val="21"/>
                      <w:u w:val="single"/>
                    </w:rPr>
                    <w:t>车间密闭</w:t>
                  </w:r>
                </w:p>
              </w:tc>
              <w:tc>
                <w:tcPr>
                  <w:tcW w:w="709" w:type="dxa"/>
                  <w:vMerge w:val="restart"/>
                  <w:vAlign w:val="center"/>
                </w:tcPr>
                <w:p w14:paraId="0B8BE8BA">
                  <w:pPr>
                    <w:pStyle w:val="154"/>
                    <w:rPr>
                      <w:b/>
                      <w:sz w:val="21"/>
                      <w:szCs w:val="21"/>
                      <w:u w:val="single"/>
                    </w:rPr>
                  </w:pPr>
                  <w:r>
                    <w:rPr>
                      <w:rFonts w:hint="eastAsia"/>
                      <w:b/>
                      <w:sz w:val="21"/>
                      <w:szCs w:val="21"/>
                      <w:u w:val="single"/>
                    </w:rPr>
                    <w:t>/</w:t>
                  </w:r>
                </w:p>
              </w:tc>
              <w:tc>
                <w:tcPr>
                  <w:tcW w:w="567" w:type="dxa"/>
                  <w:vMerge w:val="restart"/>
                  <w:vAlign w:val="center"/>
                </w:tcPr>
                <w:p w14:paraId="5D84C2AE">
                  <w:pPr>
                    <w:pStyle w:val="154"/>
                    <w:rPr>
                      <w:b/>
                      <w:sz w:val="21"/>
                      <w:szCs w:val="21"/>
                      <w:u w:val="single"/>
                    </w:rPr>
                  </w:pPr>
                  <w:r>
                    <w:rPr>
                      <w:rFonts w:hint="eastAsia"/>
                      <w:b/>
                      <w:sz w:val="21"/>
                      <w:szCs w:val="21"/>
                      <w:u w:val="single"/>
                    </w:rPr>
                    <w:t>/</w:t>
                  </w:r>
                </w:p>
              </w:tc>
              <w:tc>
                <w:tcPr>
                  <w:tcW w:w="283" w:type="dxa"/>
                  <w:vMerge w:val="restart"/>
                  <w:vAlign w:val="center"/>
                </w:tcPr>
                <w:p w14:paraId="12C24EC4">
                  <w:pPr>
                    <w:pStyle w:val="154"/>
                    <w:rPr>
                      <w:b/>
                      <w:sz w:val="21"/>
                      <w:szCs w:val="21"/>
                      <w:u w:val="single"/>
                    </w:rPr>
                  </w:pPr>
                  <w:r>
                    <w:rPr>
                      <w:rFonts w:hint="eastAsia"/>
                      <w:b/>
                      <w:sz w:val="21"/>
                      <w:szCs w:val="21"/>
                      <w:u w:val="single"/>
                    </w:rPr>
                    <w:t>/</w:t>
                  </w:r>
                </w:p>
              </w:tc>
              <w:tc>
                <w:tcPr>
                  <w:tcW w:w="3260" w:type="dxa"/>
                  <w:gridSpan w:val="2"/>
                  <w:vAlign w:val="center"/>
                </w:tcPr>
                <w:p w14:paraId="3195BA84">
                  <w:pPr>
                    <w:pStyle w:val="154"/>
                    <w:rPr>
                      <w:b/>
                      <w:sz w:val="21"/>
                      <w:szCs w:val="21"/>
                      <w:u w:val="single"/>
                    </w:rPr>
                  </w:pPr>
                  <w:r>
                    <w:rPr>
                      <w:rFonts w:hint="eastAsia"/>
                      <w:b/>
                      <w:sz w:val="21"/>
                      <w:szCs w:val="21"/>
                      <w:u w:val="single"/>
                    </w:rPr>
                    <w:t>0.0841</w:t>
                  </w:r>
                  <w:r>
                    <w:rPr>
                      <w:b/>
                      <w:sz w:val="21"/>
                      <w:szCs w:val="21"/>
                      <w:u w:val="single"/>
                    </w:rPr>
                    <w:t>t/a</w:t>
                  </w:r>
                </w:p>
              </w:tc>
              <w:tc>
                <w:tcPr>
                  <w:tcW w:w="709" w:type="dxa"/>
                  <w:vAlign w:val="center"/>
                </w:tcPr>
                <w:p w14:paraId="74D221C1">
                  <w:pPr>
                    <w:pStyle w:val="154"/>
                    <w:rPr>
                      <w:b/>
                      <w:sz w:val="21"/>
                      <w:szCs w:val="21"/>
                      <w:u w:val="single"/>
                    </w:rPr>
                  </w:pPr>
                  <w:r>
                    <w:rPr>
                      <w:rFonts w:hint="eastAsia"/>
                      <w:b/>
                      <w:sz w:val="21"/>
                      <w:szCs w:val="21"/>
                      <w:u w:val="single"/>
                    </w:rPr>
                    <w:t>2.0</w:t>
                  </w:r>
                </w:p>
              </w:tc>
              <w:tc>
                <w:tcPr>
                  <w:tcW w:w="567" w:type="dxa"/>
                  <w:vAlign w:val="center"/>
                </w:tcPr>
                <w:p w14:paraId="7777A7C2">
                  <w:pPr>
                    <w:pStyle w:val="154"/>
                    <w:rPr>
                      <w:b/>
                      <w:sz w:val="21"/>
                      <w:szCs w:val="21"/>
                      <w:u w:val="single"/>
                    </w:rPr>
                  </w:pPr>
                  <w:r>
                    <w:rPr>
                      <w:rFonts w:hint="eastAsia"/>
                      <w:b/>
                      <w:sz w:val="21"/>
                      <w:szCs w:val="21"/>
                      <w:u w:val="single"/>
                    </w:rPr>
                    <w:t>2400</w:t>
                  </w:r>
                </w:p>
              </w:tc>
              <w:tc>
                <w:tcPr>
                  <w:tcW w:w="709" w:type="dxa"/>
                </w:tcPr>
                <w:p w14:paraId="057AC199">
                  <w:pPr>
                    <w:pStyle w:val="154"/>
                    <w:rPr>
                      <w:b/>
                      <w:u w:val="single"/>
                    </w:rPr>
                  </w:pPr>
                </w:p>
              </w:tc>
              <w:tc>
                <w:tcPr>
                  <w:tcW w:w="1238" w:type="dxa"/>
                  <w:gridSpan w:val="2"/>
                  <w:vMerge w:val="restart"/>
                  <w:vAlign w:val="center"/>
                </w:tcPr>
                <w:p w14:paraId="62640D3C">
                  <w:pPr>
                    <w:pStyle w:val="154"/>
                    <w:rPr>
                      <w:b/>
                      <w:szCs w:val="22"/>
                      <w:u w:val="single"/>
                    </w:rPr>
                  </w:pPr>
                  <w:r>
                    <w:rPr>
                      <w:b/>
                      <w:u w:val="single"/>
                    </w:rPr>
                    <w:t>/</w:t>
                  </w:r>
                </w:p>
              </w:tc>
            </w:tr>
            <w:tr w14:paraId="65FBA9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439" w:type="dxa"/>
                  <w:vMerge w:val="continue"/>
                  <w:vAlign w:val="center"/>
                </w:tcPr>
                <w:p w14:paraId="3E95507F">
                  <w:pPr>
                    <w:pStyle w:val="154"/>
                    <w:rPr>
                      <w:b/>
                      <w:sz w:val="21"/>
                      <w:szCs w:val="21"/>
                      <w:u w:val="single"/>
                    </w:rPr>
                  </w:pPr>
                </w:p>
              </w:tc>
              <w:tc>
                <w:tcPr>
                  <w:tcW w:w="664" w:type="dxa"/>
                  <w:vMerge w:val="continue"/>
                  <w:vAlign w:val="center"/>
                </w:tcPr>
                <w:p w14:paraId="78E5B9E4">
                  <w:pPr>
                    <w:pStyle w:val="154"/>
                    <w:rPr>
                      <w:b/>
                      <w:sz w:val="21"/>
                      <w:szCs w:val="21"/>
                      <w:u w:val="single"/>
                    </w:rPr>
                  </w:pPr>
                </w:p>
              </w:tc>
              <w:tc>
                <w:tcPr>
                  <w:tcW w:w="775" w:type="dxa"/>
                  <w:vMerge w:val="continue"/>
                </w:tcPr>
                <w:p w14:paraId="1D2C2255">
                  <w:pPr>
                    <w:pStyle w:val="154"/>
                    <w:rPr>
                      <w:b/>
                      <w:sz w:val="21"/>
                      <w:szCs w:val="21"/>
                      <w:u w:val="single"/>
                    </w:rPr>
                  </w:pPr>
                </w:p>
              </w:tc>
              <w:tc>
                <w:tcPr>
                  <w:tcW w:w="553" w:type="dxa"/>
                  <w:vAlign w:val="center"/>
                </w:tcPr>
                <w:p w14:paraId="291F9A28">
                  <w:pPr>
                    <w:pStyle w:val="154"/>
                    <w:rPr>
                      <w:b/>
                      <w:sz w:val="21"/>
                      <w:szCs w:val="21"/>
                      <w:u w:val="single"/>
                    </w:rPr>
                  </w:pPr>
                  <w:r>
                    <w:rPr>
                      <w:b/>
                      <w:sz w:val="21"/>
                      <w:szCs w:val="21"/>
                      <w:u w:val="single"/>
                    </w:rPr>
                    <w:t>氯化氢</w:t>
                  </w:r>
                </w:p>
              </w:tc>
              <w:tc>
                <w:tcPr>
                  <w:tcW w:w="1729" w:type="dxa"/>
                  <w:vAlign w:val="center"/>
                </w:tcPr>
                <w:p w14:paraId="1DC7275E">
                  <w:pPr>
                    <w:pStyle w:val="154"/>
                    <w:rPr>
                      <w:b/>
                      <w:sz w:val="21"/>
                      <w:szCs w:val="21"/>
                      <w:u w:val="single"/>
                    </w:rPr>
                  </w:pPr>
                  <w:r>
                    <w:rPr>
                      <w:rFonts w:hint="eastAsia"/>
                      <w:b/>
                      <w:sz w:val="21"/>
                      <w:szCs w:val="21"/>
                      <w:u w:val="single"/>
                    </w:rPr>
                    <w:t>0.0009</w:t>
                  </w:r>
                  <w:r>
                    <w:rPr>
                      <w:b/>
                      <w:sz w:val="21"/>
                      <w:szCs w:val="21"/>
                      <w:u w:val="single"/>
                    </w:rPr>
                    <w:t>t/a</w:t>
                  </w:r>
                </w:p>
              </w:tc>
              <w:tc>
                <w:tcPr>
                  <w:tcW w:w="850" w:type="dxa"/>
                  <w:vMerge w:val="continue"/>
                  <w:vAlign w:val="center"/>
                </w:tcPr>
                <w:p w14:paraId="3D48909B">
                  <w:pPr>
                    <w:pStyle w:val="154"/>
                    <w:rPr>
                      <w:b/>
                      <w:sz w:val="21"/>
                      <w:szCs w:val="21"/>
                      <w:u w:val="single"/>
                    </w:rPr>
                  </w:pPr>
                </w:p>
              </w:tc>
              <w:tc>
                <w:tcPr>
                  <w:tcW w:w="1276" w:type="dxa"/>
                  <w:vMerge w:val="continue"/>
                  <w:vAlign w:val="center"/>
                </w:tcPr>
                <w:p w14:paraId="2C45D4E3">
                  <w:pPr>
                    <w:pStyle w:val="154"/>
                    <w:rPr>
                      <w:b/>
                      <w:sz w:val="21"/>
                      <w:szCs w:val="21"/>
                      <w:u w:val="single"/>
                    </w:rPr>
                  </w:pPr>
                </w:p>
              </w:tc>
              <w:tc>
                <w:tcPr>
                  <w:tcW w:w="709" w:type="dxa"/>
                  <w:vMerge w:val="continue"/>
                  <w:vAlign w:val="center"/>
                </w:tcPr>
                <w:p w14:paraId="504E2516">
                  <w:pPr>
                    <w:pStyle w:val="154"/>
                    <w:rPr>
                      <w:b/>
                      <w:sz w:val="21"/>
                      <w:szCs w:val="21"/>
                      <w:u w:val="single"/>
                    </w:rPr>
                  </w:pPr>
                </w:p>
              </w:tc>
              <w:tc>
                <w:tcPr>
                  <w:tcW w:w="567" w:type="dxa"/>
                  <w:vMerge w:val="continue"/>
                  <w:vAlign w:val="center"/>
                </w:tcPr>
                <w:p w14:paraId="40D672EA">
                  <w:pPr>
                    <w:pStyle w:val="154"/>
                    <w:rPr>
                      <w:b/>
                      <w:sz w:val="21"/>
                      <w:szCs w:val="21"/>
                      <w:u w:val="single"/>
                    </w:rPr>
                  </w:pPr>
                </w:p>
              </w:tc>
              <w:tc>
                <w:tcPr>
                  <w:tcW w:w="283" w:type="dxa"/>
                  <w:vMerge w:val="continue"/>
                  <w:vAlign w:val="center"/>
                </w:tcPr>
                <w:p w14:paraId="45F6BD3B">
                  <w:pPr>
                    <w:pStyle w:val="154"/>
                    <w:rPr>
                      <w:b/>
                      <w:sz w:val="21"/>
                      <w:szCs w:val="21"/>
                      <w:u w:val="single"/>
                    </w:rPr>
                  </w:pPr>
                </w:p>
              </w:tc>
              <w:tc>
                <w:tcPr>
                  <w:tcW w:w="3260" w:type="dxa"/>
                  <w:gridSpan w:val="2"/>
                  <w:vAlign w:val="center"/>
                </w:tcPr>
                <w:p w14:paraId="1119C132">
                  <w:pPr>
                    <w:pStyle w:val="154"/>
                    <w:rPr>
                      <w:b/>
                      <w:sz w:val="21"/>
                      <w:szCs w:val="21"/>
                      <w:u w:val="single"/>
                    </w:rPr>
                  </w:pPr>
                  <w:r>
                    <w:rPr>
                      <w:rFonts w:hint="eastAsia"/>
                      <w:b/>
                      <w:sz w:val="21"/>
                      <w:szCs w:val="21"/>
                      <w:u w:val="single"/>
                    </w:rPr>
                    <w:t>0.0009</w:t>
                  </w:r>
                  <w:r>
                    <w:rPr>
                      <w:b/>
                      <w:sz w:val="21"/>
                      <w:szCs w:val="21"/>
                      <w:u w:val="single"/>
                    </w:rPr>
                    <w:t>t/a</w:t>
                  </w:r>
                </w:p>
              </w:tc>
              <w:tc>
                <w:tcPr>
                  <w:tcW w:w="709" w:type="dxa"/>
                  <w:vAlign w:val="center"/>
                </w:tcPr>
                <w:p w14:paraId="7EBF2B59">
                  <w:pPr>
                    <w:pStyle w:val="154"/>
                    <w:rPr>
                      <w:b/>
                      <w:sz w:val="21"/>
                      <w:szCs w:val="21"/>
                      <w:u w:val="single"/>
                    </w:rPr>
                  </w:pPr>
                  <w:r>
                    <w:rPr>
                      <w:rFonts w:hint="eastAsia"/>
                      <w:b/>
                      <w:sz w:val="21"/>
                      <w:szCs w:val="21"/>
                      <w:u w:val="single"/>
                    </w:rPr>
                    <w:t>0.2</w:t>
                  </w:r>
                </w:p>
              </w:tc>
              <w:tc>
                <w:tcPr>
                  <w:tcW w:w="567" w:type="dxa"/>
                  <w:vAlign w:val="center"/>
                </w:tcPr>
                <w:p w14:paraId="1D670B03">
                  <w:pPr>
                    <w:pStyle w:val="154"/>
                    <w:rPr>
                      <w:b/>
                      <w:sz w:val="21"/>
                      <w:szCs w:val="21"/>
                      <w:u w:val="single"/>
                    </w:rPr>
                  </w:pPr>
                  <w:r>
                    <w:rPr>
                      <w:rFonts w:hint="eastAsia"/>
                      <w:b/>
                      <w:sz w:val="21"/>
                      <w:szCs w:val="21"/>
                      <w:u w:val="single"/>
                    </w:rPr>
                    <w:t>2400</w:t>
                  </w:r>
                </w:p>
              </w:tc>
              <w:tc>
                <w:tcPr>
                  <w:tcW w:w="709" w:type="dxa"/>
                </w:tcPr>
                <w:p w14:paraId="0E7CE8B8">
                  <w:pPr>
                    <w:pStyle w:val="154"/>
                    <w:rPr>
                      <w:b/>
                      <w:u w:val="single"/>
                    </w:rPr>
                  </w:pPr>
                </w:p>
              </w:tc>
              <w:tc>
                <w:tcPr>
                  <w:tcW w:w="1238" w:type="dxa"/>
                  <w:gridSpan w:val="2"/>
                  <w:vMerge w:val="continue"/>
                  <w:vAlign w:val="center"/>
                </w:tcPr>
                <w:p w14:paraId="6FB8FBE6">
                  <w:pPr>
                    <w:pStyle w:val="154"/>
                    <w:rPr>
                      <w:b/>
                      <w:u w:val="single"/>
                    </w:rPr>
                  </w:pPr>
                </w:p>
              </w:tc>
            </w:tr>
            <w:tr w14:paraId="684F65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439" w:type="dxa"/>
                  <w:vMerge w:val="continue"/>
                  <w:vAlign w:val="center"/>
                </w:tcPr>
                <w:p w14:paraId="548560AA">
                  <w:pPr>
                    <w:pStyle w:val="154"/>
                    <w:rPr>
                      <w:b/>
                      <w:sz w:val="21"/>
                      <w:szCs w:val="21"/>
                      <w:u w:val="single"/>
                    </w:rPr>
                  </w:pPr>
                </w:p>
              </w:tc>
              <w:tc>
                <w:tcPr>
                  <w:tcW w:w="664" w:type="dxa"/>
                  <w:vMerge w:val="continue"/>
                  <w:vAlign w:val="center"/>
                </w:tcPr>
                <w:p w14:paraId="6E5B3DB3">
                  <w:pPr>
                    <w:pStyle w:val="154"/>
                    <w:rPr>
                      <w:b/>
                      <w:sz w:val="21"/>
                      <w:szCs w:val="21"/>
                      <w:u w:val="single"/>
                    </w:rPr>
                  </w:pPr>
                </w:p>
              </w:tc>
              <w:tc>
                <w:tcPr>
                  <w:tcW w:w="775" w:type="dxa"/>
                  <w:vMerge w:val="continue"/>
                </w:tcPr>
                <w:p w14:paraId="129495D1">
                  <w:pPr>
                    <w:pStyle w:val="154"/>
                    <w:rPr>
                      <w:b/>
                      <w:sz w:val="21"/>
                      <w:szCs w:val="21"/>
                      <w:u w:val="single"/>
                    </w:rPr>
                  </w:pPr>
                </w:p>
              </w:tc>
              <w:tc>
                <w:tcPr>
                  <w:tcW w:w="553" w:type="dxa"/>
                  <w:vAlign w:val="center"/>
                </w:tcPr>
                <w:p w14:paraId="45DA4B7E">
                  <w:pPr>
                    <w:pStyle w:val="154"/>
                    <w:rPr>
                      <w:b/>
                      <w:sz w:val="21"/>
                      <w:szCs w:val="21"/>
                      <w:u w:val="single"/>
                    </w:rPr>
                  </w:pPr>
                  <w:r>
                    <w:rPr>
                      <w:b/>
                      <w:sz w:val="21"/>
                      <w:szCs w:val="21"/>
                      <w:u w:val="single"/>
                    </w:rPr>
                    <w:t>颗粒物</w:t>
                  </w:r>
                </w:p>
              </w:tc>
              <w:tc>
                <w:tcPr>
                  <w:tcW w:w="1729" w:type="dxa"/>
                  <w:vAlign w:val="center"/>
                </w:tcPr>
                <w:p w14:paraId="171D7124">
                  <w:pPr>
                    <w:pStyle w:val="154"/>
                    <w:rPr>
                      <w:b/>
                      <w:sz w:val="21"/>
                      <w:szCs w:val="21"/>
                      <w:u w:val="single"/>
                    </w:rPr>
                  </w:pPr>
                  <w:r>
                    <w:rPr>
                      <w:rFonts w:hint="eastAsia"/>
                      <w:b/>
                      <w:sz w:val="21"/>
                      <w:szCs w:val="21"/>
                      <w:u w:val="single"/>
                    </w:rPr>
                    <w:t>0.5451</w:t>
                  </w:r>
                  <w:r>
                    <w:rPr>
                      <w:b/>
                      <w:sz w:val="21"/>
                      <w:szCs w:val="21"/>
                      <w:u w:val="single"/>
                    </w:rPr>
                    <w:t>t/a</w:t>
                  </w:r>
                </w:p>
              </w:tc>
              <w:tc>
                <w:tcPr>
                  <w:tcW w:w="850" w:type="dxa"/>
                  <w:vMerge w:val="continue"/>
                  <w:vAlign w:val="center"/>
                </w:tcPr>
                <w:p w14:paraId="20B11658">
                  <w:pPr>
                    <w:pStyle w:val="154"/>
                    <w:rPr>
                      <w:b/>
                      <w:sz w:val="21"/>
                      <w:szCs w:val="21"/>
                      <w:u w:val="single"/>
                    </w:rPr>
                  </w:pPr>
                </w:p>
              </w:tc>
              <w:tc>
                <w:tcPr>
                  <w:tcW w:w="1276" w:type="dxa"/>
                  <w:vMerge w:val="continue"/>
                  <w:vAlign w:val="center"/>
                </w:tcPr>
                <w:p w14:paraId="285E3C22">
                  <w:pPr>
                    <w:pStyle w:val="154"/>
                    <w:rPr>
                      <w:b/>
                      <w:sz w:val="21"/>
                      <w:szCs w:val="21"/>
                      <w:u w:val="single"/>
                    </w:rPr>
                  </w:pPr>
                </w:p>
              </w:tc>
              <w:tc>
                <w:tcPr>
                  <w:tcW w:w="709" w:type="dxa"/>
                  <w:vMerge w:val="continue"/>
                  <w:vAlign w:val="center"/>
                </w:tcPr>
                <w:p w14:paraId="4234203E">
                  <w:pPr>
                    <w:pStyle w:val="154"/>
                    <w:rPr>
                      <w:b/>
                      <w:sz w:val="21"/>
                      <w:szCs w:val="21"/>
                      <w:u w:val="single"/>
                    </w:rPr>
                  </w:pPr>
                </w:p>
              </w:tc>
              <w:tc>
                <w:tcPr>
                  <w:tcW w:w="567" w:type="dxa"/>
                  <w:vMerge w:val="continue"/>
                  <w:vAlign w:val="center"/>
                </w:tcPr>
                <w:p w14:paraId="375E576C">
                  <w:pPr>
                    <w:pStyle w:val="154"/>
                    <w:rPr>
                      <w:b/>
                      <w:sz w:val="21"/>
                      <w:szCs w:val="21"/>
                      <w:u w:val="single"/>
                    </w:rPr>
                  </w:pPr>
                </w:p>
              </w:tc>
              <w:tc>
                <w:tcPr>
                  <w:tcW w:w="283" w:type="dxa"/>
                  <w:vMerge w:val="continue"/>
                  <w:vAlign w:val="center"/>
                </w:tcPr>
                <w:p w14:paraId="419992A2">
                  <w:pPr>
                    <w:pStyle w:val="154"/>
                    <w:rPr>
                      <w:b/>
                      <w:sz w:val="21"/>
                      <w:szCs w:val="21"/>
                      <w:u w:val="single"/>
                    </w:rPr>
                  </w:pPr>
                </w:p>
              </w:tc>
              <w:tc>
                <w:tcPr>
                  <w:tcW w:w="3260" w:type="dxa"/>
                  <w:gridSpan w:val="2"/>
                  <w:vAlign w:val="center"/>
                </w:tcPr>
                <w:p w14:paraId="2619E8B2">
                  <w:pPr>
                    <w:pStyle w:val="154"/>
                    <w:rPr>
                      <w:b/>
                      <w:sz w:val="21"/>
                      <w:szCs w:val="21"/>
                      <w:u w:val="single"/>
                    </w:rPr>
                  </w:pPr>
                  <w:r>
                    <w:rPr>
                      <w:rFonts w:hint="eastAsia"/>
                      <w:b/>
                      <w:sz w:val="21"/>
                      <w:szCs w:val="21"/>
                      <w:u w:val="single"/>
                    </w:rPr>
                    <w:t>0.5451</w:t>
                  </w:r>
                  <w:r>
                    <w:rPr>
                      <w:b/>
                      <w:sz w:val="21"/>
                      <w:szCs w:val="21"/>
                      <w:u w:val="single"/>
                    </w:rPr>
                    <w:t>t/a</w:t>
                  </w:r>
                </w:p>
              </w:tc>
              <w:tc>
                <w:tcPr>
                  <w:tcW w:w="709" w:type="dxa"/>
                  <w:vAlign w:val="center"/>
                </w:tcPr>
                <w:p w14:paraId="3E6703B3">
                  <w:pPr>
                    <w:pStyle w:val="154"/>
                    <w:rPr>
                      <w:b/>
                      <w:sz w:val="21"/>
                      <w:szCs w:val="21"/>
                      <w:u w:val="single"/>
                    </w:rPr>
                  </w:pPr>
                  <w:r>
                    <w:rPr>
                      <w:rFonts w:hint="eastAsia"/>
                      <w:b/>
                      <w:sz w:val="21"/>
                      <w:szCs w:val="21"/>
                      <w:u w:val="single"/>
                    </w:rPr>
                    <w:t>1.0</w:t>
                  </w:r>
                </w:p>
              </w:tc>
              <w:tc>
                <w:tcPr>
                  <w:tcW w:w="567" w:type="dxa"/>
                  <w:vAlign w:val="center"/>
                </w:tcPr>
                <w:p w14:paraId="0C08F8AD">
                  <w:pPr>
                    <w:pStyle w:val="154"/>
                    <w:rPr>
                      <w:b/>
                      <w:sz w:val="21"/>
                      <w:szCs w:val="21"/>
                      <w:u w:val="single"/>
                    </w:rPr>
                  </w:pPr>
                  <w:r>
                    <w:rPr>
                      <w:rFonts w:hint="eastAsia"/>
                      <w:b/>
                      <w:sz w:val="21"/>
                      <w:szCs w:val="21"/>
                      <w:u w:val="single"/>
                    </w:rPr>
                    <w:t>900</w:t>
                  </w:r>
                </w:p>
              </w:tc>
              <w:tc>
                <w:tcPr>
                  <w:tcW w:w="709" w:type="dxa"/>
                </w:tcPr>
                <w:p w14:paraId="31D4382A">
                  <w:pPr>
                    <w:pStyle w:val="154"/>
                    <w:rPr>
                      <w:b/>
                      <w:u w:val="single"/>
                    </w:rPr>
                  </w:pPr>
                </w:p>
              </w:tc>
              <w:tc>
                <w:tcPr>
                  <w:tcW w:w="1238" w:type="dxa"/>
                  <w:gridSpan w:val="2"/>
                  <w:vMerge w:val="continue"/>
                  <w:vAlign w:val="center"/>
                </w:tcPr>
                <w:p w14:paraId="4F016E4F">
                  <w:pPr>
                    <w:pStyle w:val="154"/>
                    <w:rPr>
                      <w:b/>
                      <w:u w:val="single"/>
                    </w:rPr>
                  </w:pPr>
                </w:p>
              </w:tc>
            </w:tr>
          </w:tbl>
          <w:p w14:paraId="0EAC4675">
            <w:pPr>
              <w:pStyle w:val="45"/>
              <w:rPr>
                <w:b/>
                <w:u w:val="single"/>
              </w:rPr>
            </w:pPr>
          </w:p>
          <w:p w14:paraId="44669BA8">
            <w:pPr>
              <w:pStyle w:val="182"/>
              <w:ind w:firstLine="482"/>
              <w:rPr>
                <w:b/>
                <w:u w:val="single"/>
              </w:rPr>
            </w:pPr>
            <w:r>
              <w:rPr>
                <w:b/>
                <w:u w:val="single"/>
              </w:rPr>
              <w:t xml:space="preserve">表4- </w:t>
            </w:r>
            <w:r>
              <w:rPr>
                <w:b/>
                <w:u w:val="single"/>
              </w:rPr>
              <w:fldChar w:fldCharType="begin"/>
            </w:r>
            <w:r>
              <w:rPr>
                <w:b/>
                <w:u w:val="single"/>
              </w:rPr>
              <w:instrText xml:space="preserve"> SEQ 表4- \* ARABIC </w:instrText>
            </w:r>
            <w:r>
              <w:rPr>
                <w:b/>
                <w:u w:val="single"/>
              </w:rPr>
              <w:fldChar w:fldCharType="separate"/>
            </w:r>
            <w:r>
              <w:rPr>
                <w:b/>
                <w:u w:val="single"/>
              </w:rPr>
              <w:t>2</w:t>
            </w:r>
            <w:r>
              <w:rPr>
                <w:b/>
                <w:u w:val="single"/>
              </w:rPr>
              <w:fldChar w:fldCharType="end"/>
            </w:r>
            <w:r>
              <w:rPr>
                <w:b/>
                <w:u w:val="single"/>
              </w:rPr>
              <w:t xml:space="preserve">                                          排放口基本情况表</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92"/>
              <w:gridCol w:w="1381"/>
              <w:gridCol w:w="1341"/>
              <w:gridCol w:w="2980"/>
              <w:gridCol w:w="1785"/>
              <w:gridCol w:w="2086"/>
              <w:gridCol w:w="1341"/>
              <w:gridCol w:w="894"/>
              <w:gridCol w:w="1143"/>
              <w:gridCol w:w="685"/>
            </w:tblGrid>
            <w:tr w14:paraId="663FC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41" w:type="pct"/>
                  <w:vMerge w:val="restart"/>
                  <w:vAlign w:val="center"/>
                </w:tcPr>
                <w:p w14:paraId="2178C2DF">
                  <w:pPr>
                    <w:pStyle w:val="154"/>
                    <w:rPr>
                      <w:b/>
                      <w:sz w:val="21"/>
                      <w:szCs w:val="21"/>
                      <w:u w:val="single"/>
                    </w:rPr>
                  </w:pPr>
                  <w:r>
                    <w:rPr>
                      <w:b/>
                      <w:sz w:val="21"/>
                      <w:szCs w:val="21"/>
                      <w:u w:val="single"/>
                    </w:rPr>
                    <w:t>序号</w:t>
                  </w:r>
                </w:p>
              </w:tc>
              <w:tc>
                <w:tcPr>
                  <w:tcW w:w="482" w:type="pct"/>
                  <w:vMerge w:val="restart"/>
                  <w:vAlign w:val="center"/>
                </w:tcPr>
                <w:p w14:paraId="0C1E4136">
                  <w:pPr>
                    <w:pStyle w:val="154"/>
                    <w:rPr>
                      <w:b/>
                      <w:sz w:val="21"/>
                      <w:szCs w:val="21"/>
                      <w:u w:val="single"/>
                    </w:rPr>
                  </w:pPr>
                  <w:r>
                    <w:rPr>
                      <w:b/>
                      <w:sz w:val="21"/>
                      <w:szCs w:val="21"/>
                      <w:u w:val="single"/>
                    </w:rPr>
                    <w:t>排放口编号</w:t>
                  </w:r>
                </w:p>
              </w:tc>
              <w:tc>
                <w:tcPr>
                  <w:tcW w:w="468" w:type="pct"/>
                  <w:vMerge w:val="restart"/>
                  <w:vAlign w:val="center"/>
                </w:tcPr>
                <w:p w14:paraId="5F9317AD">
                  <w:pPr>
                    <w:pStyle w:val="154"/>
                    <w:rPr>
                      <w:b/>
                      <w:sz w:val="21"/>
                      <w:szCs w:val="21"/>
                      <w:u w:val="single"/>
                    </w:rPr>
                  </w:pPr>
                  <w:r>
                    <w:rPr>
                      <w:b/>
                      <w:sz w:val="21"/>
                      <w:szCs w:val="21"/>
                      <w:u w:val="single"/>
                    </w:rPr>
                    <w:t>名称</w:t>
                  </w:r>
                </w:p>
              </w:tc>
              <w:tc>
                <w:tcPr>
                  <w:tcW w:w="1040" w:type="pct"/>
                  <w:vMerge w:val="restart"/>
                  <w:vAlign w:val="center"/>
                </w:tcPr>
                <w:p w14:paraId="23B9F52F">
                  <w:pPr>
                    <w:pStyle w:val="154"/>
                    <w:rPr>
                      <w:b/>
                      <w:sz w:val="21"/>
                      <w:szCs w:val="21"/>
                      <w:u w:val="single"/>
                    </w:rPr>
                  </w:pPr>
                  <w:r>
                    <w:rPr>
                      <w:b/>
                      <w:sz w:val="21"/>
                      <w:szCs w:val="21"/>
                      <w:u w:val="single"/>
                    </w:rPr>
                    <w:t>污染物</w:t>
                  </w:r>
                </w:p>
              </w:tc>
              <w:tc>
                <w:tcPr>
                  <w:tcW w:w="1351" w:type="pct"/>
                  <w:gridSpan w:val="2"/>
                  <w:vAlign w:val="center"/>
                </w:tcPr>
                <w:p w14:paraId="1C0787FA">
                  <w:pPr>
                    <w:pStyle w:val="154"/>
                    <w:rPr>
                      <w:b/>
                      <w:sz w:val="21"/>
                      <w:szCs w:val="21"/>
                      <w:u w:val="single"/>
                    </w:rPr>
                  </w:pPr>
                  <w:r>
                    <w:rPr>
                      <w:b/>
                      <w:sz w:val="21"/>
                      <w:szCs w:val="21"/>
                      <w:u w:val="single"/>
                    </w:rPr>
                    <w:t>坐标</w:t>
                  </w:r>
                </w:p>
              </w:tc>
              <w:tc>
                <w:tcPr>
                  <w:tcW w:w="468" w:type="pct"/>
                  <w:vMerge w:val="restart"/>
                  <w:vAlign w:val="center"/>
                </w:tcPr>
                <w:p w14:paraId="0EAED20F">
                  <w:pPr>
                    <w:pStyle w:val="154"/>
                    <w:rPr>
                      <w:b/>
                      <w:sz w:val="21"/>
                      <w:szCs w:val="21"/>
                      <w:u w:val="single"/>
                    </w:rPr>
                  </w:pPr>
                  <w:r>
                    <w:rPr>
                      <w:b/>
                      <w:sz w:val="21"/>
                      <w:szCs w:val="21"/>
                      <w:u w:val="single"/>
                    </w:rPr>
                    <w:t>排气筒高度</w:t>
                  </w:r>
                </w:p>
                <w:p w14:paraId="5024264A">
                  <w:pPr>
                    <w:pStyle w:val="154"/>
                    <w:rPr>
                      <w:b/>
                      <w:sz w:val="21"/>
                      <w:szCs w:val="21"/>
                      <w:u w:val="single"/>
                    </w:rPr>
                  </w:pPr>
                  <w:r>
                    <w:rPr>
                      <w:b/>
                      <w:sz w:val="21"/>
                      <w:szCs w:val="21"/>
                      <w:u w:val="single"/>
                    </w:rPr>
                    <w:t>m</w:t>
                  </w:r>
                </w:p>
              </w:tc>
              <w:tc>
                <w:tcPr>
                  <w:tcW w:w="312" w:type="pct"/>
                  <w:vMerge w:val="restart"/>
                  <w:vAlign w:val="center"/>
                </w:tcPr>
                <w:p w14:paraId="5D68618D">
                  <w:pPr>
                    <w:pStyle w:val="154"/>
                    <w:rPr>
                      <w:b/>
                      <w:sz w:val="21"/>
                      <w:szCs w:val="21"/>
                      <w:u w:val="single"/>
                    </w:rPr>
                  </w:pPr>
                  <w:r>
                    <w:rPr>
                      <w:b/>
                      <w:sz w:val="21"/>
                      <w:szCs w:val="21"/>
                      <w:u w:val="single"/>
                    </w:rPr>
                    <w:t>内径</w:t>
                  </w:r>
                </w:p>
                <w:p w14:paraId="468D510F">
                  <w:pPr>
                    <w:pStyle w:val="154"/>
                    <w:rPr>
                      <w:b/>
                      <w:sz w:val="21"/>
                      <w:szCs w:val="21"/>
                      <w:u w:val="single"/>
                    </w:rPr>
                  </w:pPr>
                  <w:r>
                    <w:rPr>
                      <w:b/>
                      <w:sz w:val="21"/>
                      <w:szCs w:val="21"/>
                      <w:u w:val="single"/>
                    </w:rPr>
                    <w:t>m</w:t>
                  </w:r>
                </w:p>
              </w:tc>
              <w:tc>
                <w:tcPr>
                  <w:tcW w:w="399" w:type="pct"/>
                  <w:vMerge w:val="restart"/>
                  <w:vAlign w:val="center"/>
                </w:tcPr>
                <w:p w14:paraId="0610B9BD">
                  <w:pPr>
                    <w:pStyle w:val="154"/>
                    <w:rPr>
                      <w:b/>
                      <w:sz w:val="21"/>
                      <w:szCs w:val="21"/>
                      <w:u w:val="single"/>
                    </w:rPr>
                  </w:pPr>
                  <w:r>
                    <w:rPr>
                      <w:b/>
                      <w:sz w:val="21"/>
                      <w:szCs w:val="21"/>
                      <w:u w:val="single"/>
                    </w:rPr>
                    <w:t>烟气速率m/s</w:t>
                  </w:r>
                </w:p>
              </w:tc>
              <w:tc>
                <w:tcPr>
                  <w:tcW w:w="239" w:type="pct"/>
                  <w:vMerge w:val="restart"/>
                  <w:vAlign w:val="center"/>
                </w:tcPr>
                <w:p w14:paraId="5148C225">
                  <w:pPr>
                    <w:pStyle w:val="154"/>
                    <w:rPr>
                      <w:b/>
                      <w:sz w:val="21"/>
                      <w:szCs w:val="21"/>
                      <w:u w:val="single"/>
                    </w:rPr>
                  </w:pPr>
                  <w:r>
                    <w:rPr>
                      <w:b/>
                      <w:sz w:val="21"/>
                      <w:szCs w:val="21"/>
                      <w:u w:val="single"/>
                    </w:rPr>
                    <w:t>温度</w:t>
                  </w:r>
                </w:p>
              </w:tc>
            </w:tr>
            <w:tr w14:paraId="091F6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241" w:type="pct"/>
                  <w:vMerge w:val="continue"/>
                  <w:vAlign w:val="center"/>
                </w:tcPr>
                <w:p w14:paraId="3B1E6541">
                  <w:pPr>
                    <w:pStyle w:val="154"/>
                    <w:rPr>
                      <w:b/>
                      <w:sz w:val="21"/>
                      <w:szCs w:val="21"/>
                      <w:u w:val="single"/>
                    </w:rPr>
                  </w:pPr>
                </w:p>
              </w:tc>
              <w:tc>
                <w:tcPr>
                  <w:tcW w:w="482" w:type="pct"/>
                  <w:vMerge w:val="continue"/>
                  <w:vAlign w:val="center"/>
                </w:tcPr>
                <w:p w14:paraId="0AF40CC7">
                  <w:pPr>
                    <w:pStyle w:val="154"/>
                    <w:rPr>
                      <w:b/>
                      <w:sz w:val="21"/>
                      <w:szCs w:val="21"/>
                      <w:u w:val="single"/>
                    </w:rPr>
                  </w:pPr>
                </w:p>
              </w:tc>
              <w:tc>
                <w:tcPr>
                  <w:tcW w:w="468" w:type="pct"/>
                  <w:vMerge w:val="continue"/>
                  <w:vAlign w:val="center"/>
                </w:tcPr>
                <w:p w14:paraId="430AA58E">
                  <w:pPr>
                    <w:pStyle w:val="154"/>
                    <w:rPr>
                      <w:b/>
                      <w:sz w:val="21"/>
                      <w:szCs w:val="21"/>
                      <w:u w:val="single"/>
                    </w:rPr>
                  </w:pPr>
                </w:p>
              </w:tc>
              <w:tc>
                <w:tcPr>
                  <w:tcW w:w="1040" w:type="pct"/>
                  <w:vMerge w:val="continue"/>
                  <w:vAlign w:val="center"/>
                </w:tcPr>
                <w:p w14:paraId="13F2A2D0">
                  <w:pPr>
                    <w:pStyle w:val="154"/>
                    <w:rPr>
                      <w:b/>
                      <w:sz w:val="21"/>
                      <w:szCs w:val="21"/>
                      <w:u w:val="single"/>
                    </w:rPr>
                  </w:pPr>
                </w:p>
              </w:tc>
              <w:tc>
                <w:tcPr>
                  <w:tcW w:w="623" w:type="pct"/>
                  <w:vAlign w:val="center"/>
                </w:tcPr>
                <w:p w14:paraId="48F7FD20">
                  <w:pPr>
                    <w:pStyle w:val="154"/>
                    <w:rPr>
                      <w:b/>
                      <w:sz w:val="21"/>
                      <w:szCs w:val="21"/>
                      <w:u w:val="single"/>
                    </w:rPr>
                  </w:pPr>
                  <w:r>
                    <w:rPr>
                      <w:b/>
                      <w:sz w:val="21"/>
                      <w:szCs w:val="21"/>
                      <w:u w:val="single"/>
                    </w:rPr>
                    <w:t>经度</w:t>
                  </w:r>
                </w:p>
              </w:tc>
              <w:tc>
                <w:tcPr>
                  <w:tcW w:w="728" w:type="pct"/>
                  <w:vAlign w:val="center"/>
                </w:tcPr>
                <w:p w14:paraId="083EB813">
                  <w:pPr>
                    <w:pStyle w:val="154"/>
                    <w:rPr>
                      <w:b/>
                      <w:sz w:val="21"/>
                      <w:szCs w:val="21"/>
                      <w:u w:val="single"/>
                    </w:rPr>
                  </w:pPr>
                  <w:r>
                    <w:rPr>
                      <w:b/>
                      <w:sz w:val="21"/>
                      <w:szCs w:val="21"/>
                      <w:u w:val="single"/>
                    </w:rPr>
                    <w:t>纬度</w:t>
                  </w:r>
                </w:p>
              </w:tc>
              <w:tc>
                <w:tcPr>
                  <w:tcW w:w="468" w:type="pct"/>
                  <w:vMerge w:val="continue"/>
                  <w:vAlign w:val="center"/>
                </w:tcPr>
                <w:p w14:paraId="4DA787FA">
                  <w:pPr>
                    <w:pStyle w:val="154"/>
                    <w:rPr>
                      <w:b/>
                      <w:sz w:val="21"/>
                      <w:szCs w:val="21"/>
                      <w:u w:val="single"/>
                    </w:rPr>
                  </w:pPr>
                </w:p>
              </w:tc>
              <w:tc>
                <w:tcPr>
                  <w:tcW w:w="312" w:type="pct"/>
                  <w:vMerge w:val="continue"/>
                  <w:vAlign w:val="center"/>
                </w:tcPr>
                <w:p w14:paraId="7C106111">
                  <w:pPr>
                    <w:pStyle w:val="154"/>
                    <w:rPr>
                      <w:b/>
                      <w:sz w:val="21"/>
                      <w:szCs w:val="21"/>
                      <w:u w:val="single"/>
                    </w:rPr>
                  </w:pPr>
                </w:p>
              </w:tc>
              <w:tc>
                <w:tcPr>
                  <w:tcW w:w="399" w:type="pct"/>
                  <w:vMerge w:val="continue"/>
                  <w:vAlign w:val="center"/>
                </w:tcPr>
                <w:p w14:paraId="5E86D43D">
                  <w:pPr>
                    <w:pStyle w:val="154"/>
                    <w:rPr>
                      <w:b/>
                      <w:sz w:val="21"/>
                      <w:szCs w:val="21"/>
                      <w:u w:val="single"/>
                    </w:rPr>
                  </w:pPr>
                </w:p>
              </w:tc>
              <w:tc>
                <w:tcPr>
                  <w:tcW w:w="239" w:type="pct"/>
                  <w:vMerge w:val="continue"/>
                  <w:vAlign w:val="center"/>
                </w:tcPr>
                <w:p w14:paraId="6B57EBFF">
                  <w:pPr>
                    <w:pStyle w:val="154"/>
                    <w:rPr>
                      <w:b/>
                      <w:sz w:val="21"/>
                      <w:szCs w:val="21"/>
                      <w:u w:val="single"/>
                    </w:rPr>
                  </w:pPr>
                </w:p>
              </w:tc>
            </w:tr>
            <w:tr w14:paraId="10625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5" w:hRule="atLeast"/>
                <w:jc w:val="center"/>
              </w:trPr>
              <w:tc>
                <w:tcPr>
                  <w:tcW w:w="241" w:type="pct"/>
                  <w:vAlign w:val="center"/>
                </w:tcPr>
                <w:p w14:paraId="48568B30">
                  <w:pPr>
                    <w:pStyle w:val="154"/>
                    <w:rPr>
                      <w:b/>
                      <w:sz w:val="21"/>
                      <w:szCs w:val="21"/>
                      <w:u w:val="single"/>
                    </w:rPr>
                  </w:pPr>
                  <w:r>
                    <w:rPr>
                      <w:b/>
                      <w:sz w:val="21"/>
                      <w:szCs w:val="21"/>
                      <w:u w:val="single"/>
                    </w:rPr>
                    <w:t>1</w:t>
                  </w:r>
                </w:p>
              </w:tc>
              <w:tc>
                <w:tcPr>
                  <w:tcW w:w="482" w:type="pct"/>
                  <w:vAlign w:val="center"/>
                </w:tcPr>
                <w:p w14:paraId="59B9CC15">
                  <w:pPr>
                    <w:pStyle w:val="154"/>
                    <w:rPr>
                      <w:b/>
                      <w:sz w:val="21"/>
                      <w:szCs w:val="21"/>
                      <w:u w:val="single"/>
                    </w:rPr>
                  </w:pPr>
                  <w:r>
                    <w:rPr>
                      <w:b/>
                      <w:sz w:val="21"/>
                      <w:szCs w:val="21"/>
                      <w:u w:val="single"/>
                    </w:rPr>
                    <w:t>DA001</w:t>
                  </w:r>
                </w:p>
              </w:tc>
              <w:tc>
                <w:tcPr>
                  <w:tcW w:w="468" w:type="pct"/>
                  <w:vAlign w:val="center"/>
                </w:tcPr>
                <w:p w14:paraId="091E4461">
                  <w:pPr>
                    <w:pStyle w:val="154"/>
                    <w:rPr>
                      <w:b/>
                      <w:sz w:val="21"/>
                      <w:szCs w:val="21"/>
                      <w:u w:val="single"/>
                    </w:rPr>
                  </w:pPr>
                  <w:r>
                    <w:rPr>
                      <w:b/>
                      <w:sz w:val="21"/>
                      <w:szCs w:val="21"/>
                      <w:u w:val="single"/>
                    </w:rPr>
                    <w:t>废气排气筒</w:t>
                  </w:r>
                </w:p>
              </w:tc>
              <w:tc>
                <w:tcPr>
                  <w:tcW w:w="1040" w:type="pct"/>
                  <w:vAlign w:val="center"/>
                </w:tcPr>
                <w:p w14:paraId="3A51AF59">
                  <w:pPr>
                    <w:pStyle w:val="154"/>
                    <w:rPr>
                      <w:b/>
                      <w:sz w:val="21"/>
                      <w:szCs w:val="21"/>
                      <w:u w:val="single"/>
                    </w:rPr>
                  </w:pPr>
                  <w:r>
                    <w:rPr>
                      <w:b/>
                      <w:sz w:val="21"/>
                      <w:szCs w:val="21"/>
                      <w:u w:val="single"/>
                    </w:rPr>
                    <w:t>颗粒物</w:t>
                  </w:r>
                  <w:r>
                    <w:rPr>
                      <w:rFonts w:hint="eastAsia"/>
                      <w:b/>
                      <w:sz w:val="21"/>
                      <w:szCs w:val="21"/>
                      <w:u w:val="single"/>
                    </w:rPr>
                    <w:t>、非甲烷总烃</w:t>
                  </w:r>
                  <w:r>
                    <w:rPr>
                      <w:b/>
                      <w:sz w:val="21"/>
                      <w:szCs w:val="21"/>
                      <w:u w:val="single"/>
                    </w:rPr>
                    <w:t>、氯化氢</w:t>
                  </w:r>
                </w:p>
              </w:tc>
              <w:tc>
                <w:tcPr>
                  <w:tcW w:w="623" w:type="pct"/>
                  <w:vAlign w:val="center"/>
                </w:tcPr>
                <w:p w14:paraId="131C145A">
                  <w:pPr>
                    <w:pStyle w:val="154"/>
                    <w:rPr>
                      <w:b/>
                      <w:sz w:val="21"/>
                      <w:szCs w:val="21"/>
                      <w:u w:val="single"/>
                    </w:rPr>
                  </w:pPr>
                  <w:r>
                    <w:rPr>
                      <w:rFonts w:hint="eastAsia"/>
                      <w:b/>
                      <w:sz w:val="21"/>
                      <w:szCs w:val="21"/>
                      <w:u w:val="single"/>
                    </w:rPr>
                    <w:t>112.833108</w:t>
                  </w:r>
                </w:p>
              </w:tc>
              <w:tc>
                <w:tcPr>
                  <w:tcW w:w="728" w:type="pct"/>
                  <w:vAlign w:val="center"/>
                </w:tcPr>
                <w:p w14:paraId="18AF49E0">
                  <w:pPr>
                    <w:pStyle w:val="154"/>
                    <w:rPr>
                      <w:b/>
                      <w:sz w:val="21"/>
                      <w:szCs w:val="21"/>
                      <w:u w:val="single"/>
                    </w:rPr>
                  </w:pPr>
                  <w:r>
                    <w:rPr>
                      <w:rFonts w:hint="eastAsia"/>
                      <w:b/>
                      <w:sz w:val="21"/>
                      <w:szCs w:val="21"/>
                      <w:u w:val="single"/>
                    </w:rPr>
                    <w:t>34.716543</w:t>
                  </w:r>
                </w:p>
              </w:tc>
              <w:tc>
                <w:tcPr>
                  <w:tcW w:w="468" w:type="pct"/>
                  <w:vAlign w:val="center"/>
                </w:tcPr>
                <w:p w14:paraId="5E9967C6">
                  <w:pPr>
                    <w:pStyle w:val="154"/>
                    <w:rPr>
                      <w:b/>
                      <w:sz w:val="21"/>
                      <w:szCs w:val="21"/>
                      <w:u w:val="single"/>
                    </w:rPr>
                  </w:pPr>
                  <w:r>
                    <w:rPr>
                      <w:b/>
                      <w:sz w:val="21"/>
                      <w:szCs w:val="21"/>
                      <w:u w:val="single"/>
                    </w:rPr>
                    <w:t>1</w:t>
                  </w:r>
                  <w:r>
                    <w:rPr>
                      <w:rFonts w:hint="eastAsia"/>
                      <w:b/>
                      <w:sz w:val="21"/>
                      <w:szCs w:val="21"/>
                      <w:u w:val="single"/>
                    </w:rPr>
                    <w:t>8</w:t>
                  </w:r>
                </w:p>
              </w:tc>
              <w:tc>
                <w:tcPr>
                  <w:tcW w:w="312" w:type="pct"/>
                  <w:vAlign w:val="center"/>
                </w:tcPr>
                <w:p w14:paraId="12C2FB04">
                  <w:pPr>
                    <w:pStyle w:val="154"/>
                    <w:rPr>
                      <w:b/>
                      <w:sz w:val="21"/>
                      <w:szCs w:val="21"/>
                      <w:u w:val="single"/>
                    </w:rPr>
                  </w:pPr>
                  <w:r>
                    <w:rPr>
                      <w:rFonts w:hint="eastAsia"/>
                      <w:b/>
                      <w:sz w:val="21"/>
                      <w:szCs w:val="21"/>
                      <w:u w:val="single"/>
                    </w:rPr>
                    <w:t>0.75</w:t>
                  </w:r>
                </w:p>
              </w:tc>
              <w:tc>
                <w:tcPr>
                  <w:tcW w:w="399" w:type="pct"/>
                  <w:vAlign w:val="center"/>
                </w:tcPr>
                <w:p w14:paraId="5991485A">
                  <w:pPr>
                    <w:pStyle w:val="154"/>
                    <w:rPr>
                      <w:b/>
                      <w:sz w:val="21"/>
                      <w:szCs w:val="21"/>
                      <w:u w:val="single"/>
                    </w:rPr>
                  </w:pPr>
                  <w:r>
                    <w:rPr>
                      <w:rFonts w:hint="eastAsia"/>
                      <w:b/>
                      <w:sz w:val="21"/>
                      <w:szCs w:val="21"/>
                      <w:u w:val="single"/>
                    </w:rPr>
                    <w:t>16.98</w:t>
                  </w:r>
                </w:p>
              </w:tc>
              <w:tc>
                <w:tcPr>
                  <w:tcW w:w="239" w:type="pct"/>
                  <w:vAlign w:val="center"/>
                </w:tcPr>
                <w:p w14:paraId="2EF7F207">
                  <w:pPr>
                    <w:pStyle w:val="154"/>
                    <w:rPr>
                      <w:b/>
                      <w:sz w:val="21"/>
                      <w:szCs w:val="21"/>
                      <w:u w:val="single"/>
                    </w:rPr>
                  </w:pPr>
                  <w:r>
                    <w:rPr>
                      <w:b/>
                      <w:sz w:val="21"/>
                      <w:szCs w:val="21"/>
                      <w:u w:val="single"/>
                    </w:rPr>
                    <w:t>常温</w:t>
                  </w:r>
                </w:p>
              </w:tc>
            </w:tr>
          </w:tbl>
          <w:p w14:paraId="02CD2243">
            <w:pPr>
              <w:pStyle w:val="154"/>
              <w:jc w:val="left"/>
            </w:pPr>
          </w:p>
          <w:p w14:paraId="3A0D5780">
            <w:pPr>
              <w:pStyle w:val="45"/>
            </w:pPr>
          </w:p>
          <w:p w14:paraId="3605C0C3">
            <w:pPr>
              <w:pStyle w:val="45"/>
            </w:pPr>
          </w:p>
          <w:p w14:paraId="5496F6AF">
            <w:pPr>
              <w:pStyle w:val="45"/>
            </w:pPr>
          </w:p>
        </w:tc>
      </w:tr>
    </w:tbl>
    <w:p w14:paraId="58E77705">
      <w:pPr>
        <w:rPr>
          <w:rFonts w:ascii="Times New Roman" w:hAnsi="Times New Roman"/>
        </w:rPr>
        <w:sectPr>
          <w:pgSz w:w="16840" w:h="11907"/>
          <w:pgMar w:top="1418" w:right="1588" w:bottom="1418" w:left="1588" w:header="851" w:footer="992" w:gutter="0"/>
          <w:cols w:space="425" w:num="1"/>
          <w:docGrid w:type="lines" w:linePitch="312" w:charSpace="0"/>
        </w:sectPr>
      </w:pPr>
    </w:p>
    <w:tbl>
      <w:tblPr>
        <w:tblStyle w:val="88"/>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079"/>
      </w:tblGrid>
      <w:tr w14:paraId="08462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301" w:hRule="atLeast"/>
          <w:jc w:val="center"/>
        </w:trPr>
        <w:tc>
          <w:tcPr>
            <w:tcW w:w="9079" w:type="dxa"/>
            <w:tcBorders>
              <w:left w:val="single" w:color="auto" w:sz="4" w:space="0"/>
            </w:tcBorders>
            <w:tcMar>
              <w:top w:w="0" w:type="dxa"/>
              <w:left w:w="108" w:type="dxa"/>
              <w:bottom w:w="0" w:type="dxa"/>
              <w:right w:w="108" w:type="dxa"/>
            </w:tcMar>
          </w:tcPr>
          <w:p w14:paraId="3E4BEFCC">
            <w:pPr>
              <w:pStyle w:val="179"/>
            </w:pPr>
            <w:r>
              <w:t>1.2 源强核算</w:t>
            </w:r>
          </w:p>
          <w:p w14:paraId="63608106">
            <w:pPr>
              <w:pStyle w:val="179"/>
            </w:pPr>
            <w:r>
              <w:rPr>
                <w:rFonts w:hint="eastAsia"/>
              </w:rPr>
              <w:t>1.2.1</w:t>
            </w:r>
            <w:r>
              <w:t>注塑工艺生产线</w:t>
            </w:r>
            <w:r>
              <w:rPr>
                <w:rFonts w:hint="eastAsia"/>
              </w:rPr>
              <w:t>废气</w:t>
            </w:r>
          </w:p>
          <w:p w14:paraId="55105605">
            <w:pPr>
              <w:pStyle w:val="156"/>
              <w:ind w:firstLine="0" w:firstLineChars="0"/>
            </w:pPr>
            <w:r>
              <w:rPr>
                <w:rFonts w:hint="eastAsia"/>
              </w:rPr>
              <w:t>（1）混合搅拌废气</w:t>
            </w:r>
          </w:p>
          <w:p w14:paraId="59AC649D">
            <w:pPr>
              <w:pStyle w:val="156"/>
              <w:ind w:firstLine="480"/>
            </w:pPr>
            <w:r>
              <w:rPr>
                <w:rFonts w:hint="eastAsia"/>
              </w:rPr>
              <w:t>①非甲烷总烃</w:t>
            </w:r>
          </w:p>
          <w:p w14:paraId="5ED5D5B1">
            <w:pPr>
              <w:pStyle w:val="156"/>
              <w:ind w:firstLine="480"/>
              <w:rPr>
                <w:rFonts w:eastAsia="宋体" w:cs="Times New Roman"/>
              </w:rPr>
            </w:pPr>
            <w:r>
              <w:t>PVC鞋底料中含有二丁酯，在投料和搅拌过</w:t>
            </w:r>
            <w:r>
              <w:rPr>
                <w:rFonts w:eastAsia="宋体" w:cs="Times New Roman"/>
              </w:rPr>
              <w:t>程会有少量挥发，污染物以非甲烷总烃计</w:t>
            </w:r>
            <w:r>
              <w:rPr>
                <w:rFonts w:hint="eastAsia" w:eastAsia="宋体" w:cs="Times New Roman"/>
              </w:rPr>
              <w:t>。</w:t>
            </w:r>
          </w:p>
          <w:p w14:paraId="7767B2DE">
            <w:pPr>
              <w:pStyle w:val="156"/>
              <w:ind w:firstLine="480"/>
              <w:rPr>
                <w:rFonts w:eastAsia="宋体" w:cs="Times New Roman"/>
              </w:rPr>
            </w:pPr>
            <w:r>
              <w:rPr>
                <w:rFonts w:hint="eastAsia" w:eastAsia="宋体" w:cs="Times New Roman"/>
              </w:rPr>
              <w:t>其中，</w:t>
            </w:r>
            <w:r>
              <w:rPr>
                <w:rFonts w:eastAsia="宋体" w:cs="Times New Roman"/>
              </w:rPr>
              <w:t>二丁酯的挥发性极低（饱和蒸气压&lt;1.33Pa（20</w:t>
            </w:r>
            <w:r>
              <w:rPr>
                <w:rFonts w:hint="eastAsia" w:eastAsia="宋体" w:cs="宋体"/>
              </w:rPr>
              <w:t>℃</w:t>
            </w:r>
            <w:r>
              <w:rPr>
                <w:rFonts w:eastAsia="宋体" w:cs="Times New Roman"/>
              </w:rPr>
              <w:t>），146.7Pa（150</w:t>
            </w:r>
            <w:r>
              <w:rPr>
                <w:rFonts w:hint="eastAsia" w:eastAsia="宋体" w:cs="宋体"/>
              </w:rPr>
              <w:t>℃</w:t>
            </w:r>
            <w:r>
              <w:rPr>
                <w:rFonts w:eastAsia="宋体" w:cs="Times New Roman"/>
              </w:rPr>
              <w:t>），本次评价将</w:t>
            </w:r>
            <w:r>
              <w:rPr>
                <w:rFonts w:hint="eastAsia" w:eastAsia="宋体" w:cs="Times New Roman"/>
              </w:rPr>
              <w:t>拌料、混料、</w:t>
            </w:r>
            <w:r>
              <w:rPr>
                <w:rFonts w:eastAsia="宋体" w:cs="Times New Roman"/>
              </w:rPr>
              <w:t>投料过程废气收集处理，但不做定量分析。</w:t>
            </w:r>
          </w:p>
          <w:p w14:paraId="42FD69D2">
            <w:pPr>
              <w:pStyle w:val="156"/>
              <w:ind w:firstLine="480"/>
            </w:pPr>
            <w:r>
              <w:rPr>
                <w:rFonts w:hint="eastAsia"/>
              </w:rPr>
              <w:t>②颗粒物</w:t>
            </w:r>
          </w:p>
          <w:p w14:paraId="77A8761E">
            <w:pPr>
              <w:pStyle w:val="156"/>
              <w:ind w:firstLine="480"/>
              <w:rPr>
                <w:rFonts w:eastAsia="宋体" w:cs="Times New Roman"/>
              </w:rPr>
            </w:pPr>
            <w:r>
              <w:t>注塑工艺鞋底片生产线</w:t>
            </w:r>
            <w:r>
              <w:rPr>
                <w:rFonts w:hint="eastAsia"/>
              </w:rPr>
              <w:t>粉状料拌料、混料和投料</w:t>
            </w:r>
            <w:r>
              <w:t>过程会有粉尘产生</w:t>
            </w:r>
            <w:r>
              <w:rPr>
                <w:rFonts w:hint="eastAsia"/>
              </w:rPr>
              <w:t>。</w:t>
            </w:r>
            <w:r>
              <w:rPr>
                <w:rFonts w:eastAsia="宋体" w:cs="Times New Roman"/>
              </w:rPr>
              <w:t xml:space="preserve"> </w:t>
            </w:r>
          </w:p>
          <w:p w14:paraId="14732AFD">
            <w:pPr>
              <w:pStyle w:val="156"/>
              <w:ind w:firstLine="480"/>
              <w:rPr>
                <w:rFonts w:eastAsia="宋体" w:cs="Times New Roman"/>
                <w:b/>
                <w:u w:val="single"/>
              </w:rPr>
            </w:pPr>
            <w:r>
              <w:rPr>
                <w:rFonts w:eastAsia="宋体" w:cs="Times New Roman"/>
              </w:rPr>
              <w:t>根据《排放源统计调查产排污核算方法和系数手册》中195制鞋行业系数手册：</w:t>
            </w:r>
            <w:r>
              <w:rPr>
                <w:rFonts w:hint="eastAsia" w:eastAsia="宋体" w:cs="Times New Roman"/>
              </w:rPr>
              <w:t>纺织面料鞋</w:t>
            </w:r>
            <w:r>
              <w:rPr>
                <w:rFonts w:eastAsia="宋体" w:cs="Times New Roman"/>
              </w:rPr>
              <w:t>注塑工艺颗粒物产污系数</w:t>
            </w:r>
            <w:r>
              <w:rPr>
                <w:rFonts w:hint="eastAsia" w:eastAsia="宋体" w:cs="Times New Roman"/>
              </w:rPr>
              <w:t>5450</w:t>
            </w:r>
            <w:r>
              <w:rPr>
                <w:rFonts w:eastAsia="宋体" w:cs="Times New Roman"/>
              </w:rPr>
              <w:t>mg/双-产品。本项目注塑工艺</w:t>
            </w:r>
            <w:r>
              <w:rPr>
                <w:rFonts w:hint="eastAsia" w:eastAsia="宋体" w:cs="Times New Roman"/>
              </w:rPr>
              <w:t>鞋底片</w:t>
            </w:r>
            <w:r>
              <w:rPr>
                <w:rFonts w:eastAsia="宋体" w:cs="Times New Roman"/>
              </w:rPr>
              <w:t>生产线年产量为</w:t>
            </w:r>
            <w:r>
              <w:rPr>
                <w:rFonts w:hint="eastAsia" w:eastAsia="宋体" w:cs="Times New Roman"/>
              </w:rPr>
              <w:t>100</w:t>
            </w:r>
            <w:r>
              <w:rPr>
                <w:rFonts w:eastAsia="宋体" w:cs="Times New Roman"/>
              </w:rPr>
              <w:t>万双鞋底片，则注塑过程</w:t>
            </w:r>
            <w:r>
              <w:rPr>
                <w:rFonts w:hint="eastAsia"/>
              </w:rPr>
              <w:t>拌料、混料和投料</w:t>
            </w:r>
            <w:r>
              <w:rPr>
                <w:rFonts w:eastAsia="宋体" w:cs="Times New Roman"/>
              </w:rPr>
              <w:t>废气颗粒物产生量为</w:t>
            </w:r>
            <w:r>
              <w:rPr>
                <w:rFonts w:hint="eastAsia" w:eastAsia="宋体" w:cs="Times New Roman"/>
              </w:rPr>
              <w:t>5.45</w:t>
            </w:r>
            <w:r>
              <w:rPr>
                <w:rFonts w:eastAsia="宋体" w:cs="Times New Roman"/>
              </w:rPr>
              <w:t>t/a。</w:t>
            </w:r>
          </w:p>
          <w:p w14:paraId="78766830">
            <w:pPr>
              <w:pStyle w:val="156"/>
              <w:ind w:firstLine="0" w:firstLineChars="0"/>
            </w:pPr>
            <w:r>
              <w:rPr>
                <w:rFonts w:hint="eastAsia"/>
              </w:rPr>
              <w:t>（2）破碎废气</w:t>
            </w:r>
          </w:p>
          <w:p w14:paraId="43EC97E6">
            <w:pPr>
              <w:pStyle w:val="156"/>
              <w:ind w:firstLine="480"/>
            </w:pPr>
            <w:r>
              <w:rPr>
                <w:rFonts w:hint="eastAsia" w:ascii="宋体" w:hAnsi="宋体"/>
              </w:rPr>
              <w:t>①颗粒物</w:t>
            </w:r>
          </w:p>
          <w:p w14:paraId="6122DD68">
            <w:pPr>
              <w:pStyle w:val="156"/>
              <w:ind w:firstLine="480"/>
              <w:rPr>
                <w:rFonts w:eastAsia="宋体" w:cs="Times New Roman"/>
              </w:rPr>
            </w:pPr>
            <w:r>
              <w:rPr>
                <w:rFonts w:eastAsia="宋体" w:cs="Times New Roman"/>
              </w:rPr>
              <w:t>根据《排放源统计调查产排污核算方法和系数手册》中《42废弃资源综合利用行业系数手册》：废</w:t>
            </w:r>
            <w:r>
              <w:rPr>
                <w:rFonts w:hint="eastAsia" w:eastAsia="宋体" w:cs="Times New Roman"/>
              </w:rPr>
              <w:t>PVC</w:t>
            </w:r>
            <w:r>
              <w:rPr>
                <w:rFonts w:eastAsia="宋体" w:cs="Times New Roman"/>
              </w:rPr>
              <w:t>干法破碎颗粒物的产生系数为4</w:t>
            </w:r>
            <w:r>
              <w:rPr>
                <w:rFonts w:hint="eastAsia" w:eastAsia="宋体" w:cs="Times New Roman"/>
              </w:rPr>
              <w:t>50</w:t>
            </w:r>
            <w:r>
              <w:rPr>
                <w:rFonts w:eastAsia="宋体" w:cs="Times New Roman"/>
              </w:rPr>
              <w:t>g/t原料。</w:t>
            </w:r>
          </w:p>
          <w:p w14:paraId="1E6A387C">
            <w:pPr>
              <w:pStyle w:val="156"/>
              <w:ind w:firstLine="480"/>
              <w:rPr>
                <w:rFonts w:eastAsia="宋体" w:cs="Times New Roman"/>
              </w:rPr>
            </w:pPr>
            <w:r>
              <w:rPr>
                <w:rFonts w:eastAsia="宋体" w:cs="Times New Roman"/>
              </w:rPr>
              <w:t>根据企业提供资料，废边角料约为</w:t>
            </w:r>
            <w:r>
              <w:rPr>
                <w:rFonts w:hint="eastAsia" w:eastAsia="宋体" w:cs="Times New Roman"/>
              </w:rPr>
              <w:t>原料用量的</w:t>
            </w:r>
            <w:r>
              <w:rPr>
                <w:rFonts w:eastAsia="宋体" w:cs="Times New Roman"/>
              </w:rPr>
              <w:t>2%，原料为</w:t>
            </w:r>
            <w:r>
              <w:rPr>
                <w:rFonts w:hint="eastAsia" w:eastAsia="宋体" w:cs="Times New Roman"/>
              </w:rPr>
              <w:t>100t/a，</w:t>
            </w:r>
            <w:r>
              <w:rPr>
                <w:rFonts w:eastAsia="宋体" w:cs="Times New Roman"/>
              </w:rPr>
              <w:t>废边角料产生量为</w:t>
            </w:r>
            <w:r>
              <w:rPr>
                <w:rFonts w:hint="eastAsia" w:eastAsia="宋体" w:cs="Times New Roman"/>
              </w:rPr>
              <w:t>2</w:t>
            </w:r>
            <w:r>
              <w:rPr>
                <w:rFonts w:eastAsia="宋体" w:cs="Times New Roman"/>
              </w:rPr>
              <w:t>t/a。则破碎粉尘产生量为0.000</w:t>
            </w:r>
            <w:r>
              <w:rPr>
                <w:rFonts w:hint="eastAsia" w:eastAsia="宋体" w:cs="Times New Roman"/>
              </w:rPr>
              <w:t>9</w:t>
            </w:r>
            <w:r>
              <w:rPr>
                <w:rFonts w:eastAsia="宋体" w:cs="Times New Roman"/>
              </w:rPr>
              <w:t>t/a。</w:t>
            </w:r>
          </w:p>
          <w:p w14:paraId="18B8DE48">
            <w:pPr>
              <w:pStyle w:val="156"/>
              <w:ind w:firstLine="0" w:firstLineChars="0"/>
            </w:pPr>
            <w:r>
              <w:rPr>
                <w:rFonts w:hint="eastAsia"/>
              </w:rPr>
              <w:t>（3）注塑废气</w:t>
            </w:r>
          </w:p>
          <w:p w14:paraId="133B703C">
            <w:pPr>
              <w:pStyle w:val="156"/>
              <w:ind w:firstLine="480"/>
              <w:rPr>
                <w:rFonts w:eastAsia="宋体" w:cs="Times New Roman"/>
              </w:rPr>
            </w:pPr>
            <w:r>
              <w:rPr>
                <w:rFonts w:eastAsia="宋体" w:cs="Times New Roman"/>
              </w:rPr>
              <w:t>本项目注塑工序加热过程会产生少量的有机废气（以非甲烷总烃计）、氯化氢。</w:t>
            </w:r>
          </w:p>
          <w:p w14:paraId="40127B22">
            <w:pPr>
              <w:pStyle w:val="156"/>
              <w:ind w:firstLine="480"/>
              <w:rPr>
                <w:rFonts w:eastAsia="宋体" w:cs="Times New Roman"/>
              </w:rPr>
            </w:pPr>
            <w:r>
              <w:rPr>
                <w:rFonts w:hint="eastAsia" w:eastAsia="宋体" w:cs="宋体"/>
              </w:rPr>
              <w:t>①</w:t>
            </w:r>
            <w:r>
              <w:rPr>
                <w:rFonts w:eastAsia="宋体" w:cs="Times New Roman"/>
              </w:rPr>
              <w:t>非甲烷总烃</w:t>
            </w:r>
          </w:p>
          <w:p w14:paraId="07BB76BE">
            <w:pPr>
              <w:pStyle w:val="156"/>
              <w:ind w:firstLine="480"/>
              <w:rPr>
                <w:rFonts w:eastAsia="宋体" w:cs="Times New Roman"/>
              </w:rPr>
            </w:pPr>
            <w:r>
              <w:rPr>
                <w:rFonts w:eastAsia="宋体" w:cs="Times New Roman"/>
              </w:rPr>
              <w:t>参照《排放源统计调查产排污核算方法和系数手册》中2927日用塑料制品制造行业系数表：日用塑料制品（树脂、助剂--配料、混合、挤出/注塑）挥发性有机污染物产污系数为2.7千克/吨-产品。</w:t>
            </w:r>
          </w:p>
          <w:p w14:paraId="753E4BEA">
            <w:pPr>
              <w:pStyle w:val="156"/>
              <w:ind w:firstLine="480"/>
              <w:rPr>
                <w:rFonts w:eastAsia="宋体" w:cs="Times New Roman"/>
              </w:rPr>
            </w:pPr>
            <w:r>
              <w:rPr>
                <w:rFonts w:eastAsia="宋体" w:cs="Times New Roman"/>
              </w:rPr>
              <w:t>本项目注塑工艺鞋底片生产线PVC布鞋原料（PVC树脂、二丁酯、</w:t>
            </w:r>
            <w:r>
              <w:rPr>
                <w:rFonts w:hint="eastAsia" w:eastAsia="宋体" w:cs="Times New Roman"/>
              </w:rPr>
              <w:t>硬脂酸</w:t>
            </w:r>
            <w:r>
              <w:rPr>
                <w:rFonts w:eastAsia="宋体" w:cs="Times New Roman"/>
              </w:rPr>
              <w:t>）用量为</w:t>
            </w:r>
            <w:r>
              <w:rPr>
                <w:rFonts w:hint="eastAsia" w:eastAsia="宋体" w:cs="Times New Roman"/>
              </w:rPr>
              <w:t>70</w:t>
            </w:r>
            <w:r>
              <w:rPr>
                <w:rFonts w:eastAsia="宋体" w:cs="Times New Roman"/>
              </w:rPr>
              <w:t>t/a</w:t>
            </w:r>
            <w:r>
              <w:rPr>
                <w:rFonts w:hint="eastAsia" w:eastAsia="宋体" w:cs="Times New Roman"/>
              </w:rPr>
              <w:t>，</w:t>
            </w:r>
            <w:r>
              <w:rPr>
                <w:rFonts w:eastAsia="宋体" w:cs="Times New Roman"/>
              </w:rPr>
              <w:t>注塑过程中有机废气产生量为</w:t>
            </w:r>
            <w:r>
              <w:rPr>
                <w:rFonts w:hint="eastAsia" w:eastAsia="宋体" w:cs="Times New Roman"/>
              </w:rPr>
              <w:t>0.1890</w:t>
            </w:r>
            <w:r>
              <w:rPr>
                <w:rFonts w:eastAsia="宋体" w:cs="Times New Roman"/>
              </w:rPr>
              <w:t>t/a。年运行时长为</w:t>
            </w:r>
            <w:r>
              <w:rPr>
                <w:rFonts w:hint="eastAsia" w:eastAsia="宋体" w:cs="Times New Roman"/>
              </w:rPr>
              <w:t>2400</w:t>
            </w:r>
            <w:r>
              <w:rPr>
                <w:rFonts w:eastAsia="宋体" w:cs="Times New Roman"/>
              </w:rPr>
              <w:t>h。</w:t>
            </w:r>
          </w:p>
          <w:p w14:paraId="6E7790FC">
            <w:pPr>
              <w:pStyle w:val="156"/>
              <w:ind w:firstLine="480"/>
              <w:rPr>
                <w:rFonts w:eastAsia="宋体" w:cs="Times New Roman"/>
              </w:rPr>
            </w:pPr>
            <w:r>
              <w:rPr>
                <w:rFonts w:hint="eastAsia" w:eastAsia="宋体" w:cs="宋体"/>
              </w:rPr>
              <w:t>②</w:t>
            </w:r>
            <w:r>
              <w:rPr>
                <w:rFonts w:eastAsia="宋体" w:cs="Times New Roman"/>
              </w:rPr>
              <w:t>氯化氢</w:t>
            </w:r>
          </w:p>
          <w:p w14:paraId="310E5AF3">
            <w:pPr>
              <w:pStyle w:val="156"/>
              <w:ind w:firstLine="480"/>
              <w:rPr>
                <w:rFonts w:eastAsia="宋体" w:cs="Times New Roman"/>
                <w:b/>
                <w:u w:val="single"/>
              </w:rPr>
            </w:pPr>
            <w:r>
              <w:rPr>
                <w:rFonts w:eastAsia="宋体" w:cs="Times New Roman"/>
              </w:rPr>
              <w:t>聚氯乙烯在密闭容器中受热分解产生氯化氢等废气的浓度极低。本项</w:t>
            </w:r>
            <w:r>
              <w:rPr>
                <w:rFonts w:hint="eastAsia" w:eastAsia="宋体" w:cs="Times New Roman"/>
              </w:rPr>
              <w:t>目</w:t>
            </w:r>
            <w:r>
              <w:rPr>
                <w:rFonts w:eastAsia="宋体" w:cs="Times New Roman"/>
              </w:rPr>
              <w:t>的制鞋工序注塑机温度190</w:t>
            </w:r>
            <w:r>
              <w:rPr>
                <w:rFonts w:hint="eastAsia" w:eastAsia="宋体" w:cs="宋体"/>
              </w:rPr>
              <w:t>℃</w:t>
            </w:r>
            <w:r>
              <w:rPr>
                <w:rFonts w:eastAsia="宋体" w:cs="Times New Roman"/>
              </w:rPr>
              <w:t>左右，本次评价以最高的挤出温度结合实验条件进行换算，参照中国卫生检验杂质2008年4月第18卷第4期《气象色谱_质谱法分析聚氯乙烯加热分解产物》的研究结论：在加热温度190</w:t>
            </w:r>
            <w:r>
              <w:rPr>
                <w:rFonts w:hint="eastAsia" w:eastAsia="宋体" w:cs="宋体"/>
              </w:rPr>
              <w:t>℃</w:t>
            </w:r>
            <w:r>
              <w:rPr>
                <w:rFonts w:eastAsia="宋体" w:cs="Times New Roman"/>
              </w:rPr>
              <w:t>时，每1吨聚氯乙烯分解产生氯化氢气体的量约为0.1683kg。即聚氯乙烯分解产生氯化氢的量为0.1683kg/t原料。</w:t>
            </w:r>
            <w:r>
              <w:rPr>
                <w:rFonts w:eastAsia="宋体" w:cs="Times New Roman"/>
                <w:b/>
                <w:u w:val="single"/>
              </w:rPr>
              <w:t>本项且注塑工序聚氯乙烯的使用量为</w:t>
            </w:r>
            <w:r>
              <w:rPr>
                <w:rFonts w:hint="eastAsia" w:eastAsia="宋体" w:cs="Times New Roman"/>
                <w:b/>
                <w:u w:val="single"/>
              </w:rPr>
              <w:t>52</w:t>
            </w:r>
            <w:r>
              <w:rPr>
                <w:rFonts w:eastAsia="宋体" w:cs="Times New Roman"/>
                <w:b/>
                <w:u w:val="single"/>
              </w:rPr>
              <w:t>t/a，则氯化氢的产生量为</w:t>
            </w:r>
            <w:r>
              <w:rPr>
                <w:rFonts w:hint="eastAsia" w:eastAsia="宋体" w:cs="Times New Roman"/>
                <w:b/>
                <w:u w:val="single"/>
              </w:rPr>
              <w:t>0.0088</w:t>
            </w:r>
            <w:r>
              <w:rPr>
                <w:rFonts w:eastAsia="宋体" w:cs="Times New Roman"/>
                <w:b/>
                <w:u w:val="single"/>
              </w:rPr>
              <w:t>t/a。</w:t>
            </w:r>
          </w:p>
          <w:p w14:paraId="79D32A5E">
            <w:pPr>
              <w:pStyle w:val="156"/>
              <w:ind w:firstLine="482"/>
              <w:rPr>
                <w:rFonts w:eastAsia="宋体" w:cs="Times New Roman"/>
                <w:b/>
                <w:u w:val="single"/>
              </w:rPr>
            </w:pPr>
            <w:r>
              <w:rPr>
                <w:rFonts w:eastAsia="宋体" w:cs="Times New Roman"/>
                <w:b/>
                <w:u w:val="single"/>
              </w:rPr>
              <w:t>经核算，注塑工艺鞋底片生产线非甲烷总烃产生量为0.</w:t>
            </w:r>
            <w:r>
              <w:rPr>
                <w:rFonts w:hint="eastAsia" w:eastAsia="宋体" w:cs="Times New Roman"/>
                <w:b/>
                <w:u w:val="single"/>
              </w:rPr>
              <w:t>1890</w:t>
            </w:r>
            <w:r>
              <w:rPr>
                <w:rFonts w:eastAsia="宋体" w:cs="Times New Roman"/>
                <w:b/>
                <w:u w:val="single"/>
              </w:rPr>
              <w:t>t/a、氯化氢产生量为0.0</w:t>
            </w:r>
            <w:r>
              <w:rPr>
                <w:rFonts w:hint="eastAsia" w:eastAsia="宋体" w:cs="Times New Roman"/>
                <w:b/>
                <w:u w:val="single"/>
              </w:rPr>
              <w:t>088</w:t>
            </w:r>
            <w:r>
              <w:rPr>
                <w:rFonts w:eastAsia="宋体" w:cs="Times New Roman"/>
                <w:b/>
                <w:u w:val="single"/>
              </w:rPr>
              <w:t>t/a，粉尘产生量为</w:t>
            </w:r>
            <w:r>
              <w:rPr>
                <w:rFonts w:hint="eastAsia" w:eastAsia="宋体" w:cs="Times New Roman"/>
                <w:b/>
                <w:u w:val="single"/>
              </w:rPr>
              <w:t>5.4509</w:t>
            </w:r>
            <w:r>
              <w:rPr>
                <w:rFonts w:eastAsia="宋体" w:cs="Times New Roman"/>
                <w:b/>
                <w:u w:val="single"/>
              </w:rPr>
              <w:t>t/a。</w:t>
            </w:r>
          </w:p>
          <w:p w14:paraId="421EA803">
            <w:pPr>
              <w:pStyle w:val="156"/>
              <w:ind w:firstLine="0" w:firstLineChars="0"/>
              <w:rPr>
                <w:rFonts w:eastAsia="宋体" w:cs="Times New Roman"/>
              </w:rPr>
            </w:pPr>
            <w:r>
              <w:rPr>
                <w:rFonts w:hint="eastAsia" w:eastAsia="宋体" w:cs="Times New Roman"/>
              </w:rPr>
              <w:t>1.2.2、聚氨酯流水线废气</w:t>
            </w:r>
          </w:p>
          <w:p w14:paraId="2FCF69FB">
            <w:pPr>
              <w:pStyle w:val="156"/>
              <w:ind w:firstLine="480"/>
              <w:rPr>
                <w:rFonts w:eastAsia="宋体"/>
              </w:rPr>
            </w:pPr>
            <w:r>
              <w:rPr>
                <w:rFonts w:hint="eastAsia" w:eastAsia="宋体"/>
              </w:rPr>
              <w:t>中转罐投料工序：将预热后的聚氨酯</w:t>
            </w:r>
            <w:r>
              <w:rPr>
                <w:rFonts w:eastAsia="宋体"/>
              </w:rPr>
              <w:t>A</w:t>
            </w:r>
            <w:r>
              <w:rPr>
                <w:rFonts w:hint="eastAsia" w:eastAsia="宋体"/>
              </w:rPr>
              <w:t>料、</w:t>
            </w:r>
            <w:r>
              <w:rPr>
                <w:rFonts w:eastAsia="宋体"/>
              </w:rPr>
              <w:t>B</w:t>
            </w:r>
            <w:r>
              <w:rPr>
                <w:rFonts w:hint="eastAsia" w:eastAsia="宋体"/>
              </w:rPr>
              <w:t>料、</w:t>
            </w:r>
            <w:r>
              <w:rPr>
                <w:rFonts w:eastAsia="宋体"/>
              </w:rPr>
              <w:t>C</w:t>
            </w:r>
            <w:r>
              <w:rPr>
                <w:rFonts w:hint="eastAsia" w:eastAsia="宋体"/>
              </w:rPr>
              <w:t>料和色浆分别倒入中转罐内。投料过程会有少量有机废气挥发，以非甲烷总烃计。</w:t>
            </w:r>
          </w:p>
          <w:p w14:paraId="36AFA5C0">
            <w:pPr>
              <w:pStyle w:val="156"/>
              <w:ind w:firstLine="480"/>
              <w:rPr>
                <w:rFonts w:eastAsia="宋体"/>
              </w:rPr>
            </w:pPr>
            <w:r>
              <w:rPr>
                <w:rFonts w:hint="eastAsia" w:eastAsia="宋体"/>
              </w:rPr>
              <w:t>浇注头清洗工序：需要定期用水性清洗剂对浇注头进行清洗（采用喷涂和抹布擦拭方式清洗），防止注孔堵塞。此过程会产生有机废气，以非甲烷总烃计。</w:t>
            </w:r>
          </w:p>
          <w:p w14:paraId="1B06A98C">
            <w:pPr>
              <w:pStyle w:val="156"/>
              <w:ind w:firstLine="480"/>
              <w:rPr>
                <w:rFonts w:eastAsia="宋体"/>
              </w:rPr>
            </w:pPr>
            <w:r>
              <w:rPr>
                <w:rFonts w:hint="eastAsia" w:eastAsia="宋体"/>
              </w:rPr>
              <w:t>喷脱模剂工序：浇注成型机配备模具每次成型全部脱模后需在模具上面喷上一层脱模剂（主要成分是水、硅油）。此过程会产生有机废气，以非甲烷总烃计。</w:t>
            </w:r>
          </w:p>
          <w:p w14:paraId="76109254">
            <w:pPr>
              <w:pStyle w:val="156"/>
              <w:ind w:firstLine="480"/>
              <w:rPr>
                <w:rFonts w:eastAsia="宋体"/>
              </w:rPr>
            </w:pPr>
            <w:r>
              <w:rPr>
                <w:rFonts w:hint="eastAsia" w:eastAsia="宋体"/>
              </w:rPr>
              <w:t>注模、烘干废气：聚氨酯通过浇注机注到鞋模中，固定压合后进入烘干道进行成型。此过程会产生有机废气，以非甲烷总烃计。</w:t>
            </w:r>
          </w:p>
          <w:p w14:paraId="11F690EC">
            <w:pPr>
              <w:pStyle w:val="156"/>
              <w:ind w:firstLine="352" w:firstLineChars="147"/>
              <w:rPr>
                <w:rFonts w:eastAsia="宋体" w:cs="Times New Roman"/>
              </w:rPr>
            </w:pPr>
            <w:r>
              <w:rPr>
                <w:rFonts w:hint="eastAsia" w:eastAsia="宋体" w:cs="宋体"/>
              </w:rPr>
              <w:t>①</w:t>
            </w:r>
            <w:r>
              <w:rPr>
                <w:rFonts w:eastAsia="宋体" w:cs="Times New Roman"/>
              </w:rPr>
              <w:t>非甲烷总烃</w:t>
            </w:r>
          </w:p>
          <w:p w14:paraId="548C482D">
            <w:pPr>
              <w:pStyle w:val="156"/>
              <w:ind w:firstLine="480"/>
              <w:rPr>
                <w:rFonts w:eastAsia="宋体"/>
                <w:bCs/>
              </w:rPr>
            </w:pPr>
            <w:r>
              <w:rPr>
                <w:rFonts w:hint="eastAsia" w:eastAsia="宋体"/>
              </w:rPr>
              <w:t>参照《偃师市山化镇睿成制鞋厂年产</w:t>
            </w:r>
            <w:r>
              <w:rPr>
                <w:rFonts w:eastAsia="宋体"/>
              </w:rPr>
              <w:t>30</w:t>
            </w:r>
            <w:r>
              <w:rPr>
                <w:rFonts w:hint="eastAsia" w:eastAsia="宋体"/>
              </w:rPr>
              <w:t>万双布鞋项目竣工环境保护验收监测报告》：聚氨酯生产线年产</w:t>
            </w:r>
            <w:r>
              <w:rPr>
                <w:rFonts w:eastAsia="宋体"/>
              </w:rPr>
              <w:t>30</w:t>
            </w:r>
            <w:r>
              <w:rPr>
                <w:rFonts w:hint="eastAsia" w:eastAsia="宋体"/>
              </w:rPr>
              <w:t>万双聚氨酯布鞋，生产工艺为：聚氨酯原液（</w:t>
            </w:r>
            <w:r>
              <w:rPr>
                <w:rFonts w:eastAsia="宋体"/>
              </w:rPr>
              <w:t>A</w:t>
            </w:r>
            <w:r>
              <w:rPr>
                <w:rFonts w:hint="eastAsia" w:eastAsia="宋体"/>
              </w:rPr>
              <w:t>料、</w:t>
            </w:r>
            <w:r>
              <w:rPr>
                <w:rFonts w:eastAsia="宋体"/>
              </w:rPr>
              <w:t>B</w:t>
            </w:r>
            <w:r>
              <w:rPr>
                <w:rFonts w:hint="eastAsia" w:eastAsia="宋体"/>
              </w:rPr>
              <w:t>料、</w:t>
            </w:r>
            <w:r>
              <w:rPr>
                <w:rFonts w:eastAsia="宋体"/>
              </w:rPr>
              <w:t>C</w:t>
            </w:r>
            <w:r>
              <w:rPr>
                <w:rFonts w:hint="eastAsia" w:eastAsia="宋体"/>
              </w:rPr>
              <w:t>料、色浆）→加热→混合搅拌→注模（模具喷脱模剂）→烘干成型→脱模。</w:t>
            </w:r>
            <w:r>
              <w:rPr>
                <w:rFonts w:hint="eastAsia" w:eastAsia="宋体"/>
                <w:bCs/>
              </w:rPr>
              <w:t>浇注工序在浇注口和喷脱模剂工位上方设集气罩，烘干道进出口上方设置集气罩，废气收集后经</w:t>
            </w:r>
            <w:r>
              <w:rPr>
                <w:rFonts w:eastAsia="宋体"/>
                <w:bCs/>
              </w:rPr>
              <w:t>1</w:t>
            </w:r>
            <w:r>
              <w:rPr>
                <w:rFonts w:hint="eastAsia" w:eastAsia="宋体"/>
                <w:bCs/>
              </w:rPr>
              <w:t>套“</w:t>
            </w:r>
            <w:r>
              <w:rPr>
                <w:rFonts w:eastAsia="宋体"/>
                <w:bCs/>
              </w:rPr>
              <w:t>UV</w:t>
            </w:r>
            <w:r>
              <w:rPr>
                <w:rFonts w:hint="eastAsia" w:eastAsia="宋体"/>
                <w:bCs/>
              </w:rPr>
              <w:t>光氧</w:t>
            </w:r>
            <w:r>
              <w:rPr>
                <w:rFonts w:eastAsia="宋体"/>
                <w:bCs/>
              </w:rPr>
              <w:t>+</w:t>
            </w:r>
            <w:r>
              <w:rPr>
                <w:rFonts w:hint="eastAsia" w:eastAsia="宋体"/>
                <w:bCs/>
              </w:rPr>
              <w:t>活性炭吸附”装置处理后通过排气筒排放。验收监测期间生产负荷为满负荷，废气监测结果见下表：</w:t>
            </w:r>
          </w:p>
          <w:p w14:paraId="1B9FB8EF">
            <w:pPr>
              <w:pStyle w:val="182"/>
              <w:ind w:firstLine="480"/>
            </w:pPr>
            <w:r>
              <w:rPr>
                <w:rFonts w:hint="eastAsia"/>
              </w:rPr>
              <w:t>表</w:t>
            </w:r>
            <w:r>
              <w:t xml:space="preserve">4-3        </w:t>
            </w:r>
            <w:r>
              <w:rPr>
                <w:rFonts w:hint="eastAsia"/>
              </w:rPr>
              <w:t>睿成制鞋厂聚氨酯生产线废气监测结果表</w:t>
            </w:r>
          </w:p>
          <w:tbl>
            <w:tblPr>
              <w:tblStyle w:val="8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04"/>
              <w:gridCol w:w="938"/>
              <w:gridCol w:w="2102"/>
              <w:gridCol w:w="2396"/>
              <w:gridCol w:w="1993"/>
            </w:tblGrid>
            <w:tr w14:paraId="6F1151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326" w:type="pct"/>
                  <w:gridSpan w:val="2"/>
                  <w:tcBorders>
                    <w:top w:val="single" w:color="000000" w:sz="12" w:space="0"/>
                    <w:left w:val="single" w:color="000000" w:sz="12" w:space="0"/>
                    <w:bottom w:val="single" w:color="000000" w:sz="6" w:space="0"/>
                    <w:right w:val="single" w:color="000000" w:sz="6" w:space="0"/>
                  </w:tcBorders>
                </w:tcPr>
                <w:p w14:paraId="1196EDBD">
                  <w:pPr>
                    <w:pStyle w:val="154"/>
                    <w:rPr>
                      <w:sz w:val="21"/>
                      <w:szCs w:val="21"/>
                    </w:rPr>
                  </w:pPr>
                  <w:r>
                    <w:rPr>
                      <w:rFonts w:hint="eastAsia"/>
                      <w:sz w:val="21"/>
                      <w:szCs w:val="21"/>
                    </w:rPr>
                    <w:t>废气源</w:t>
                  </w:r>
                </w:p>
              </w:tc>
              <w:tc>
                <w:tcPr>
                  <w:tcW w:w="1190" w:type="pct"/>
                  <w:tcBorders>
                    <w:top w:val="single" w:color="000000" w:sz="12" w:space="0"/>
                    <w:left w:val="single" w:color="000000" w:sz="6" w:space="0"/>
                    <w:bottom w:val="single" w:color="000000" w:sz="6" w:space="0"/>
                    <w:right w:val="single" w:color="000000" w:sz="6" w:space="0"/>
                  </w:tcBorders>
                </w:tcPr>
                <w:p w14:paraId="69551A6C">
                  <w:pPr>
                    <w:pStyle w:val="154"/>
                    <w:rPr>
                      <w:sz w:val="21"/>
                      <w:szCs w:val="21"/>
                    </w:rPr>
                  </w:pPr>
                  <w:r>
                    <w:rPr>
                      <w:rFonts w:hint="eastAsia"/>
                      <w:sz w:val="21"/>
                      <w:szCs w:val="21"/>
                    </w:rPr>
                    <w:t>废气处理系统进口</w:t>
                  </w:r>
                </w:p>
              </w:tc>
              <w:tc>
                <w:tcPr>
                  <w:tcW w:w="1356" w:type="pct"/>
                  <w:tcBorders>
                    <w:top w:val="single" w:color="000000" w:sz="12" w:space="0"/>
                    <w:left w:val="single" w:color="000000" w:sz="6" w:space="0"/>
                    <w:bottom w:val="single" w:color="000000" w:sz="6" w:space="0"/>
                    <w:right w:val="single" w:color="000000" w:sz="6" w:space="0"/>
                  </w:tcBorders>
                </w:tcPr>
                <w:p w14:paraId="5120D756">
                  <w:pPr>
                    <w:pStyle w:val="154"/>
                    <w:rPr>
                      <w:sz w:val="21"/>
                      <w:szCs w:val="21"/>
                    </w:rPr>
                  </w:pPr>
                  <w:r>
                    <w:rPr>
                      <w:rFonts w:hint="eastAsia"/>
                      <w:sz w:val="21"/>
                      <w:szCs w:val="21"/>
                    </w:rPr>
                    <w:t>处理措施</w:t>
                  </w:r>
                </w:p>
              </w:tc>
              <w:tc>
                <w:tcPr>
                  <w:tcW w:w="1128" w:type="pct"/>
                  <w:tcBorders>
                    <w:top w:val="single" w:color="000000" w:sz="12" w:space="0"/>
                    <w:left w:val="single" w:color="000000" w:sz="6" w:space="0"/>
                    <w:bottom w:val="single" w:color="000000" w:sz="6" w:space="0"/>
                    <w:right w:val="single" w:color="000000" w:sz="12" w:space="0"/>
                  </w:tcBorders>
                </w:tcPr>
                <w:p w14:paraId="795BFA36">
                  <w:pPr>
                    <w:pStyle w:val="154"/>
                    <w:rPr>
                      <w:sz w:val="21"/>
                      <w:szCs w:val="21"/>
                    </w:rPr>
                  </w:pPr>
                  <w:r>
                    <w:rPr>
                      <w:rFonts w:hint="eastAsia"/>
                      <w:sz w:val="21"/>
                      <w:szCs w:val="21"/>
                    </w:rPr>
                    <w:t>排气筒出口</w:t>
                  </w:r>
                </w:p>
              </w:tc>
            </w:tr>
            <w:tr w14:paraId="49D9D7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95" w:type="pct"/>
                  <w:tcBorders>
                    <w:top w:val="single" w:color="000000" w:sz="6" w:space="0"/>
                    <w:left w:val="single" w:color="000000" w:sz="12" w:space="0"/>
                    <w:bottom w:val="single" w:color="000000" w:sz="12" w:space="0"/>
                    <w:right w:val="single" w:color="000000" w:sz="6" w:space="0"/>
                  </w:tcBorders>
                  <w:vAlign w:val="center"/>
                </w:tcPr>
                <w:p w14:paraId="6B0F7A80">
                  <w:pPr>
                    <w:pStyle w:val="154"/>
                    <w:rPr>
                      <w:sz w:val="21"/>
                      <w:szCs w:val="21"/>
                    </w:rPr>
                  </w:pPr>
                  <w:r>
                    <w:rPr>
                      <w:rFonts w:hint="eastAsia"/>
                      <w:sz w:val="21"/>
                      <w:szCs w:val="21"/>
                    </w:rPr>
                    <w:t>聚氨酯</w:t>
                  </w:r>
                </w:p>
                <w:p w14:paraId="6C798AB3">
                  <w:pPr>
                    <w:pStyle w:val="154"/>
                    <w:rPr>
                      <w:sz w:val="21"/>
                      <w:szCs w:val="21"/>
                    </w:rPr>
                  </w:pPr>
                  <w:r>
                    <w:rPr>
                      <w:rFonts w:hint="eastAsia"/>
                      <w:sz w:val="21"/>
                      <w:szCs w:val="21"/>
                    </w:rPr>
                    <w:t>生产线废气</w:t>
                  </w:r>
                </w:p>
              </w:tc>
              <w:tc>
                <w:tcPr>
                  <w:tcW w:w="531" w:type="pct"/>
                  <w:tcBorders>
                    <w:top w:val="single" w:color="000000" w:sz="6" w:space="0"/>
                    <w:left w:val="single" w:color="000000" w:sz="6" w:space="0"/>
                    <w:bottom w:val="single" w:color="000000" w:sz="12" w:space="0"/>
                    <w:right w:val="single" w:color="000000" w:sz="6" w:space="0"/>
                  </w:tcBorders>
                  <w:vAlign w:val="center"/>
                </w:tcPr>
                <w:p w14:paraId="6199A507">
                  <w:pPr>
                    <w:pStyle w:val="154"/>
                    <w:rPr>
                      <w:sz w:val="21"/>
                      <w:szCs w:val="21"/>
                    </w:rPr>
                  </w:pPr>
                  <w:r>
                    <w:rPr>
                      <w:rFonts w:hint="eastAsia"/>
                      <w:sz w:val="21"/>
                      <w:szCs w:val="21"/>
                    </w:rPr>
                    <w:t>非甲烷</w:t>
                  </w:r>
                </w:p>
                <w:p w14:paraId="73B63286">
                  <w:pPr>
                    <w:pStyle w:val="154"/>
                    <w:rPr>
                      <w:sz w:val="21"/>
                      <w:szCs w:val="21"/>
                    </w:rPr>
                  </w:pPr>
                  <w:r>
                    <w:rPr>
                      <w:rFonts w:hint="eastAsia"/>
                      <w:sz w:val="21"/>
                      <w:szCs w:val="21"/>
                    </w:rPr>
                    <w:t>总烃</w:t>
                  </w:r>
                </w:p>
              </w:tc>
              <w:tc>
                <w:tcPr>
                  <w:tcW w:w="1190" w:type="pct"/>
                  <w:tcBorders>
                    <w:top w:val="single" w:color="000000" w:sz="6" w:space="0"/>
                    <w:left w:val="single" w:color="000000" w:sz="6" w:space="0"/>
                    <w:bottom w:val="single" w:color="000000" w:sz="12" w:space="0"/>
                    <w:right w:val="single" w:color="000000" w:sz="6" w:space="0"/>
                  </w:tcBorders>
                </w:tcPr>
                <w:p w14:paraId="4AF914E2">
                  <w:pPr>
                    <w:pStyle w:val="154"/>
                    <w:rPr>
                      <w:sz w:val="21"/>
                      <w:szCs w:val="21"/>
                    </w:rPr>
                  </w:pPr>
                  <w:r>
                    <w:rPr>
                      <w:rFonts w:hint="eastAsia"/>
                      <w:sz w:val="21"/>
                      <w:szCs w:val="21"/>
                    </w:rPr>
                    <w:t>风量：</w:t>
                  </w:r>
                  <w:r>
                    <w:rPr>
                      <w:sz w:val="21"/>
                      <w:szCs w:val="21"/>
                    </w:rPr>
                    <w:t>3020m</w:t>
                  </w:r>
                  <w:r>
                    <w:rPr>
                      <w:sz w:val="21"/>
                      <w:szCs w:val="21"/>
                      <w:vertAlign w:val="superscript"/>
                    </w:rPr>
                    <w:t>3</w:t>
                  </w:r>
                  <w:r>
                    <w:rPr>
                      <w:sz w:val="21"/>
                      <w:szCs w:val="21"/>
                    </w:rPr>
                    <w:t>/h</w:t>
                  </w:r>
                </w:p>
                <w:p w14:paraId="254C2C4F">
                  <w:pPr>
                    <w:pStyle w:val="154"/>
                    <w:rPr>
                      <w:sz w:val="21"/>
                      <w:szCs w:val="21"/>
                    </w:rPr>
                  </w:pPr>
                  <w:r>
                    <w:rPr>
                      <w:rFonts w:hint="eastAsia"/>
                      <w:sz w:val="21"/>
                      <w:szCs w:val="21"/>
                    </w:rPr>
                    <w:t>浓度：</w:t>
                  </w:r>
                  <w:r>
                    <w:rPr>
                      <w:sz w:val="21"/>
                      <w:szCs w:val="21"/>
                    </w:rPr>
                    <w:t>23.0mg/m</w:t>
                  </w:r>
                  <w:r>
                    <w:rPr>
                      <w:sz w:val="21"/>
                      <w:szCs w:val="21"/>
                      <w:vertAlign w:val="superscript"/>
                    </w:rPr>
                    <w:t>3</w:t>
                  </w:r>
                </w:p>
                <w:p w14:paraId="45CBC4BA">
                  <w:pPr>
                    <w:pStyle w:val="154"/>
                    <w:rPr>
                      <w:sz w:val="21"/>
                      <w:szCs w:val="21"/>
                    </w:rPr>
                  </w:pPr>
                  <w:r>
                    <w:rPr>
                      <w:rFonts w:hint="eastAsia"/>
                      <w:sz w:val="21"/>
                      <w:szCs w:val="21"/>
                    </w:rPr>
                    <w:t>速率：</w:t>
                  </w:r>
                  <w:r>
                    <w:rPr>
                      <w:sz w:val="21"/>
                      <w:szCs w:val="21"/>
                    </w:rPr>
                    <w:t>0.0693kg/h</w:t>
                  </w:r>
                </w:p>
              </w:tc>
              <w:tc>
                <w:tcPr>
                  <w:tcW w:w="1356" w:type="pct"/>
                  <w:tcBorders>
                    <w:top w:val="single" w:color="000000" w:sz="6" w:space="0"/>
                    <w:left w:val="single" w:color="000000" w:sz="6" w:space="0"/>
                    <w:bottom w:val="single" w:color="000000" w:sz="12" w:space="0"/>
                    <w:right w:val="single" w:color="000000" w:sz="6" w:space="0"/>
                  </w:tcBorders>
                  <w:vAlign w:val="center"/>
                </w:tcPr>
                <w:p w14:paraId="75D2688A">
                  <w:pPr>
                    <w:pStyle w:val="154"/>
                    <w:rPr>
                      <w:sz w:val="21"/>
                      <w:szCs w:val="21"/>
                    </w:rPr>
                  </w:pPr>
                  <w:r>
                    <w:rPr>
                      <w:sz w:val="21"/>
                      <w:szCs w:val="21"/>
                    </w:rPr>
                    <w:t>UV</w:t>
                  </w:r>
                  <w:r>
                    <w:rPr>
                      <w:rFonts w:hint="eastAsia"/>
                      <w:sz w:val="21"/>
                      <w:szCs w:val="21"/>
                    </w:rPr>
                    <w:t>光氧</w:t>
                  </w:r>
                  <w:r>
                    <w:rPr>
                      <w:sz w:val="21"/>
                      <w:szCs w:val="21"/>
                    </w:rPr>
                    <w:t>+</w:t>
                  </w:r>
                  <w:r>
                    <w:rPr>
                      <w:rFonts w:hint="eastAsia"/>
                      <w:sz w:val="21"/>
                      <w:szCs w:val="21"/>
                    </w:rPr>
                    <w:t>活性炭吸附</w:t>
                  </w:r>
                </w:p>
              </w:tc>
              <w:tc>
                <w:tcPr>
                  <w:tcW w:w="1128" w:type="pct"/>
                  <w:tcBorders>
                    <w:top w:val="single" w:color="000000" w:sz="6" w:space="0"/>
                    <w:left w:val="single" w:color="000000" w:sz="6" w:space="0"/>
                    <w:bottom w:val="single" w:color="000000" w:sz="12" w:space="0"/>
                    <w:right w:val="single" w:color="000000" w:sz="12" w:space="0"/>
                  </w:tcBorders>
                </w:tcPr>
                <w:p w14:paraId="05E4FD7C">
                  <w:pPr>
                    <w:pStyle w:val="154"/>
                    <w:rPr>
                      <w:sz w:val="21"/>
                      <w:szCs w:val="21"/>
                    </w:rPr>
                  </w:pPr>
                  <w:r>
                    <w:rPr>
                      <w:rFonts w:hint="eastAsia"/>
                      <w:sz w:val="21"/>
                      <w:szCs w:val="21"/>
                    </w:rPr>
                    <w:t>风量：</w:t>
                  </w:r>
                  <w:r>
                    <w:rPr>
                      <w:sz w:val="21"/>
                      <w:szCs w:val="21"/>
                    </w:rPr>
                    <w:t>3320m</w:t>
                  </w:r>
                  <w:r>
                    <w:rPr>
                      <w:sz w:val="21"/>
                      <w:szCs w:val="21"/>
                      <w:vertAlign w:val="superscript"/>
                    </w:rPr>
                    <w:t>3</w:t>
                  </w:r>
                  <w:r>
                    <w:rPr>
                      <w:sz w:val="21"/>
                      <w:szCs w:val="21"/>
                    </w:rPr>
                    <w:t>/h</w:t>
                  </w:r>
                </w:p>
                <w:p w14:paraId="3D7345BC">
                  <w:pPr>
                    <w:pStyle w:val="154"/>
                    <w:rPr>
                      <w:sz w:val="21"/>
                      <w:szCs w:val="21"/>
                    </w:rPr>
                  </w:pPr>
                  <w:r>
                    <w:rPr>
                      <w:rFonts w:hint="eastAsia"/>
                      <w:sz w:val="21"/>
                      <w:szCs w:val="21"/>
                    </w:rPr>
                    <w:t>浓度：</w:t>
                  </w:r>
                  <w:r>
                    <w:rPr>
                      <w:sz w:val="21"/>
                      <w:szCs w:val="21"/>
                    </w:rPr>
                    <w:t>4.13mg/m</w:t>
                  </w:r>
                  <w:r>
                    <w:rPr>
                      <w:sz w:val="21"/>
                      <w:szCs w:val="21"/>
                      <w:vertAlign w:val="superscript"/>
                    </w:rPr>
                    <w:t>3</w:t>
                  </w:r>
                </w:p>
                <w:p w14:paraId="09B627C2">
                  <w:pPr>
                    <w:pStyle w:val="154"/>
                    <w:rPr>
                      <w:sz w:val="21"/>
                      <w:szCs w:val="21"/>
                    </w:rPr>
                  </w:pPr>
                  <w:r>
                    <w:rPr>
                      <w:rFonts w:hint="eastAsia"/>
                      <w:sz w:val="21"/>
                      <w:szCs w:val="21"/>
                    </w:rPr>
                    <w:t>速率：</w:t>
                  </w:r>
                  <w:r>
                    <w:rPr>
                      <w:sz w:val="21"/>
                      <w:szCs w:val="21"/>
                    </w:rPr>
                    <w:t>0.0137kg/h</w:t>
                  </w:r>
                </w:p>
              </w:tc>
            </w:tr>
          </w:tbl>
          <w:p w14:paraId="34FA68E4">
            <w:pPr>
              <w:pStyle w:val="182"/>
              <w:ind w:firstLine="480"/>
            </w:pPr>
            <w:r>
              <w:rPr>
                <w:rFonts w:hint="eastAsia"/>
              </w:rPr>
              <w:t>表</w:t>
            </w:r>
            <w:r>
              <w:t xml:space="preserve">4-4                   </w:t>
            </w:r>
            <w:r>
              <w:rPr>
                <w:rFonts w:hint="eastAsia"/>
              </w:rPr>
              <w:t>类比可行性分析表</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6"/>
              <w:gridCol w:w="5407"/>
            </w:tblGrid>
            <w:tr w14:paraId="11134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6" w:type="dxa"/>
                  <w:tcBorders>
                    <w:top w:val="single" w:color="auto" w:sz="12" w:space="0"/>
                    <w:left w:val="single" w:color="auto" w:sz="12" w:space="0"/>
                    <w:bottom w:val="single" w:color="auto" w:sz="6" w:space="0"/>
                    <w:right w:val="single" w:color="auto" w:sz="6" w:space="0"/>
                  </w:tcBorders>
                  <w:vAlign w:val="center"/>
                </w:tcPr>
                <w:p w14:paraId="7B5FFFAB">
                  <w:pPr>
                    <w:pStyle w:val="154"/>
                    <w:rPr>
                      <w:sz w:val="21"/>
                      <w:szCs w:val="21"/>
                    </w:rPr>
                  </w:pPr>
                  <w:r>
                    <w:rPr>
                      <w:rFonts w:hint="eastAsia"/>
                      <w:sz w:val="21"/>
                      <w:szCs w:val="21"/>
                    </w:rPr>
                    <w:t>要求</w:t>
                  </w:r>
                </w:p>
              </w:tc>
              <w:tc>
                <w:tcPr>
                  <w:tcW w:w="5407" w:type="dxa"/>
                  <w:tcBorders>
                    <w:top w:val="single" w:color="auto" w:sz="12" w:space="0"/>
                    <w:left w:val="single" w:color="auto" w:sz="6" w:space="0"/>
                    <w:bottom w:val="single" w:color="auto" w:sz="6" w:space="0"/>
                    <w:right w:val="single" w:color="auto" w:sz="12" w:space="0"/>
                  </w:tcBorders>
                  <w:vAlign w:val="center"/>
                </w:tcPr>
                <w:p w14:paraId="352983A2">
                  <w:pPr>
                    <w:pStyle w:val="154"/>
                    <w:rPr>
                      <w:sz w:val="21"/>
                      <w:szCs w:val="21"/>
                    </w:rPr>
                  </w:pPr>
                  <w:r>
                    <w:rPr>
                      <w:rFonts w:hint="eastAsia"/>
                      <w:sz w:val="21"/>
                      <w:szCs w:val="21"/>
                    </w:rPr>
                    <w:t>类比可行性</w:t>
                  </w:r>
                </w:p>
              </w:tc>
            </w:tr>
            <w:tr w14:paraId="10EE8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6" w:type="dxa"/>
                  <w:tcBorders>
                    <w:top w:val="single" w:color="auto" w:sz="6" w:space="0"/>
                    <w:left w:val="single" w:color="auto" w:sz="12" w:space="0"/>
                    <w:bottom w:val="single" w:color="auto" w:sz="6" w:space="0"/>
                    <w:right w:val="single" w:color="auto" w:sz="6" w:space="0"/>
                  </w:tcBorders>
                  <w:vAlign w:val="center"/>
                </w:tcPr>
                <w:p w14:paraId="15940B7D">
                  <w:pPr>
                    <w:pStyle w:val="154"/>
                    <w:rPr>
                      <w:sz w:val="21"/>
                      <w:szCs w:val="21"/>
                    </w:rPr>
                  </w:pPr>
                  <w:r>
                    <w:rPr>
                      <w:rFonts w:hint="eastAsia"/>
                      <w:sz w:val="21"/>
                      <w:szCs w:val="21"/>
                    </w:rPr>
                    <w:t>原辅材料类型相同且与污染物排放相关的成分相似</w:t>
                  </w:r>
                </w:p>
              </w:tc>
              <w:tc>
                <w:tcPr>
                  <w:tcW w:w="5407" w:type="dxa"/>
                  <w:tcBorders>
                    <w:top w:val="single" w:color="auto" w:sz="6" w:space="0"/>
                    <w:left w:val="single" w:color="auto" w:sz="6" w:space="0"/>
                    <w:bottom w:val="single" w:color="auto" w:sz="6" w:space="0"/>
                    <w:right w:val="single" w:color="auto" w:sz="12" w:space="0"/>
                  </w:tcBorders>
                  <w:vAlign w:val="center"/>
                </w:tcPr>
                <w:p w14:paraId="2C8F3471">
                  <w:pPr>
                    <w:pStyle w:val="154"/>
                    <w:rPr>
                      <w:sz w:val="21"/>
                      <w:szCs w:val="21"/>
                    </w:rPr>
                  </w:pPr>
                  <w:r>
                    <w:rPr>
                      <w:rFonts w:hint="eastAsia"/>
                      <w:sz w:val="21"/>
                      <w:szCs w:val="21"/>
                    </w:rPr>
                    <w:t>本工程使用的原辅材料类型与类比工程相同，且排放的污染物相同，类比工程已竣工验收，类比可行</w:t>
                  </w:r>
                </w:p>
              </w:tc>
            </w:tr>
            <w:tr w14:paraId="591F5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6" w:type="dxa"/>
                  <w:tcBorders>
                    <w:top w:val="single" w:color="auto" w:sz="6" w:space="0"/>
                    <w:left w:val="single" w:color="auto" w:sz="12" w:space="0"/>
                    <w:bottom w:val="single" w:color="auto" w:sz="6" w:space="0"/>
                    <w:right w:val="single" w:color="auto" w:sz="6" w:space="0"/>
                  </w:tcBorders>
                  <w:vAlign w:val="center"/>
                </w:tcPr>
                <w:p w14:paraId="74F17795">
                  <w:pPr>
                    <w:pStyle w:val="154"/>
                    <w:rPr>
                      <w:sz w:val="21"/>
                      <w:szCs w:val="21"/>
                    </w:rPr>
                  </w:pPr>
                  <w:r>
                    <w:rPr>
                      <w:rFonts w:hint="eastAsia"/>
                      <w:sz w:val="21"/>
                      <w:szCs w:val="21"/>
                    </w:rPr>
                    <w:t>生产工艺相似</w:t>
                  </w:r>
                </w:p>
              </w:tc>
              <w:tc>
                <w:tcPr>
                  <w:tcW w:w="5407" w:type="dxa"/>
                  <w:tcBorders>
                    <w:top w:val="single" w:color="auto" w:sz="6" w:space="0"/>
                    <w:left w:val="single" w:color="auto" w:sz="6" w:space="0"/>
                    <w:bottom w:val="single" w:color="auto" w:sz="6" w:space="0"/>
                    <w:right w:val="single" w:color="auto" w:sz="12" w:space="0"/>
                  </w:tcBorders>
                  <w:vAlign w:val="center"/>
                </w:tcPr>
                <w:p w14:paraId="6DD4130D">
                  <w:pPr>
                    <w:pStyle w:val="154"/>
                    <w:rPr>
                      <w:sz w:val="21"/>
                      <w:szCs w:val="21"/>
                    </w:rPr>
                  </w:pPr>
                  <w:r>
                    <w:rPr>
                      <w:rFonts w:hint="eastAsia"/>
                      <w:sz w:val="21"/>
                      <w:szCs w:val="21"/>
                    </w:rPr>
                    <w:t>本工程工艺与类比工程工艺相同，类比可行</w:t>
                  </w:r>
                </w:p>
              </w:tc>
            </w:tr>
            <w:tr w14:paraId="7960D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6" w:type="dxa"/>
                  <w:tcBorders>
                    <w:top w:val="single" w:color="auto" w:sz="6" w:space="0"/>
                    <w:left w:val="single" w:color="auto" w:sz="12" w:space="0"/>
                    <w:bottom w:val="single" w:color="auto" w:sz="6" w:space="0"/>
                    <w:right w:val="single" w:color="auto" w:sz="6" w:space="0"/>
                  </w:tcBorders>
                  <w:vAlign w:val="center"/>
                </w:tcPr>
                <w:p w14:paraId="5F113C47">
                  <w:pPr>
                    <w:pStyle w:val="154"/>
                    <w:rPr>
                      <w:sz w:val="21"/>
                      <w:szCs w:val="21"/>
                    </w:rPr>
                  </w:pPr>
                  <w:r>
                    <w:rPr>
                      <w:rFonts w:hint="eastAsia"/>
                      <w:sz w:val="21"/>
                      <w:szCs w:val="21"/>
                    </w:rPr>
                    <w:t>产品类型相同</w:t>
                  </w:r>
                </w:p>
              </w:tc>
              <w:tc>
                <w:tcPr>
                  <w:tcW w:w="5407" w:type="dxa"/>
                  <w:tcBorders>
                    <w:top w:val="single" w:color="auto" w:sz="6" w:space="0"/>
                    <w:left w:val="single" w:color="auto" w:sz="6" w:space="0"/>
                    <w:bottom w:val="single" w:color="auto" w:sz="6" w:space="0"/>
                    <w:right w:val="single" w:color="auto" w:sz="12" w:space="0"/>
                  </w:tcBorders>
                  <w:vAlign w:val="center"/>
                </w:tcPr>
                <w:p w14:paraId="5C4DEF14">
                  <w:pPr>
                    <w:pStyle w:val="154"/>
                    <w:rPr>
                      <w:sz w:val="21"/>
                      <w:szCs w:val="21"/>
                    </w:rPr>
                  </w:pPr>
                  <w:r>
                    <w:rPr>
                      <w:rFonts w:hint="eastAsia"/>
                      <w:sz w:val="21"/>
                      <w:szCs w:val="21"/>
                    </w:rPr>
                    <w:t>本工程产品类型与类比工程产品类型相同，类比可行</w:t>
                  </w:r>
                </w:p>
              </w:tc>
            </w:tr>
            <w:tr w14:paraId="47DAE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426" w:type="dxa"/>
                  <w:tcBorders>
                    <w:top w:val="single" w:color="auto" w:sz="6" w:space="0"/>
                    <w:left w:val="single" w:color="auto" w:sz="12" w:space="0"/>
                    <w:bottom w:val="single" w:color="auto" w:sz="12" w:space="0"/>
                    <w:right w:val="single" w:color="auto" w:sz="6" w:space="0"/>
                  </w:tcBorders>
                  <w:vAlign w:val="center"/>
                </w:tcPr>
                <w:p w14:paraId="7B47ACB9">
                  <w:pPr>
                    <w:pStyle w:val="154"/>
                    <w:rPr>
                      <w:sz w:val="21"/>
                      <w:szCs w:val="21"/>
                    </w:rPr>
                  </w:pPr>
                  <w:r>
                    <w:rPr>
                      <w:rFonts w:hint="eastAsia"/>
                      <w:sz w:val="21"/>
                      <w:szCs w:val="21"/>
                    </w:rPr>
                    <w:t>污染控制措施相似，且污染物设计去除效率不低于类比对象去除效率</w:t>
                  </w:r>
                </w:p>
              </w:tc>
              <w:tc>
                <w:tcPr>
                  <w:tcW w:w="5407" w:type="dxa"/>
                  <w:tcBorders>
                    <w:top w:val="single" w:color="auto" w:sz="6" w:space="0"/>
                    <w:left w:val="single" w:color="auto" w:sz="6" w:space="0"/>
                    <w:bottom w:val="single" w:color="auto" w:sz="12" w:space="0"/>
                    <w:right w:val="single" w:color="auto" w:sz="12" w:space="0"/>
                  </w:tcBorders>
                  <w:vAlign w:val="center"/>
                </w:tcPr>
                <w:p w14:paraId="3F5534F0">
                  <w:pPr>
                    <w:pStyle w:val="154"/>
                    <w:rPr>
                      <w:sz w:val="21"/>
                      <w:szCs w:val="21"/>
                    </w:rPr>
                  </w:pPr>
                  <w:r>
                    <w:rPr>
                      <w:rFonts w:hint="eastAsia"/>
                      <w:sz w:val="21"/>
                      <w:szCs w:val="21"/>
                    </w:rPr>
                    <w:t>本工程的污染控制措施与类比工程相似，且污染物的去除效率不低于类比工程去除效率，类比可行</w:t>
                  </w:r>
                </w:p>
              </w:tc>
            </w:tr>
          </w:tbl>
          <w:p w14:paraId="7C5E2061">
            <w:pPr>
              <w:pStyle w:val="156"/>
              <w:ind w:firstLine="482"/>
              <w:rPr>
                <w:rFonts w:eastAsia="宋体"/>
                <w:b/>
                <w:u w:val="single"/>
              </w:rPr>
            </w:pPr>
            <w:r>
              <w:rPr>
                <w:rFonts w:hint="eastAsia" w:eastAsia="宋体"/>
                <w:b/>
                <w:u w:val="single"/>
              </w:rPr>
              <w:t>非甲烷总烃进口速率为</w:t>
            </w:r>
            <w:r>
              <w:rPr>
                <w:rFonts w:eastAsia="宋体"/>
                <w:b/>
                <w:u w:val="single"/>
              </w:rPr>
              <w:t>0.0</w:t>
            </w:r>
            <w:r>
              <w:rPr>
                <w:rFonts w:hint="eastAsia" w:eastAsia="宋体"/>
                <w:b/>
                <w:u w:val="single"/>
              </w:rPr>
              <w:t>693</w:t>
            </w:r>
            <w:r>
              <w:rPr>
                <w:rFonts w:eastAsia="宋体"/>
                <w:b/>
                <w:u w:val="single"/>
              </w:rPr>
              <w:t>kg/h</w:t>
            </w:r>
            <w:r>
              <w:rPr>
                <w:rFonts w:hint="eastAsia" w:eastAsia="宋体"/>
                <w:b/>
                <w:u w:val="single"/>
              </w:rPr>
              <w:t>，年排放时间</w:t>
            </w:r>
            <w:r>
              <w:rPr>
                <w:rFonts w:eastAsia="宋体"/>
                <w:b/>
                <w:u w:val="single"/>
              </w:rPr>
              <w:t>2400h</w:t>
            </w:r>
            <w:r>
              <w:rPr>
                <w:rFonts w:hint="eastAsia" w:eastAsia="宋体"/>
                <w:b/>
                <w:u w:val="single"/>
              </w:rPr>
              <w:t>，类比项目非甲烷总烃有组织产生量</w:t>
            </w:r>
            <w:r>
              <w:rPr>
                <w:rFonts w:eastAsia="宋体"/>
                <w:b/>
                <w:u w:val="single"/>
              </w:rPr>
              <w:t>0.1</w:t>
            </w:r>
            <w:r>
              <w:rPr>
                <w:rFonts w:hint="eastAsia" w:eastAsia="宋体"/>
                <w:b/>
                <w:u w:val="single"/>
              </w:rPr>
              <w:t>7</w:t>
            </w:r>
            <w:r>
              <w:rPr>
                <w:rFonts w:eastAsia="宋体"/>
                <w:b/>
                <w:u w:val="single"/>
              </w:rPr>
              <w:t>t/a</w:t>
            </w:r>
            <w:r>
              <w:rPr>
                <w:rFonts w:hint="eastAsia" w:eastAsia="宋体"/>
                <w:b/>
                <w:u w:val="single"/>
              </w:rPr>
              <w:t>，集气罩收集效率按</w:t>
            </w:r>
            <w:r>
              <w:rPr>
                <w:rFonts w:eastAsia="宋体"/>
                <w:b/>
                <w:u w:val="single"/>
              </w:rPr>
              <w:t>90%</w:t>
            </w:r>
            <w:r>
              <w:rPr>
                <w:rFonts w:hint="eastAsia" w:eastAsia="宋体"/>
                <w:b/>
                <w:u w:val="single"/>
              </w:rPr>
              <w:t>计，则类比项目非甲烷总烃产生量</w:t>
            </w:r>
            <w:r>
              <w:rPr>
                <w:rFonts w:eastAsia="宋体"/>
                <w:b/>
                <w:u w:val="single"/>
              </w:rPr>
              <w:t>0.</w:t>
            </w:r>
            <w:r>
              <w:rPr>
                <w:rFonts w:hint="eastAsia" w:eastAsia="宋体"/>
                <w:b/>
                <w:u w:val="single"/>
              </w:rPr>
              <w:t>19</w:t>
            </w:r>
            <w:r>
              <w:rPr>
                <w:rFonts w:eastAsia="宋体"/>
                <w:b/>
                <w:u w:val="single"/>
              </w:rPr>
              <w:t>t/a</w:t>
            </w:r>
            <w:r>
              <w:rPr>
                <w:rFonts w:hint="eastAsia" w:eastAsia="宋体"/>
                <w:b/>
                <w:u w:val="single"/>
              </w:rPr>
              <w:t>。即非甲烷总烃产生系数为</w:t>
            </w:r>
            <w:r>
              <w:rPr>
                <w:rFonts w:eastAsia="宋体"/>
                <w:b/>
                <w:u w:val="single"/>
              </w:rPr>
              <w:t>0.6</w:t>
            </w:r>
            <w:r>
              <w:rPr>
                <w:rFonts w:hint="eastAsia" w:eastAsia="宋体"/>
                <w:b/>
                <w:u w:val="single"/>
              </w:rPr>
              <w:t>33</w:t>
            </w:r>
            <w:r>
              <w:rPr>
                <w:rFonts w:eastAsia="宋体"/>
                <w:b/>
                <w:u w:val="single"/>
              </w:rPr>
              <w:t>g/</w:t>
            </w:r>
            <w:r>
              <w:rPr>
                <w:rFonts w:hint="eastAsia" w:eastAsia="宋体"/>
                <w:b/>
                <w:u w:val="single"/>
              </w:rPr>
              <w:t>双。</w:t>
            </w:r>
          </w:p>
          <w:p w14:paraId="6DB97C33">
            <w:pPr>
              <w:pStyle w:val="156"/>
              <w:ind w:firstLine="482"/>
              <w:rPr>
                <w:rFonts w:eastAsia="宋体"/>
                <w:b/>
                <w:u w:val="single"/>
              </w:rPr>
            </w:pPr>
            <w:r>
              <w:rPr>
                <w:rFonts w:hint="eastAsia" w:eastAsia="宋体"/>
                <w:b/>
                <w:u w:val="single"/>
              </w:rPr>
              <w:t>本项目聚氨酯工艺流水线年产布鞋50万双，根据类比资料，本项目聚氨酯工艺流水线非甲烷总烃产生量为0.3165</w:t>
            </w:r>
            <w:r>
              <w:rPr>
                <w:rFonts w:eastAsia="宋体"/>
                <w:b/>
                <w:u w:val="single"/>
              </w:rPr>
              <w:t>t/a</w:t>
            </w:r>
            <w:r>
              <w:rPr>
                <w:rFonts w:hint="eastAsia" w:eastAsia="宋体"/>
                <w:b/>
                <w:u w:val="single"/>
              </w:rPr>
              <w:t>。年运行时长为24</w:t>
            </w:r>
            <w:r>
              <w:rPr>
                <w:rFonts w:eastAsia="宋体"/>
                <w:b/>
                <w:u w:val="single"/>
              </w:rPr>
              <w:t>00h</w:t>
            </w:r>
            <w:r>
              <w:rPr>
                <w:rFonts w:hint="eastAsia" w:eastAsia="宋体"/>
                <w:b/>
                <w:u w:val="single"/>
              </w:rPr>
              <w:t>。</w:t>
            </w:r>
          </w:p>
          <w:p w14:paraId="4B2CAA8A">
            <w:pPr>
              <w:pStyle w:val="156"/>
              <w:ind w:firstLine="0" w:firstLineChars="0"/>
            </w:pPr>
            <w:r>
              <w:rPr>
                <w:rFonts w:hint="eastAsia"/>
              </w:rPr>
              <w:t>1.2.3、鞋面布激光切割废气</w:t>
            </w:r>
          </w:p>
          <w:p w14:paraId="2D04ABDE">
            <w:pPr>
              <w:pStyle w:val="156"/>
              <w:ind w:firstLine="480"/>
            </w:pPr>
            <w:r>
              <w:rPr>
                <w:rFonts w:hint="eastAsia"/>
              </w:rPr>
              <w:t>本项目鞋面布切割过程会产生废气，主要污染因子为非甲烷总烃。</w:t>
            </w:r>
          </w:p>
          <w:p w14:paraId="7051FA18">
            <w:pPr>
              <w:pStyle w:val="156"/>
              <w:ind w:firstLine="480"/>
            </w:pPr>
            <w:r>
              <w:rPr>
                <w:rFonts w:hint="eastAsia"/>
              </w:rPr>
              <w:t>类比洛阳亨远飞织机械设备有限公司季度性检测数据。洛阳亨远飞织机械设备有限公司位于河南省洛阳市偃师市产业集聚区，年产10万双飞织鞋帮。主要生产工艺为：飞织线→编织→熨烫→激光切割→压花→鞋帮。激光切割过程产生的废气经收集后，经过一套“两级活性炭吸附”装置处理后排放。季度性检测报告显示，废气处理设施进口非甲烷总烃速率为0.025kg/h（监测期间满负荷生产）。</w:t>
            </w:r>
          </w:p>
          <w:p w14:paraId="0E93BE8F">
            <w:pPr>
              <w:pStyle w:val="156"/>
              <w:ind w:firstLine="480"/>
            </w:pPr>
            <w:r>
              <w:rPr>
                <w:rFonts w:hint="eastAsia"/>
                <w:bCs/>
              </w:rPr>
              <w:t>年排放时间2400h，类比项目非甲烷总烃有组织产生量0.06t/a，集气罩收集效率按90%计，则类比项目非甲烷总烃产生量0.067t/a。即非甲烷总烃产生系数为0.67g/双。</w:t>
            </w:r>
          </w:p>
          <w:p w14:paraId="38803903">
            <w:pPr>
              <w:pStyle w:val="156"/>
              <w:ind w:firstLine="480"/>
            </w:pPr>
            <w:r>
              <w:rPr>
                <w:rFonts w:hint="eastAsia"/>
              </w:rPr>
              <w:t>本项目鞋帮加工量为50万双/a，根据类比资料，本项目鞋面布切割废气产生量为：非甲烷总烃0.3350t/a，年运行时长为2400h。</w:t>
            </w:r>
          </w:p>
          <w:p w14:paraId="057BF842">
            <w:pPr>
              <w:pStyle w:val="156"/>
              <w:ind w:firstLine="0" w:firstLineChars="0"/>
              <w:rPr>
                <w:rFonts w:eastAsia="宋体"/>
              </w:rPr>
            </w:pPr>
            <w:r>
              <w:rPr>
                <w:rFonts w:hint="eastAsia" w:eastAsia="宋体"/>
              </w:rPr>
              <w:t>1.3、废气收集处理措施</w:t>
            </w:r>
          </w:p>
          <w:p w14:paraId="692D437A">
            <w:pPr>
              <w:pStyle w:val="179"/>
            </w:pPr>
            <w:r>
              <w:t>（</w:t>
            </w:r>
            <w:r>
              <w:rPr>
                <w:rFonts w:hint="eastAsia"/>
              </w:rPr>
              <w:t>1</w:t>
            </w:r>
            <w:r>
              <w:t>）</w:t>
            </w:r>
            <w:r>
              <w:rPr>
                <w:rFonts w:hint="eastAsia"/>
              </w:rPr>
              <w:t>注塑生产线含尘、VOCs废气</w:t>
            </w:r>
            <w:r>
              <w:t>收集措施</w:t>
            </w:r>
          </w:p>
          <w:p w14:paraId="4EF190E2">
            <w:pPr>
              <w:pStyle w:val="156"/>
              <w:ind w:firstLine="480"/>
            </w:pPr>
            <w:r>
              <w:rPr>
                <w:rFonts w:hint="eastAsia"/>
              </w:rPr>
              <w:t>投料和破碎不同时使用，在注塑机料斗和破碎机料斗的上方集气罩上分别安装开关阀门，计算风量按照1台计算。</w:t>
            </w:r>
          </w:p>
          <w:p w14:paraId="0AC4DC9C">
            <w:pPr>
              <w:pStyle w:val="156"/>
              <w:ind w:firstLine="480"/>
              <w:rPr>
                <w:rFonts w:eastAsia="宋体" w:cs="Times New Roman"/>
              </w:rPr>
            </w:pPr>
            <w:r>
              <w:rPr>
                <w:rFonts w:hint="eastAsia" w:eastAsia="宋体" w:cs="Times New Roman"/>
              </w:rPr>
              <w:t>投料工序：在注塑机料斗</w:t>
            </w:r>
            <w:r>
              <w:rPr>
                <w:rFonts w:eastAsia="宋体" w:cs="Times New Roman"/>
              </w:rPr>
              <w:t>上方设置集气罩（集气罩口面积为0.4m×0.4m，设置</w:t>
            </w:r>
            <w:r>
              <w:rPr>
                <w:rFonts w:hint="eastAsia" w:eastAsia="宋体" w:cs="Times New Roman"/>
              </w:rPr>
              <w:t>5</w:t>
            </w:r>
            <w:r>
              <w:rPr>
                <w:rFonts w:eastAsia="宋体" w:cs="Times New Roman"/>
              </w:rPr>
              <w:t>个</w:t>
            </w:r>
            <w:r>
              <w:rPr>
                <w:rFonts w:hint="eastAsia" w:eastAsia="宋体" w:cs="Times New Roman"/>
              </w:rPr>
              <w:t>，不同时使用，按1台计算</w:t>
            </w:r>
            <w:r>
              <w:rPr>
                <w:rFonts w:eastAsia="宋体" w:cs="Times New Roman"/>
              </w:rPr>
              <w:t>）</w:t>
            </w:r>
            <w:r>
              <w:rPr>
                <w:rFonts w:hint="eastAsia" w:eastAsia="宋体" w:cs="Times New Roman"/>
              </w:rPr>
              <w:t>；</w:t>
            </w:r>
          </w:p>
          <w:p w14:paraId="331D5B0D">
            <w:pPr>
              <w:pStyle w:val="156"/>
              <w:ind w:firstLine="480"/>
              <w:rPr>
                <w:rFonts w:eastAsia="宋体" w:cs="Times New Roman"/>
              </w:rPr>
            </w:pPr>
            <w:r>
              <w:rPr>
                <w:rFonts w:hint="eastAsia" w:eastAsia="宋体" w:cs="Times New Roman"/>
              </w:rPr>
              <w:t>搅拌工序：在搅拌机</w:t>
            </w:r>
            <w:r>
              <w:rPr>
                <w:rFonts w:eastAsia="宋体" w:cs="Times New Roman"/>
              </w:rPr>
              <w:t>上方设置集气罩（集气罩口面积为</w:t>
            </w:r>
            <w:r>
              <w:rPr>
                <w:rFonts w:hint="eastAsia" w:eastAsia="宋体" w:cs="Times New Roman"/>
              </w:rPr>
              <w:t>0.4</w:t>
            </w:r>
            <w:r>
              <w:rPr>
                <w:rFonts w:eastAsia="宋体" w:cs="Times New Roman"/>
              </w:rPr>
              <w:t>m×</w:t>
            </w:r>
            <w:r>
              <w:rPr>
                <w:rFonts w:hint="eastAsia" w:eastAsia="宋体" w:cs="Times New Roman"/>
              </w:rPr>
              <w:t>0.4</w:t>
            </w:r>
            <w:r>
              <w:rPr>
                <w:rFonts w:eastAsia="宋体" w:cs="Times New Roman"/>
              </w:rPr>
              <w:t>m，设置</w:t>
            </w:r>
            <w:r>
              <w:rPr>
                <w:rFonts w:hint="eastAsia" w:eastAsia="宋体" w:cs="Times New Roman"/>
              </w:rPr>
              <w:t>3</w:t>
            </w:r>
            <w:r>
              <w:rPr>
                <w:rFonts w:eastAsia="宋体" w:cs="Times New Roman"/>
              </w:rPr>
              <w:t>个）</w:t>
            </w:r>
            <w:r>
              <w:rPr>
                <w:rFonts w:hint="eastAsia" w:eastAsia="宋体" w:cs="Times New Roman"/>
              </w:rPr>
              <w:t>；</w:t>
            </w:r>
          </w:p>
          <w:p w14:paraId="2D1772A3">
            <w:pPr>
              <w:pStyle w:val="156"/>
              <w:ind w:firstLine="480"/>
              <w:rPr>
                <w:rFonts w:eastAsia="宋体" w:cs="Times New Roman"/>
              </w:rPr>
            </w:pPr>
            <w:r>
              <w:rPr>
                <w:rFonts w:hint="eastAsia" w:eastAsia="宋体" w:cs="Times New Roman"/>
              </w:rPr>
              <w:t>破</w:t>
            </w:r>
            <w:r>
              <w:rPr>
                <w:rFonts w:eastAsia="宋体" w:cs="Times New Roman"/>
              </w:rPr>
              <w:t>碎</w:t>
            </w:r>
            <w:r>
              <w:rPr>
                <w:rFonts w:hint="eastAsia" w:eastAsia="宋体" w:cs="Times New Roman"/>
              </w:rPr>
              <w:t>工序：在破碎机</w:t>
            </w:r>
            <w:r>
              <w:rPr>
                <w:rFonts w:eastAsia="宋体" w:cs="Times New Roman"/>
              </w:rPr>
              <w:t>上方设置集气罩（集气罩口面积为0.</w:t>
            </w:r>
            <w:r>
              <w:rPr>
                <w:rFonts w:hint="eastAsia" w:eastAsia="宋体" w:cs="Times New Roman"/>
              </w:rPr>
              <w:t>3</w:t>
            </w:r>
            <w:r>
              <w:rPr>
                <w:rFonts w:eastAsia="宋体" w:cs="Times New Roman"/>
              </w:rPr>
              <w:t>m×0.</w:t>
            </w:r>
            <w:r>
              <w:rPr>
                <w:rFonts w:hint="eastAsia" w:eastAsia="宋体" w:cs="Times New Roman"/>
              </w:rPr>
              <w:t>3</w:t>
            </w:r>
            <w:r>
              <w:rPr>
                <w:rFonts w:eastAsia="宋体" w:cs="Times New Roman"/>
              </w:rPr>
              <w:t>m，设置</w:t>
            </w:r>
            <w:r>
              <w:rPr>
                <w:rFonts w:hint="eastAsia" w:eastAsia="宋体" w:cs="Times New Roman"/>
              </w:rPr>
              <w:t>5</w:t>
            </w:r>
            <w:r>
              <w:rPr>
                <w:rFonts w:eastAsia="宋体" w:cs="Times New Roman"/>
              </w:rPr>
              <w:t>个</w:t>
            </w:r>
            <w:r>
              <w:rPr>
                <w:rFonts w:hint="eastAsia" w:eastAsia="宋体" w:cs="Times New Roman"/>
              </w:rPr>
              <w:t>，不同时使用，按照1台计算</w:t>
            </w:r>
            <w:r>
              <w:rPr>
                <w:rFonts w:eastAsia="宋体" w:cs="Times New Roman"/>
              </w:rPr>
              <w:t>）</w:t>
            </w:r>
            <w:r>
              <w:rPr>
                <w:rFonts w:hint="eastAsia" w:eastAsia="宋体" w:cs="Times New Roman"/>
              </w:rPr>
              <w:t>；</w:t>
            </w:r>
          </w:p>
          <w:p w14:paraId="086516CB">
            <w:pPr>
              <w:pStyle w:val="156"/>
              <w:ind w:firstLine="480"/>
              <w:rPr>
                <w:rFonts w:eastAsia="宋体" w:cs="Times New Roman"/>
              </w:rPr>
            </w:pPr>
            <w:r>
              <w:rPr>
                <w:rFonts w:eastAsia="宋体" w:cs="Times New Roman"/>
              </w:rPr>
              <w:t>打料</w:t>
            </w:r>
            <w:r>
              <w:rPr>
                <w:rFonts w:hint="eastAsia" w:eastAsia="宋体" w:cs="Times New Roman"/>
              </w:rPr>
              <w:t>工序：在打料锅</w:t>
            </w:r>
            <w:r>
              <w:rPr>
                <w:rFonts w:eastAsia="宋体" w:cs="Times New Roman"/>
              </w:rPr>
              <w:t>上方设置集气罩（集气罩口面积为0.</w:t>
            </w:r>
            <w:r>
              <w:rPr>
                <w:rFonts w:hint="eastAsia" w:eastAsia="宋体" w:cs="Times New Roman"/>
              </w:rPr>
              <w:t>3</w:t>
            </w:r>
            <w:r>
              <w:rPr>
                <w:rFonts w:eastAsia="宋体" w:cs="Times New Roman"/>
              </w:rPr>
              <w:t>m×0.</w:t>
            </w:r>
            <w:r>
              <w:rPr>
                <w:rFonts w:hint="eastAsia" w:eastAsia="宋体" w:cs="Times New Roman"/>
              </w:rPr>
              <w:t>3</w:t>
            </w:r>
            <w:r>
              <w:rPr>
                <w:rFonts w:eastAsia="宋体" w:cs="Times New Roman"/>
              </w:rPr>
              <w:t>m，设置</w:t>
            </w:r>
            <w:r>
              <w:rPr>
                <w:rFonts w:hint="eastAsia" w:eastAsia="宋体" w:cs="Times New Roman"/>
              </w:rPr>
              <w:t>5</w:t>
            </w:r>
            <w:r>
              <w:rPr>
                <w:rFonts w:eastAsia="宋体" w:cs="Times New Roman"/>
              </w:rPr>
              <w:t>个）</w:t>
            </w:r>
            <w:r>
              <w:rPr>
                <w:rFonts w:hint="eastAsia" w:eastAsia="宋体" w:cs="Times New Roman"/>
              </w:rPr>
              <w:t>；</w:t>
            </w:r>
          </w:p>
          <w:p w14:paraId="5C03A739">
            <w:pPr>
              <w:pStyle w:val="156"/>
              <w:ind w:firstLine="480"/>
              <w:rPr>
                <w:rFonts w:eastAsia="宋体" w:cs="Times New Roman"/>
              </w:rPr>
            </w:pPr>
            <w:r>
              <w:rPr>
                <w:rFonts w:eastAsia="宋体" w:cs="Times New Roman"/>
              </w:rPr>
              <w:t>注塑</w:t>
            </w:r>
            <w:r>
              <w:rPr>
                <w:rFonts w:hint="eastAsia" w:eastAsia="宋体" w:cs="Times New Roman"/>
              </w:rPr>
              <w:t>工序：在注塑</w:t>
            </w:r>
            <w:r>
              <w:rPr>
                <w:rFonts w:eastAsia="宋体" w:cs="Times New Roman"/>
              </w:rPr>
              <w:t>口上方设置集气设施（集气罩口面积为0.4m×0.4m，设置</w:t>
            </w:r>
            <w:r>
              <w:rPr>
                <w:rFonts w:hint="eastAsia" w:eastAsia="宋体" w:cs="Times New Roman"/>
              </w:rPr>
              <w:t>5</w:t>
            </w:r>
            <w:r>
              <w:rPr>
                <w:rFonts w:eastAsia="宋体" w:cs="Times New Roman"/>
              </w:rPr>
              <w:t>个）；</w:t>
            </w:r>
          </w:p>
          <w:p w14:paraId="63C030CF">
            <w:pPr>
              <w:pStyle w:val="156"/>
              <w:ind w:firstLine="482"/>
              <w:rPr>
                <w:b/>
                <w:u w:val="single"/>
              </w:rPr>
            </w:pPr>
            <w:r>
              <w:rPr>
                <w:b/>
                <w:u w:val="single"/>
              </w:rPr>
              <w:t>根据《环境工程技术手册-废气处理工程技术手册》（王纯，张殿印主编.北京：化学工业出版社，2012年11月）中集气罩风量计算公式，计算工序所需风量：</w:t>
            </w:r>
          </w:p>
          <w:p w14:paraId="5C166C34">
            <w:pPr>
              <w:pStyle w:val="156"/>
              <w:ind w:firstLine="482"/>
              <w:rPr>
                <w:b/>
                <w:u w:val="single"/>
              </w:rPr>
            </w:pPr>
            <w:r>
              <w:rPr>
                <w:b/>
                <w:u w:val="single"/>
              </w:rPr>
              <w:t>Q=1.4pHV</w:t>
            </w:r>
            <w:r>
              <w:rPr>
                <w:b/>
                <w:u w:val="single"/>
                <w:vertAlign w:val="subscript"/>
              </w:rPr>
              <w:t>X</w:t>
            </w:r>
            <w:r>
              <w:rPr>
                <w:b/>
                <w:u w:val="single"/>
              </w:rPr>
              <w:t xml:space="preserve">                                （式4-1）</w:t>
            </w:r>
          </w:p>
          <w:p w14:paraId="4E1C3114">
            <w:pPr>
              <w:pStyle w:val="156"/>
              <w:ind w:firstLine="482"/>
              <w:rPr>
                <w:b/>
                <w:u w:val="single"/>
              </w:rPr>
            </w:pPr>
            <w:r>
              <w:rPr>
                <w:b/>
                <w:u w:val="single"/>
              </w:rPr>
              <w:t>式中：Q---集气罩排风量，m</w:t>
            </w:r>
            <w:r>
              <w:rPr>
                <w:b/>
                <w:u w:val="single"/>
                <w:vertAlign w:val="superscript"/>
              </w:rPr>
              <w:t>3</w:t>
            </w:r>
            <w:r>
              <w:rPr>
                <w:b/>
                <w:u w:val="single"/>
              </w:rPr>
              <w:t>/s；</w:t>
            </w:r>
          </w:p>
          <w:p w14:paraId="6E13FBDD">
            <w:pPr>
              <w:pStyle w:val="156"/>
              <w:ind w:firstLine="482"/>
              <w:rPr>
                <w:b/>
                <w:u w:val="single"/>
              </w:rPr>
            </w:pPr>
            <w:r>
              <w:rPr>
                <w:b/>
                <w:u w:val="single"/>
              </w:rPr>
              <w:t>p---罩口周长，m；</w:t>
            </w:r>
          </w:p>
          <w:p w14:paraId="0FE45DFB">
            <w:pPr>
              <w:pStyle w:val="156"/>
              <w:ind w:firstLine="482"/>
              <w:rPr>
                <w:b/>
                <w:u w:val="single"/>
              </w:rPr>
            </w:pPr>
            <w:r>
              <w:rPr>
                <w:b/>
                <w:u w:val="single"/>
              </w:rPr>
              <w:t>H---污染源至罩口距离，m；</w:t>
            </w:r>
          </w:p>
          <w:p w14:paraId="641E3AC9">
            <w:pPr>
              <w:pStyle w:val="156"/>
              <w:ind w:firstLine="482"/>
              <w:rPr>
                <w:b/>
                <w:u w:val="single"/>
              </w:rPr>
            </w:pPr>
            <w:r>
              <w:rPr>
                <w:b/>
                <w:u w:val="single"/>
              </w:rPr>
              <w:t>V</w:t>
            </w:r>
            <w:r>
              <w:rPr>
                <w:b/>
                <w:u w:val="single"/>
                <w:vertAlign w:val="subscript"/>
              </w:rPr>
              <w:t>X</w:t>
            </w:r>
            <w:r>
              <w:rPr>
                <w:b/>
                <w:u w:val="single"/>
              </w:rPr>
              <w:t xml:space="preserve"> =0.25~2.5m/s；本项目颗粒物取0.</w:t>
            </w:r>
            <w:r>
              <w:rPr>
                <w:rFonts w:hint="eastAsia"/>
                <w:b/>
                <w:u w:val="single"/>
              </w:rPr>
              <w:t>5</w:t>
            </w:r>
            <w:r>
              <w:rPr>
                <w:b/>
                <w:u w:val="single"/>
              </w:rPr>
              <w:t>m/s，其他取</w:t>
            </w:r>
            <w:r>
              <w:rPr>
                <w:rFonts w:hint="eastAsia"/>
                <w:b/>
                <w:u w:val="single"/>
              </w:rPr>
              <w:t>0.4</w:t>
            </w:r>
            <w:r>
              <w:rPr>
                <w:b/>
                <w:u w:val="single"/>
              </w:rPr>
              <w:t>m/s。</w:t>
            </w:r>
          </w:p>
          <w:p w14:paraId="0D37F394">
            <w:pPr>
              <w:pStyle w:val="182"/>
              <w:ind w:firstLine="482"/>
              <w:rPr>
                <w:b/>
                <w:u w:val="single"/>
              </w:rPr>
            </w:pPr>
            <w:r>
              <w:rPr>
                <w:b/>
                <w:u w:val="single"/>
              </w:rPr>
              <w:t>表4-</w:t>
            </w:r>
            <w:r>
              <w:rPr>
                <w:rFonts w:hint="eastAsia"/>
                <w:b/>
                <w:u w:val="single"/>
              </w:rPr>
              <w:t>5</w:t>
            </w:r>
            <w:r>
              <w:rPr>
                <w:b/>
                <w:u w:val="single"/>
              </w:rPr>
              <w:t xml:space="preserve">       注塑工艺污染物产生工序集气罩面积一览表</w:t>
            </w:r>
          </w:p>
          <w:tbl>
            <w:tblPr>
              <w:tblStyle w:val="88"/>
              <w:tblW w:w="8822"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09"/>
              <w:gridCol w:w="1134"/>
              <w:gridCol w:w="1509"/>
              <w:gridCol w:w="1509"/>
              <w:gridCol w:w="1460"/>
              <w:gridCol w:w="1701"/>
            </w:tblGrid>
            <w:tr w14:paraId="289BF6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1509" w:type="dxa"/>
                  <w:vAlign w:val="center"/>
                </w:tcPr>
                <w:p w14:paraId="15C4410D">
                  <w:pPr>
                    <w:pStyle w:val="154"/>
                    <w:rPr>
                      <w:b/>
                      <w:sz w:val="21"/>
                      <w:szCs w:val="21"/>
                      <w:u w:val="single"/>
                    </w:rPr>
                  </w:pPr>
                  <w:r>
                    <w:rPr>
                      <w:rFonts w:hint="eastAsia"/>
                      <w:b/>
                      <w:sz w:val="21"/>
                      <w:szCs w:val="21"/>
                      <w:u w:val="single"/>
                    </w:rPr>
                    <w:t>集气罩位置</w:t>
                  </w:r>
                </w:p>
              </w:tc>
              <w:tc>
                <w:tcPr>
                  <w:tcW w:w="1134" w:type="dxa"/>
                  <w:vAlign w:val="center"/>
                </w:tcPr>
                <w:p w14:paraId="4688E04A">
                  <w:pPr>
                    <w:pStyle w:val="154"/>
                    <w:rPr>
                      <w:b/>
                      <w:sz w:val="21"/>
                      <w:szCs w:val="21"/>
                      <w:u w:val="single"/>
                    </w:rPr>
                  </w:pPr>
                  <w:r>
                    <w:rPr>
                      <w:b/>
                      <w:sz w:val="21"/>
                      <w:szCs w:val="21"/>
                      <w:u w:val="single"/>
                    </w:rPr>
                    <w:t>污染源至集气罩的距离（m）</w:t>
                  </w:r>
                </w:p>
              </w:tc>
              <w:tc>
                <w:tcPr>
                  <w:tcW w:w="1509" w:type="dxa"/>
                  <w:vAlign w:val="center"/>
                </w:tcPr>
                <w:p w14:paraId="02E07C45">
                  <w:pPr>
                    <w:pStyle w:val="154"/>
                    <w:rPr>
                      <w:b/>
                      <w:sz w:val="21"/>
                      <w:szCs w:val="21"/>
                      <w:u w:val="single"/>
                    </w:rPr>
                  </w:pPr>
                  <w:r>
                    <w:rPr>
                      <w:b/>
                      <w:sz w:val="21"/>
                      <w:szCs w:val="21"/>
                      <w:u w:val="single"/>
                    </w:rPr>
                    <w:t>集气罩规格</w:t>
                  </w:r>
                </w:p>
              </w:tc>
              <w:tc>
                <w:tcPr>
                  <w:tcW w:w="1509" w:type="dxa"/>
                  <w:vAlign w:val="center"/>
                </w:tcPr>
                <w:p w14:paraId="520FB698">
                  <w:pPr>
                    <w:pStyle w:val="154"/>
                    <w:rPr>
                      <w:b/>
                      <w:sz w:val="21"/>
                      <w:szCs w:val="21"/>
                      <w:u w:val="single"/>
                    </w:rPr>
                  </w:pPr>
                  <w:r>
                    <w:rPr>
                      <w:b/>
                      <w:sz w:val="21"/>
                      <w:szCs w:val="21"/>
                      <w:u w:val="single"/>
                    </w:rPr>
                    <w:t>集气罩数量</w:t>
                  </w:r>
                </w:p>
              </w:tc>
              <w:tc>
                <w:tcPr>
                  <w:tcW w:w="1460" w:type="dxa"/>
                  <w:vAlign w:val="center"/>
                </w:tcPr>
                <w:p w14:paraId="3863A0FD">
                  <w:pPr>
                    <w:pStyle w:val="154"/>
                    <w:rPr>
                      <w:b/>
                      <w:sz w:val="21"/>
                      <w:szCs w:val="21"/>
                      <w:u w:val="single"/>
                    </w:rPr>
                  </w:pPr>
                  <w:r>
                    <w:rPr>
                      <w:b/>
                      <w:sz w:val="21"/>
                      <w:szCs w:val="21"/>
                      <w:u w:val="single"/>
                    </w:rPr>
                    <w:t>污染源气体流速（m/s）</w:t>
                  </w:r>
                </w:p>
              </w:tc>
              <w:tc>
                <w:tcPr>
                  <w:tcW w:w="1701" w:type="dxa"/>
                  <w:vAlign w:val="center"/>
                </w:tcPr>
                <w:p w14:paraId="585C4F3C">
                  <w:pPr>
                    <w:pStyle w:val="154"/>
                    <w:rPr>
                      <w:b/>
                      <w:sz w:val="21"/>
                      <w:szCs w:val="21"/>
                      <w:u w:val="single"/>
                    </w:rPr>
                  </w:pPr>
                  <w:r>
                    <w:rPr>
                      <w:b/>
                      <w:sz w:val="21"/>
                      <w:szCs w:val="21"/>
                      <w:u w:val="single"/>
                    </w:rPr>
                    <w:t>所需风量（m</w:t>
                  </w:r>
                  <w:r>
                    <w:rPr>
                      <w:b/>
                      <w:sz w:val="21"/>
                      <w:szCs w:val="21"/>
                      <w:u w:val="single"/>
                      <w:vertAlign w:val="superscript"/>
                    </w:rPr>
                    <w:t>3</w:t>
                  </w:r>
                  <w:r>
                    <w:rPr>
                      <w:b/>
                      <w:sz w:val="21"/>
                      <w:szCs w:val="21"/>
                      <w:u w:val="single"/>
                    </w:rPr>
                    <w:t>/h）</w:t>
                  </w:r>
                </w:p>
              </w:tc>
            </w:tr>
            <w:tr w14:paraId="60FCEC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0352976F">
                  <w:pPr>
                    <w:pStyle w:val="154"/>
                    <w:rPr>
                      <w:b/>
                      <w:sz w:val="21"/>
                      <w:szCs w:val="21"/>
                      <w:u w:val="single"/>
                    </w:rPr>
                  </w:pPr>
                  <w:r>
                    <w:rPr>
                      <w:rFonts w:hint="eastAsia"/>
                      <w:b/>
                      <w:sz w:val="21"/>
                      <w:szCs w:val="21"/>
                      <w:u w:val="single"/>
                    </w:rPr>
                    <w:t>投料口</w:t>
                  </w:r>
                </w:p>
              </w:tc>
              <w:tc>
                <w:tcPr>
                  <w:tcW w:w="1134" w:type="dxa"/>
                  <w:vAlign w:val="center"/>
                </w:tcPr>
                <w:p w14:paraId="618E5023">
                  <w:pPr>
                    <w:pStyle w:val="154"/>
                    <w:rPr>
                      <w:b/>
                      <w:sz w:val="21"/>
                      <w:szCs w:val="21"/>
                      <w:u w:val="single"/>
                    </w:rPr>
                  </w:pPr>
                  <w:r>
                    <w:rPr>
                      <w:rFonts w:hint="eastAsia"/>
                      <w:b/>
                      <w:sz w:val="21"/>
                      <w:szCs w:val="21"/>
                      <w:u w:val="single"/>
                    </w:rPr>
                    <w:t>0.1</w:t>
                  </w:r>
                </w:p>
              </w:tc>
              <w:tc>
                <w:tcPr>
                  <w:tcW w:w="1509" w:type="dxa"/>
                  <w:vAlign w:val="center"/>
                </w:tcPr>
                <w:p w14:paraId="388696C8">
                  <w:pPr>
                    <w:pStyle w:val="154"/>
                    <w:rPr>
                      <w:b/>
                      <w:sz w:val="21"/>
                      <w:szCs w:val="21"/>
                      <w:u w:val="single"/>
                    </w:rPr>
                  </w:pPr>
                  <w:r>
                    <w:rPr>
                      <w:b/>
                      <w:sz w:val="21"/>
                      <w:szCs w:val="21"/>
                      <w:u w:val="single"/>
                    </w:rPr>
                    <w:t>0.</w:t>
                  </w:r>
                  <w:r>
                    <w:rPr>
                      <w:rFonts w:hint="eastAsia"/>
                      <w:b/>
                      <w:sz w:val="21"/>
                      <w:szCs w:val="21"/>
                      <w:u w:val="single"/>
                    </w:rPr>
                    <w:t>4</w:t>
                  </w:r>
                  <w:r>
                    <w:rPr>
                      <w:b/>
                      <w:sz w:val="21"/>
                      <w:szCs w:val="21"/>
                      <w:u w:val="single"/>
                    </w:rPr>
                    <w:t>m*0.</w:t>
                  </w:r>
                  <w:r>
                    <w:rPr>
                      <w:rFonts w:hint="eastAsia"/>
                      <w:b/>
                      <w:sz w:val="21"/>
                      <w:szCs w:val="21"/>
                      <w:u w:val="single"/>
                    </w:rPr>
                    <w:t>4</w:t>
                  </w:r>
                  <w:r>
                    <w:rPr>
                      <w:b/>
                      <w:sz w:val="21"/>
                      <w:szCs w:val="21"/>
                      <w:u w:val="single"/>
                    </w:rPr>
                    <w:t>m</w:t>
                  </w:r>
                </w:p>
              </w:tc>
              <w:tc>
                <w:tcPr>
                  <w:tcW w:w="1509" w:type="dxa"/>
                  <w:vAlign w:val="center"/>
                </w:tcPr>
                <w:p w14:paraId="62244BDC">
                  <w:pPr>
                    <w:pStyle w:val="154"/>
                    <w:rPr>
                      <w:b/>
                      <w:sz w:val="21"/>
                      <w:szCs w:val="21"/>
                      <w:u w:val="single"/>
                    </w:rPr>
                  </w:pPr>
                  <w:r>
                    <w:rPr>
                      <w:rFonts w:hint="eastAsia"/>
                      <w:b/>
                      <w:sz w:val="21"/>
                      <w:szCs w:val="21"/>
                      <w:u w:val="single"/>
                    </w:rPr>
                    <w:t>1</w:t>
                  </w:r>
                </w:p>
              </w:tc>
              <w:tc>
                <w:tcPr>
                  <w:tcW w:w="1460" w:type="dxa"/>
                  <w:vAlign w:val="center"/>
                </w:tcPr>
                <w:p w14:paraId="029AC967">
                  <w:pPr>
                    <w:pStyle w:val="154"/>
                    <w:rPr>
                      <w:b/>
                      <w:sz w:val="21"/>
                      <w:szCs w:val="21"/>
                      <w:u w:val="single"/>
                    </w:rPr>
                  </w:pPr>
                  <w:r>
                    <w:rPr>
                      <w:rFonts w:hint="eastAsia"/>
                      <w:b/>
                      <w:sz w:val="21"/>
                      <w:szCs w:val="21"/>
                      <w:u w:val="single"/>
                    </w:rPr>
                    <w:t>0.5</w:t>
                  </w:r>
                </w:p>
              </w:tc>
              <w:tc>
                <w:tcPr>
                  <w:tcW w:w="1701" w:type="dxa"/>
                  <w:vAlign w:val="center"/>
                </w:tcPr>
                <w:p w14:paraId="1395D48C">
                  <w:pPr>
                    <w:pStyle w:val="160"/>
                    <w:rPr>
                      <w:rFonts w:eastAsia="宋体" w:cs="Times New Roman"/>
                      <w:b/>
                      <w:sz w:val="21"/>
                      <w:szCs w:val="21"/>
                      <w:u w:val="single"/>
                    </w:rPr>
                  </w:pPr>
                  <w:r>
                    <w:rPr>
                      <w:rFonts w:hint="eastAsia" w:eastAsia="宋体" w:cs="Times New Roman"/>
                      <w:b/>
                      <w:sz w:val="21"/>
                      <w:szCs w:val="21"/>
                      <w:u w:val="single"/>
                    </w:rPr>
                    <w:t>403.20</w:t>
                  </w:r>
                </w:p>
              </w:tc>
            </w:tr>
            <w:tr w14:paraId="07E5A3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313CD832">
                  <w:pPr>
                    <w:pStyle w:val="154"/>
                    <w:rPr>
                      <w:b/>
                      <w:sz w:val="21"/>
                      <w:szCs w:val="21"/>
                      <w:u w:val="single"/>
                    </w:rPr>
                  </w:pPr>
                  <w:r>
                    <w:rPr>
                      <w:rFonts w:hint="eastAsia"/>
                      <w:b/>
                      <w:sz w:val="21"/>
                      <w:szCs w:val="21"/>
                      <w:u w:val="single"/>
                    </w:rPr>
                    <w:t>搅拌</w:t>
                  </w:r>
                  <w:r>
                    <w:rPr>
                      <w:b/>
                      <w:sz w:val="21"/>
                      <w:szCs w:val="21"/>
                      <w:u w:val="single"/>
                    </w:rPr>
                    <w:t>机</w:t>
                  </w:r>
                </w:p>
              </w:tc>
              <w:tc>
                <w:tcPr>
                  <w:tcW w:w="1134" w:type="dxa"/>
                  <w:vAlign w:val="center"/>
                </w:tcPr>
                <w:p w14:paraId="4780DED9">
                  <w:pPr>
                    <w:pStyle w:val="154"/>
                    <w:rPr>
                      <w:b/>
                      <w:sz w:val="21"/>
                      <w:szCs w:val="21"/>
                      <w:u w:val="single"/>
                    </w:rPr>
                  </w:pPr>
                  <w:r>
                    <w:rPr>
                      <w:b/>
                      <w:sz w:val="21"/>
                      <w:szCs w:val="21"/>
                      <w:u w:val="single"/>
                    </w:rPr>
                    <w:t>0.</w:t>
                  </w:r>
                  <w:r>
                    <w:rPr>
                      <w:rFonts w:hint="eastAsia"/>
                      <w:b/>
                      <w:sz w:val="21"/>
                      <w:szCs w:val="21"/>
                      <w:u w:val="single"/>
                    </w:rPr>
                    <w:t>1</w:t>
                  </w:r>
                </w:p>
              </w:tc>
              <w:tc>
                <w:tcPr>
                  <w:tcW w:w="1509" w:type="dxa"/>
                  <w:vAlign w:val="center"/>
                </w:tcPr>
                <w:p w14:paraId="503B9896">
                  <w:pPr>
                    <w:pStyle w:val="154"/>
                    <w:rPr>
                      <w:b/>
                      <w:sz w:val="21"/>
                      <w:szCs w:val="21"/>
                      <w:u w:val="single"/>
                    </w:rPr>
                  </w:pPr>
                  <w:r>
                    <w:rPr>
                      <w:rFonts w:hint="eastAsia"/>
                      <w:b/>
                      <w:sz w:val="21"/>
                      <w:szCs w:val="21"/>
                      <w:u w:val="single"/>
                    </w:rPr>
                    <w:t>0.4</w:t>
                  </w:r>
                  <w:r>
                    <w:rPr>
                      <w:b/>
                      <w:sz w:val="21"/>
                      <w:szCs w:val="21"/>
                      <w:u w:val="single"/>
                    </w:rPr>
                    <w:t>m*</w:t>
                  </w:r>
                  <w:r>
                    <w:rPr>
                      <w:rFonts w:hint="eastAsia"/>
                      <w:b/>
                      <w:sz w:val="21"/>
                      <w:szCs w:val="21"/>
                      <w:u w:val="single"/>
                    </w:rPr>
                    <w:t>0.4</w:t>
                  </w:r>
                  <w:r>
                    <w:rPr>
                      <w:b/>
                      <w:sz w:val="21"/>
                      <w:szCs w:val="21"/>
                      <w:u w:val="single"/>
                    </w:rPr>
                    <w:t>m</w:t>
                  </w:r>
                </w:p>
              </w:tc>
              <w:tc>
                <w:tcPr>
                  <w:tcW w:w="1509" w:type="dxa"/>
                  <w:vAlign w:val="center"/>
                </w:tcPr>
                <w:p w14:paraId="72D720B1">
                  <w:pPr>
                    <w:pStyle w:val="154"/>
                    <w:rPr>
                      <w:b/>
                      <w:sz w:val="21"/>
                      <w:szCs w:val="21"/>
                      <w:u w:val="single"/>
                    </w:rPr>
                  </w:pPr>
                  <w:r>
                    <w:rPr>
                      <w:rFonts w:hint="eastAsia"/>
                      <w:b/>
                      <w:sz w:val="21"/>
                      <w:szCs w:val="21"/>
                      <w:u w:val="single"/>
                    </w:rPr>
                    <w:t>3</w:t>
                  </w:r>
                </w:p>
              </w:tc>
              <w:tc>
                <w:tcPr>
                  <w:tcW w:w="1460" w:type="dxa"/>
                  <w:vAlign w:val="center"/>
                </w:tcPr>
                <w:p w14:paraId="3D82FE3C">
                  <w:pPr>
                    <w:pStyle w:val="154"/>
                    <w:rPr>
                      <w:b/>
                      <w:sz w:val="21"/>
                      <w:szCs w:val="21"/>
                      <w:u w:val="single"/>
                    </w:rPr>
                  </w:pPr>
                  <w:r>
                    <w:rPr>
                      <w:rFonts w:hint="eastAsia"/>
                      <w:b/>
                      <w:sz w:val="21"/>
                      <w:szCs w:val="21"/>
                      <w:u w:val="single"/>
                    </w:rPr>
                    <w:t>0.5</w:t>
                  </w:r>
                </w:p>
              </w:tc>
              <w:tc>
                <w:tcPr>
                  <w:tcW w:w="1701" w:type="dxa"/>
                  <w:vAlign w:val="center"/>
                </w:tcPr>
                <w:p w14:paraId="3F9F0025">
                  <w:pPr>
                    <w:pStyle w:val="160"/>
                    <w:rPr>
                      <w:rFonts w:eastAsia="宋体" w:cs="Times New Roman"/>
                      <w:b/>
                      <w:sz w:val="21"/>
                      <w:szCs w:val="21"/>
                      <w:u w:val="single"/>
                    </w:rPr>
                  </w:pPr>
                  <w:r>
                    <w:rPr>
                      <w:rFonts w:hint="eastAsia" w:eastAsia="宋体" w:cs="Times New Roman"/>
                      <w:b/>
                      <w:sz w:val="21"/>
                      <w:szCs w:val="21"/>
                      <w:u w:val="single"/>
                    </w:rPr>
                    <w:t>1209.60</w:t>
                  </w:r>
                </w:p>
              </w:tc>
            </w:tr>
            <w:tr w14:paraId="425834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27D0186F">
                  <w:pPr>
                    <w:pStyle w:val="154"/>
                    <w:rPr>
                      <w:b/>
                      <w:sz w:val="21"/>
                      <w:szCs w:val="21"/>
                      <w:u w:val="single"/>
                    </w:rPr>
                  </w:pPr>
                  <w:r>
                    <w:rPr>
                      <w:b/>
                      <w:sz w:val="21"/>
                      <w:szCs w:val="21"/>
                      <w:u w:val="single"/>
                    </w:rPr>
                    <w:t>破碎机</w:t>
                  </w:r>
                </w:p>
              </w:tc>
              <w:tc>
                <w:tcPr>
                  <w:tcW w:w="1134" w:type="dxa"/>
                  <w:vAlign w:val="center"/>
                </w:tcPr>
                <w:p w14:paraId="5B18C51F">
                  <w:pPr>
                    <w:pStyle w:val="154"/>
                    <w:rPr>
                      <w:b/>
                      <w:sz w:val="21"/>
                      <w:szCs w:val="21"/>
                      <w:u w:val="single"/>
                    </w:rPr>
                  </w:pPr>
                  <w:r>
                    <w:rPr>
                      <w:b/>
                      <w:sz w:val="21"/>
                      <w:szCs w:val="21"/>
                      <w:u w:val="single"/>
                    </w:rPr>
                    <w:t>0.3</w:t>
                  </w:r>
                </w:p>
              </w:tc>
              <w:tc>
                <w:tcPr>
                  <w:tcW w:w="1509" w:type="dxa"/>
                  <w:vAlign w:val="center"/>
                </w:tcPr>
                <w:p w14:paraId="701BF6D6">
                  <w:pPr>
                    <w:pStyle w:val="154"/>
                    <w:rPr>
                      <w:b/>
                      <w:sz w:val="21"/>
                      <w:szCs w:val="21"/>
                      <w:u w:val="single"/>
                    </w:rPr>
                  </w:pPr>
                  <w:r>
                    <w:rPr>
                      <w:b/>
                      <w:sz w:val="21"/>
                      <w:szCs w:val="21"/>
                      <w:u w:val="single"/>
                    </w:rPr>
                    <w:t>0.</w:t>
                  </w:r>
                  <w:r>
                    <w:rPr>
                      <w:rFonts w:hint="eastAsia"/>
                      <w:b/>
                      <w:sz w:val="21"/>
                      <w:szCs w:val="21"/>
                      <w:u w:val="single"/>
                    </w:rPr>
                    <w:t>3</w:t>
                  </w:r>
                  <w:r>
                    <w:rPr>
                      <w:b/>
                      <w:sz w:val="21"/>
                      <w:szCs w:val="21"/>
                      <w:u w:val="single"/>
                    </w:rPr>
                    <w:t>m*0.</w:t>
                  </w:r>
                  <w:r>
                    <w:rPr>
                      <w:rFonts w:hint="eastAsia"/>
                      <w:b/>
                      <w:sz w:val="21"/>
                      <w:szCs w:val="21"/>
                      <w:u w:val="single"/>
                    </w:rPr>
                    <w:t>3</w:t>
                  </w:r>
                  <w:r>
                    <w:rPr>
                      <w:b/>
                      <w:sz w:val="21"/>
                      <w:szCs w:val="21"/>
                      <w:u w:val="single"/>
                    </w:rPr>
                    <w:t>m</w:t>
                  </w:r>
                </w:p>
              </w:tc>
              <w:tc>
                <w:tcPr>
                  <w:tcW w:w="1509" w:type="dxa"/>
                  <w:vAlign w:val="center"/>
                </w:tcPr>
                <w:p w14:paraId="58930236">
                  <w:pPr>
                    <w:pStyle w:val="154"/>
                    <w:rPr>
                      <w:b/>
                      <w:sz w:val="21"/>
                      <w:szCs w:val="21"/>
                      <w:u w:val="single"/>
                    </w:rPr>
                  </w:pPr>
                  <w:r>
                    <w:rPr>
                      <w:rFonts w:hint="eastAsia"/>
                      <w:b/>
                      <w:sz w:val="21"/>
                      <w:szCs w:val="21"/>
                      <w:u w:val="single"/>
                    </w:rPr>
                    <w:t>1</w:t>
                  </w:r>
                </w:p>
              </w:tc>
              <w:tc>
                <w:tcPr>
                  <w:tcW w:w="1460" w:type="dxa"/>
                  <w:vAlign w:val="center"/>
                </w:tcPr>
                <w:p w14:paraId="1C37EC69">
                  <w:pPr>
                    <w:pStyle w:val="154"/>
                    <w:rPr>
                      <w:b/>
                      <w:sz w:val="21"/>
                      <w:szCs w:val="21"/>
                      <w:u w:val="single"/>
                    </w:rPr>
                  </w:pPr>
                  <w:r>
                    <w:rPr>
                      <w:rFonts w:hint="eastAsia"/>
                      <w:b/>
                      <w:sz w:val="21"/>
                      <w:szCs w:val="21"/>
                      <w:u w:val="single"/>
                    </w:rPr>
                    <w:t>0.5</w:t>
                  </w:r>
                </w:p>
              </w:tc>
              <w:tc>
                <w:tcPr>
                  <w:tcW w:w="1701" w:type="dxa"/>
                  <w:vAlign w:val="center"/>
                </w:tcPr>
                <w:p w14:paraId="2BADCA3B">
                  <w:pPr>
                    <w:pStyle w:val="160"/>
                    <w:rPr>
                      <w:rFonts w:eastAsia="宋体" w:cs="Times New Roman"/>
                      <w:b/>
                      <w:sz w:val="21"/>
                      <w:szCs w:val="21"/>
                      <w:u w:val="single"/>
                    </w:rPr>
                  </w:pPr>
                  <w:r>
                    <w:rPr>
                      <w:rFonts w:hint="eastAsia" w:eastAsia="宋体" w:cs="Times New Roman"/>
                      <w:b/>
                      <w:sz w:val="21"/>
                      <w:szCs w:val="21"/>
                      <w:u w:val="single"/>
                    </w:rPr>
                    <w:t>907.20</w:t>
                  </w:r>
                </w:p>
              </w:tc>
            </w:tr>
            <w:tr w14:paraId="403AFC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42B1B2FB">
                  <w:pPr>
                    <w:pStyle w:val="154"/>
                    <w:rPr>
                      <w:b/>
                      <w:sz w:val="21"/>
                      <w:szCs w:val="21"/>
                      <w:u w:val="single"/>
                    </w:rPr>
                  </w:pPr>
                  <w:r>
                    <w:rPr>
                      <w:b/>
                      <w:sz w:val="21"/>
                      <w:szCs w:val="21"/>
                      <w:u w:val="single"/>
                    </w:rPr>
                    <w:t>打料锅</w:t>
                  </w:r>
                </w:p>
              </w:tc>
              <w:tc>
                <w:tcPr>
                  <w:tcW w:w="1134" w:type="dxa"/>
                  <w:vAlign w:val="center"/>
                </w:tcPr>
                <w:p w14:paraId="425A8782">
                  <w:pPr>
                    <w:pStyle w:val="154"/>
                    <w:rPr>
                      <w:b/>
                      <w:sz w:val="21"/>
                      <w:szCs w:val="21"/>
                      <w:u w:val="single"/>
                    </w:rPr>
                  </w:pPr>
                  <w:r>
                    <w:rPr>
                      <w:b/>
                      <w:sz w:val="21"/>
                      <w:szCs w:val="21"/>
                      <w:u w:val="single"/>
                    </w:rPr>
                    <w:t>0.</w:t>
                  </w:r>
                  <w:r>
                    <w:rPr>
                      <w:rFonts w:hint="eastAsia"/>
                      <w:b/>
                      <w:sz w:val="21"/>
                      <w:szCs w:val="21"/>
                      <w:u w:val="single"/>
                    </w:rPr>
                    <w:t>1</w:t>
                  </w:r>
                </w:p>
              </w:tc>
              <w:tc>
                <w:tcPr>
                  <w:tcW w:w="1509" w:type="dxa"/>
                  <w:vAlign w:val="center"/>
                </w:tcPr>
                <w:p w14:paraId="1A10BA24">
                  <w:pPr>
                    <w:pStyle w:val="154"/>
                    <w:rPr>
                      <w:b/>
                      <w:sz w:val="21"/>
                      <w:szCs w:val="21"/>
                      <w:u w:val="single"/>
                    </w:rPr>
                  </w:pPr>
                  <w:r>
                    <w:rPr>
                      <w:b/>
                      <w:sz w:val="21"/>
                      <w:szCs w:val="21"/>
                      <w:u w:val="single"/>
                    </w:rPr>
                    <w:t>0.</w:t>
                  </w:r>
                  <w:r>
                    <w:rPr>
                      <w:rFonts w:hint="eastAsia"/>
                      <w:b/>
                      <w:sz w:val="21"/>
                      <w:szCs w:val="21"/>
                      <w:u w:val="single"/>
                    </w:rPr>
                    <w:t>3</w:t>
                  </w:r>
                  <w:r>
                    <w:rPr>
                      <w:b/>
                      <w:sz w:val="21"/>
                      <w:szCs w:val="21"/>
                      <w:u w:val="single"/>
                    </w:rPr>
                    <w:t>m*0.</w:t>
                  </w:r>
                  <w:r>
                    <w:rPr>
                      <w:rFonts w:hint="eastAsia"/>
                      <w:b/>
                      <w:sz w:val="21"/>
                      <w:szCs w:val="21"/>
                      <w:u w:val="single"/>
                    </w:rPr>
                    <w:t>3</w:t>
                  </w:r>
                  <w:r>
                    <w:rPr>
                      <w:b/>
                      <w:sz w:val="21"/>
                      <w:szCs w:val="21"/>
                      <w:u w:val="single"/>
                    </w:rPr>
                    <w:t>m</w:t>
                  </w:r>
                </w:p>
              </w:tc>
              <w:tc>
                <w:tcPr>
                  <w:tcW w:w="1509" w:type="dxa"/>
                  <w:vAlign w:val="center"/>
                </w:tcPr>
                <w:p w14:paraId="3FF9CDBE">
                  <w:pPr>
                    <w:pStyle w:val="154"/>
                    <w:rPr>
                      <w:b/>
                      <w:sz w:val="21"/>
                      <w:szCs w:val="21"/>
                      <w:u w:val="single"/>
                    </w:rPr>
                  </w:pPr>
                  <w:r>
                    <w:rPr>
                      <w:rFonts w:hint="eastAsia"/>
                      <w:b/>
                      <w:sz w:val="21"/>
                      <w:szCs w:val="21"/>
                      <w:u w:val="single"/>
                    </w:rPr>
                    <w:t>5</w:t>
                  </w:r>
                </w:p>
              </w:tc>
              <w:tc>
                <w:tcPr>
                  <w:tcW w:w="1460" w:type="dxa"/>
                  <w:vAlign w:val="center"/>
                </w:tcPr>
                <w:p w14:paraId="0D6D6C9B">
                  <w:pPr>
                    <w:pStyle w:val="154"/>
                    <w:rPr>
                      <w:b/>
                      <w:sz w:val="21"/>
                      <w:szCs w:val="21"/>
                      <w:u w:val="single"/>
                    </w:rPr>
                  </w:pPr>
                  <w:r>
                    <w:rPr>
                      <w:rFonts w:hint="eastAsia"/>
                      <w:b/>
                      <w:sz w:val="21"/>
                      <w:szCs w:val="21"/>
                      <w:u w:val="single"/>
                    </w:rPr>
                    <w:t>0.5</w:t>
                  </w:r>
                </w:p>
              </w:tc>
              <w:tc>
                <w:tcPr>
                  <w:tcW w:w="1701" w:type="dxa"/>
                  <w:vAlign w:val="center"/>
                </w:tcPr>
                <w:p w14:paraId="5D97C2F1">
                  <w:pPr>
                    <w:pStyle w:val="160"/>
                    <w:rPr>
                      <w:rFonts w:eastAsia="宋体" w:cs="Times New Roman"/>
                      <w:b/>
                      <w:sz w:val="21"/>
                      <w:szCs w:val="21"/>
                      <w:u w:val="single"/>
                    </w:rPr>
                  </w:pPr>
                  <w:r>
                    <w:rPr>
                      <w:rFonts w:hint="eastAsia" w:eastAsia="宋体" w:cs="Times New Roman"/>
                      <w:b/>
                      <w:sz w:val="21"/>
                      <w:szCs w:val="21"/>
                      <w:u w:val="single"/>
                    </w:rPr>
                    <w:t>1512.00</w:t>
                  </w:r>
                </w:p>
              </w:tc>
            </w:tr>
            <w:tr w14:paraId="3A7E91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6071B8CF">
                  <w:pPr>
                    <w:pStyle w:val="154"/>
                    <w:rPr>
                      <w:b/>
                      <w:sz w:val="21"/>
                      <w:szCs w:val="21"/>
                      <w:u w:val="single"/>
                    </w:rPr>
                  </w:pPr>
                  <w:r>
                    <w:rPr>
                      <w:b/>
                      <w:sz w:val="21"/>
                      <w:szCs w:val="21"/>
                      <w:u w:val="single"/>
                    </w:rPr>
                    <w:t>注塑</w:t>
                  </w:r>
                  <w:r>
                    <w:rPr>
                      <w:rFonts w:hint="eastAsia"/>
                      <w:b/>
                      <w:sz w:val="21"/>
                      <w:szCs w:val="21"/>
                      <w:u w:val="single"/>
                    </w:rPr>
                    <w:t>机</w:t>
                  </w:r>
                </w:p>
              </w:tc>
              <w:tc>
                <w:tcPr>
                  <w:tcW w:w="1134" w:type="dxa"/>
                  <w:vAlign w:val="center"/>
                </w:tcPr>
                <w:p w14:paraId="1BAA1504">
                  <w:pPr>
                    <w:pStyle w:val="154"/>
                    <w:rPr>
                      <w:b/>
                      <w:sz w:val="21"/>
                      <w:szCs w:val="21"/>
                      <w:u w:val="single"/>
                    </w:rPr>
                  </w:pPr>
                  <w:r>
                    <w:rPr>
                      <w:b/>
                      <w:sz w:val="21"/>
                      <w:szCs w:val="21"/>
                      <w:u w:val="single"/>
                    </w:rPr>
                    <w:t>0.3</w:t>
                  </w:r>
                </w:p>
              </w:tc>
              <w:tc>
                <w:tcPr>
                  <w:tcW w:w="1509" w:type="dxa"/>
                  <w:vAlign w:val="center"/>
                </w:tcPr>
                <w:p w14:paraId="2D9BC8C8">
                  <w:pPr>
                    <w:pStyle w:val="154"/>
                    <w:rPr>
                      <w:b/>
                      <w:sz w:val="21"/>
                      <w:szCs w:val="21"/>
                      <w:u w:val="single"/>
                    </w:rPr>
                  </w:pPr>
                  <w:r>
                    <w:rPr>
                      <w:b/>
                      <w:sz w:val="21"/>
                      <w:szCs w:val="21"/>
                      <w:u w:val="single"/>
                    </w:rPr>
                    <w:t>0.4m*0.4m</w:t>
                  </w:r>
                </w:p>
              </w:tc>
              <w:tc>
                <w:tcPr>
                  <w:tcW w:w="1509" w:type="dxa"/>
                  <w:vAlign w:val="center"/>
                </w:tcPr>
                <w:p w14:paraId="347FD88F">
                  <w:pPr>
                    <w:pStyle w:val="154"/>
                    <w:rPr>
                      <w:b/>
                      <w:sz w:val="21"/>
                      <w:szCs w:val="21"/>
                      <w:u w:val="single"/>
                    </w:rPr>
                  </w:pPr>
                  <w:r>
                    <w:rPr>
                      <w:rFonts w:hint="eastAsia"/>
                      <w:b/>
                      <w:sz w:val="21"/>
                      <w:szCs w:val="21"/>
                      <w:u w:val="single"/>
                    </w:rPr>
                    <w:t>5</w:t>
                  </w:r>
                </w:p>
              </w:tc>
              <w:tc>
                <w:tcPr>
                  <w:tcW w:w="1460" w:type="dxa"/>
                  <w:vAlign w:val="center"/>
                </w:tcPr>
                <w:p w14:paraId="44A11B15">
                  <w:pPr>
                    <w:pStyle w:val="154"/>
                    <w:rPr>
                      <w:b/>
                      <w:sz w:val="21"/>
                      <w:szCs w:val="21"/>
                      <w:u w:val="single"/>
                    </w:rPr>
                  </w:pPr>
                  <w:r>
                    <w:rPr>
                      <w:b/>
                      <w:sz w:val="21"/>
                      <w:szCs w:val="21"/>
                      <w:u w:val="single"/>
                    </w:rPr>
                    <w:t>0.4</w:t>
                  </w:r>
                </w:p>
              </w:tc>
              <w:tc>
                <w:tcPr>
                  <w:tcW w:w="1701" w:type="dxa"/>
                  <w:vAlign w:val="center"/>
                </w:tcPr>
                <w:p w14:paraId="71F63361">
                  <w:pPr>
                    <w:pStyle w:val="160"/>
                    <w:rPr>
                      <w:rFonts w:eastAsia="宋体" w:cs="Times New Roman"/>
                      <w:b/>
                      <w:sz w:val="21"/>
                      <w:szCs w:val="21"/>
                      <w:u w:val="single"/>
                    </w:rPr>
                  </w:pPr>
                  <w:r>
                    <w:rPr>
                      <w:rFonts w:hint="eastAsia" w:eastAsia="宋体" w:cs="Times New Roman"/>
                      <w:b/>
                      <w:sz w:val="21"/>
                      <w:szCs w:val="21"/>
                      <w:u w:val="single"/>
                    </w:rPr>
                    <w:t>4838.40</w:t>
                  </w:r>
                </w:p>
              </w:tc>
            </w:tr>
            <w:tr w14:paraId="0B1E4E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121" w:type="dxa"/>
                  <w:gridSpan w:val="5"/>
                  <w:vAlign w:val="center"/>
                </w:tcPr>
                <w:p w14:paraId="3A7B26CA">
                  <w:pPr>
                    <w:pStyle w:val="154"/>
                    <w:rPr>
                      <w:b/>
                      <w:sz w:val="21"/>
                      <w:szCs w:val="21"/>
                      <w:u w:val="single"/>
                    </w:rPr>
                  </w:pPr>
                  <w:r>
                    <w:rPr>
                      <w:b/>
                      <w:sz w:val="21"/>
                      <w:szCs w:val="21"/>
                      <w:u w:val="single"/>
                    </w:rPr>
                    <w:t>合计</w:t>
                  </w:r>
                </w:p>
              </w:tc>
              <w:tc>
                <w:tcPr>
                  <w:tcW w:w="1701" w:type="dxa"/>
                  <w:vAlign w:val="center"/>
                </w:tcPr>
                <w:p w14:paraId="06CC4D34">
                  <w:pPr>
                    <w:pStyle w:val="160"/>
                    <w:rPr>
                      <w:rFonts w:cs="Times New Roman"/>
                      <w:b/>
                      <w:sz w:val="21"/>
                      <w:szCs w:val="21"/>
                      <w:u w:val="single"/>
                    </w:rPr>
                  </w:pPr>
                  <w:r>
                    <w:rPr>
                      <w:rFonts w:hint="eastAsia" w:cs="Times New Roman"/>
                      <w:b/>
                      <w:sz w:val="21"/>
                      <w:szCs w:val="21"/>
                      <w:u w:val="single"/>
                    </w:rPr>
                    <w:t>8870.40</w:t>
                  </w:r>
                </w:p>
              </w:tc>
            </w:tr>
          </w:tbl>
          <w:p w14:paraId="09DA76A7">
            <w:pPr>
              <w:pStyle w:val="156"/>
              <w:ind w:firstLine="482"/>
              <w:rPr>
                <w:rFonts w:eastAsia="宋体" w:cs="Times New Roman"/>
                <w:b/>
                <w:u w:val="single"/>
              </w:rPr>
            </w:pPr>
            <w:r>
              <w:rPr>
                <w:rFonts w:eastAsia="宋体" w:cs="Times New Roman"/>
                <w:b/>
                <w:kern w:val="0"/>
                <w:u w:val="single"/>
              </w:rPr>
              <w:t>计算得出注塑工艺生产线集气风量至</w:t>
            </w:r>
            <w:r>
              <w:rPr>
                <w:rFonts w:eastAsia="宋体" w:cs="Times New Roman"/>
                <w:b/>
                <w:kern w:val="0"/>
                <w:szCs w:val="24"/>
                <w:u w:val="single"/>
              </w:rPr>
              <w:t>少为</w:t>
            </w:r>
            <w:r>
              <w:rPr>
                <w:rFonts w:hint="eastAsia" w:cs="Times New Roman"/>
                <w:b/>
                <w:szCs w:val="24"/>
                <w:u w:val="single"/>
              </w:rPr>
              <w:t>8870.40</w:t>
            </w:r>
            <w:r>
              <w:rPr>
                <w:rFonts w:eastAsia="宋体" w:cs="Times New Roman"/>
                <w:b/>
                <w:kern w:val="0"/>
                <w:szCs w:val="24"/>
                <w:u w:val="single"/>
              </w:rPr>
              <w:t>m</w:t>
            </w:r>
            <w:r>
              <w:rPr>
                <w:rFonts w:eastAsia="宋体" w:cs="Times New Roman"/>
                <w:b/>
                <w:kern w:val="0"/>
                <w:szCs w:val="24"/>
                <w:u w:val="single"/>
                <w:vertAlign w:val="superscript"/>
              </w:rPr>
              <w:t>3</w:t>
            </w:r>
            <w:r>
              <w:rPr>
                <w:rFonts w:eastAsia="宋体" w:cs="Times New Roman"/>
                <w:b/>
                <w:kern w:val="0"/>
                <w:szCs w:val="24"/>
                <w:u w:val="single"/>
              </w:rPr>
              <w:t>/h，</w:t>
            </w:r>
            <w:r>
              <w:rPr>
                <w:rFonts w:eastAsia="宋体" w:cs="Times New Roman"/>
                <w:b/>
                <w:szCs w:val="24"/>
                <w:u w:val="single"/>
              </w:rPr>
              <w:t>本</w:t>
            </w:r>
            <w:r>
              <w:rPr>
                <w:rFonts w:eastAsia="宋体" w:cs="Times New Roman"/>
                <w:b/>
                <w:u w:val="single"/>
              </w:rPr>
              <w:t>项目设计风量</w:t>
            </w:r>
            <w:r>
              <w:rPr>
                <w:rFonts w:hint="eastAsia" w:eastAsia="宋体" w:cs="Times New Roman"/>
                <w:b/>
                <w:u w:val="single"/>
              </w:rPr>
              <w:t>9000</w:t>
            </w:r>
            <w:r>
              <w:rPr>
                <w:rFonts w:eastAsia="宋体" w:cs="Times New Roman"/>
                <w:b/>
                <w:u w:val="single"/>
              </w:rPr>
              <w:t>m</w:t>
            </w:r>
            <w:r>
              <w:rPr>
                <w:rFonts w:eastAsia="宋体" w:cs="Times New Roman"/>
                <w:b/>
                <w:u w:val="single"/>
                <w:vertAlign w:val="superscript"/>
              </w:rPr>
              <w:t>3</w:t>
            </w:r>
            <w:r>
              <w:rPr>
                <w:rFonts w:eastAsia="宋体" w:cs="Times New Roman"/>
                <w:b/>
                <w:u w:val="single"/>
              </w:rPr>
              <w:t>/h，满足废气收集需求。</w:t>
            </w:r>
          </w:p>
          <w:p w14:paraId="3B8072A8">
            <w:pPr>
              <w:pStyle w:val="156"/>
              <w:ind w:firstLine="0" w:firstLineChars="0"/>
              <w:rPr>
                <w:rFonts w:eastAsia="宋体" w:cs="Times New Roman"/>
                <w:b/>
                <w:u w:val="single"/>
              </w:rPr>
            </w:pPr>
            <w:r>
              <w:rPr>
                <w:rFonts w:hint="eastAsia" w:eastAsia="宋体" w:cs="Times New Roman"/>
                <w:b/>
                <w:u w:val="single"/>
              </w:rPr>
              <w:t>（2）聚氨酯生产线废气收集措施</w:t>
            </w:r>
          </w:p>
          <w:p w14:paraId="3B26AED0">
            <w:pPr>
              <w:pStyle w:val="156"/>
              <w:ind w:firstLine="482"/>
              <w:rPr>
                <w:rFonts w:eastAsia="宋体"/>
                <w:b/>
                <w:u w:val="single"/>
              </w:rPr>
            </w:pPr>
            <w:r>
              <w:rPr>
                <w:rFonts w:hint="eastAsia" w:eastAsia="宋体"/>
                <w:b/>
                <w:u w:val="single"/>
              </w:rPr>
              <w:t>中转罐投料工序：在中转罐投料口上方设置集气罩</w:t>
            </w:r>
            <w:r>
              <w:rPr>
                <w:rFonts w:eastAsia="宋体" w:cs="Times New Roman"/>
                <w:b/>
                <w:u w:val="single"/>
              </w:rPr>
              <w:t>（集气罩口面积为</w:t>
            </w:r>
            <w:r>
              <w:rPr>
                <w:rFonts w:hint="eastAsia" w:eastAsia="宋体" w:cs="Times New Roman"/>
                <w:b/>
                <w:u w:val="single"/>
              </w:rPr>
              <w:t>1.6</w:t>
            </w:r>
            <w:r>
              <w:rPr>
                <w:rFonts w:eastAsia="宋体" w:cs="Times New Roman"/>
                <w:b/>
                <w:u w:val="single"/>
              </w:rPr>
              <w:t>m×0.</w:t>
            </w:r>
            <w:r>
              <w:rPr>
                <w:rFonts w:hint="eastAsia" w:eastAsia="宋体" w:cs="Times New Roman"/>
                <w:b/>
                <w:u w:val="single"/>
              </w:rPr>
              <w:t>4</w:t>
            </w:r>
            <w:r>
              <w:rPr>
                <w:rFonts w:eastAsia="宋体" w:cs="Times New Roman"/>
                <w:b/>
                <w:u w:val="single"/>
              </w:rPr>
              <w:t>m，五个中转罐为一组设置一个集气罩，共设置</w:t>
            </w:r>
            <w:r>
              <w:rPr>
                <w:rFonts w:hint="eastAsia" w:eastAsia="宋体" w:cs="Times New Roman"/>
                <w:b/>
                <w:u w:val="single"/>
              </w:rPr>
              <w:t>2</w:t>
            </w:r>
            <w:r>
              <w:rPr>
                <w:rFonts w:eastAsia="宋体" w:cs="Times New Roman"/>
                <w:b/>
                <w:u w:val="single"/>
              </w:rPr>
              <w:t>个）</w:t>
            </w:r>
            <w:r>
              <w:rPr>
                <w:rFonts w:hint="eastAsia" w:eastAsia="宋体"/>
                <w:b/>
                <w:u w:val="single"/>
              </w:rPr>
              <w:t>；</w:t>
            </w:r>
          </w:p>
          <w:p w14:paraId="365234A4">
            <w:pPr>
              <w:pStyle w:val="156"/>
              <w:ind w:firstLine="480"/>
              <w:rPr>
                <w:rFonts w:eastAsia="宋体"/>
              </w:rPr>
            </w:pPr>
            <w:r>
              <w:rPr>
                <w:rFonts w:hint="eastAsia" w:eastAsia="宋体"/>
              </w:rPr>
              <w:t>浇注工序：在浇注口工位上方设集气罩</w:t>
            </w:r>
            <w:r>
              <w:rPr>
                <w:rFonts w:eastAsia="宋体" w:cs="Times New Roman"/>
              </w:rPr>
              <w:t>（集气罩口面积为</w:t>
            </w:r>
            <w:r>
              <w:rPr>
                <w:rFonts w:hint="eastAsia" w:eastAsia="宋体" w:cs="Times New Roman"/>
              </w:rPr>
              <w:t>0.8</w:t>
            </w:r>
            <w:r>
              <w:rPr>
                <w:rFonts w:eastAsia="宋体" w:cs="Times New Roman"/>
              </w:rPr>
              <w:t>m×</w:t>
            </w:r>
            <w:r>
              <w:rPr>
                <w:rFonts w:hint="eastAsia" w:eastAsia="宋体" w:cs="Times New Roman"/>
              </w:rPr>
              <w:t>0.8</w:t>
            </w:r>
            <w:r>
              <w:rPr>
                <w:rFonts w:eastAsia="宋体" w:cs="Times New Roman"/>
              </w:rPr>
              <w:t>m，设置</w:t>
            </w:r>
            <w:r>
              <w:rPr>
                <w:rFonts w:hint="eastAsia" w:eastAsia="宋体" w:cs="Times New Roman"/>
              </w:rPr>
              <w:t>2</w:t>
            </w:r>
            <w:r>
              <w:rPr>
                <w:rFonts w:eastAsia="宋体" w:cs="Times New Roman"/>
              </w:rPr>
              <w:t>个）</w:t>
            </w:r>
            <w:r>
              <w:rPr>
                <w:rFonts w:hint="eastAsia" w:eastAsia="宋体"/>
              </w:rPr>
              <w:t>；</w:t>
            </w:r>
          </w:p>
          <w:p w14:paraId="7A4604E3">
            <w:pPr>
              <w:pStyle w:val="156"/>
              <w:ind w:firstLine="480"/>
              <w:rPr>
                <w:rFonts w:eastAsia="宋体"/>
              </w:rPr>
            </w:pPr>
            <w:r>
              <w:rPr>
                <w:rFonts w:hint="eastAsia" w:eastAsia="宋体"/>
              </w:rPr>
              <w:t>喷脱模剂工位：在喷脱模剂工位上方设集气罩</w:t>
            </w:r>
            <w:r>
              <w:rPr>
                <w:rFonts w:eastAsia="宋体" w:cs="Times New Roman"/>
              </w:rPr>
              <w:t>（集气罩口面积为</w:t>
            </w:r>
            <w:r>
              <w:rPr>
                <w:rFonts w:hint="eastAsia" w:eastAsia="宋体" w:cs="Times New Roman"/>
              </w:rPr>
              <w:t>1.5</w:t>
            </w:r>
            <w:r>
              <w:rPr>
                <w:rFonts w:eastAsia="宋体" w:cs="Times New Roman"/>
              </w:rPr>
              <w:t>m×0.</w:t>
            </w:r>
            <w:r>
              <w:rPr>
                <w:rFonts w:hint="eastAsia" w:eastAsia="宋体" w:cs="Times New Roman"/>
              </w:rPr>
              <w:t>5</w:t>
            </w:r>
            <w:r>
              <w:rPr>
                <w:rFonts w:eastAsia="宋体" w:cs="Times New Roman"/>
              </w:rPr>
              <w:t>m，设置</w:t>
            </w:r>
            <w:r>
              <w:rPr>
                <w:rFonts w:hint="eastAsia" w:eastAsia="宋体" w:cs="Times New Roman"/>
              </w:rPr>
              <w:t>2</w:t>
            </w:r>
            <w:r>
              <w:rPr>
                <w:rFonts w:eastAsia="宋体" w:cs="Times New Roman"/>
              </w:rPr>
              <w:t>个）</w:t>
            </w:r>
            <w:r>
              <w:rPr>
                <w:rFonts w:hint="eastAsia" w:eastAsia="宋体"/>
              </w:rPr>
              <w:t>；</w:t>
            </w:r>
          </w:p>
          <w:p w14:paraId="6137263F">
            <w:pPr>
              <w:pStyle w:val="156"/>
              <w:ind w:firstLine="480"/>
              <w:rPr>
                <w:rFonts w:eastAsia="宋体" w:cs="Times New Roman"/>
                <w:b/>
                <w:u w:val="single"/>
              </w:rPr>
            </w:pPr>
            <w:r>
              <w:rPr>
                <w:rFonts w:hint="eastAsia" w:eastAsia="宋体"/>
              </w:rPr>
              <w:t>电加热定型烘道：在电加热定型烘道进出口上方设置集气罩</w:t>
            </w:r>
            <w:r>
              <w:rPr>
                <w:rFonts w:eastAsia="宋体" w:cs="Times New Roman"/>
              </w:rPr>
              <w:t>（集气罩口面积为0.</w:t>
            </w:r>
            <w:r>
              <w:rPr>
                <w:rFonts w:hint="eastAsia" w:eastAsia="宋体" w:cs="Times New Roman"/>
              </w:rPr>
              <w:t>5</w:t>
            </w:r>
            <w:r>
              <w:rPr>
                <w:rFonts w:eastAsia="宋体" w:cs="Times New Roman"/>
              </w:rPr>
              <w:t>m×0.</w:t>
            </w:r>
            <w:r>
              <w:rPr>
                <w:rFonts w:hint="eastAsia" w:eastAsia="宋体" w:cs="Times New Roman"/>
              </w:rPr>
              <w:t>5</w:t>
            </w:r>
            <w:r>
              <w:rPr>
                <w:rFonts w:eastAsia="宋体" w:cs="Times New Roman"/>
              </w:rPr>
              <w:t>m，</w:t>
            </w:r>
            <w:r>
              <w:rPr>
                <w:rFonts w:hint="eastAsia" w:eastAsia="宋体"/>
              </w:rPr>
              <w:t>进出口各</w:t>
            </w:r>
            <w:r>
              <w:rPr>
                <w:rFonts w:eastAsia="宋体"/>
              </w:rPr>
              <w:t>1</w:t>
            </w:r>
            <w:r>
              <w:rPr>
                <w:rFonts w:hint="eastAsia" w:eastAsia="宋体"/>
              </w:rPr>
              <w:t>个，共</w:t>
            </w:r>
            <w:r>
              <w:rPr>
                <w:rFonts w:eastAsia="宋体" w:cs="Times New Roman"/>
              </w:rPr>
              <w:t>设置</w:t>
            </w:r>
            <w:r>
              <w:rPr>
                <w:rFonts w:hint="eastAsia" w:eastAsia="宋体" w:cs="Times New Roman"/>
              </w:rPr>
              <w:t>2</w:t>
            </w:r>
            <w:r>
              <w:rPr>
                <w:rFonts w:eastAsia="宋体" w:cs="Times New Roman"/>
              </w:rPr>
              <w:t>个）</w:t>
            </w:r>
            <w:r>
              <w:rPr>
                <w:rFonts w:hint="eastAsia" w:eastAsia="宋体"/>
              </w:rPr>
              <w:t>。</w:t>
            </w:r>
          </w:p>
          <w:p w14:paraId="6825AF7E">
            <w:pPr>
              <w:pStyle w:val="156"/>
              <w:ind w:firstLine="482"/>
              <w:rPr>
                <w:b/>
                <w:u w:val="single"/>
              </w:rPr>
            </w:pPr>
            <w:r>
              <w:rPr>
                <w:b/>
                <w:u w:val="single"/>
              </w:rPr>
              <w:t>根据式</w:t>
            </w:r>
            <w:r>
              <w:rPr>
                <w:rFonts w:hint="eastAsia"/>
                <w:b/>
                <w:u w:val="single"/>
              </w:rPr>
              <w:t>4-1</w:t>
            </w:r>
            <w:r>
              <w:rPr>
                <w:b/>
                <w:u w:val="single"/>
              </w:rPr>
              <w:t>计算工序所需风量：</w:t>
            </w:r>
          </w:p>
          <w:p w14:paraId="367941CD">
            <w:pPr>
              <w:pStyle w:val="182"/>
              <w:ind w:firstLine="482"/>
              <w:rPr>
                <w:b/>
                <w:u w:val="single"/>
              </w:rPr>
            </w:pPr>
            <w:r>
              <w:rPr>
                <w:b/>
                <w:u w:val="single"/>
              </w:rPr>
              <w:t xml:space="preserve">表4- </w:t>
            </w:r>
            <w:r>
              <w:rPr>
                <w:rFonts w:hint="eastAsia"/>
                <w:b/>
                <w:u w:val="single"/>
              </w:rPr>
              <w:t>6</w:t>
            </w:r>
            <w:r>
              <w:rPr>
                <w:b/>
                <w:u w:val="single"/>
              </w:rPr>
              <w:t xml:space="preserve">       </w:t>
            </w:r>
            <w:r>
              <w:rPr>
                <w:rFonts w:hint="eastAsia"/>
                <w:b/>
                <w:u w:val="single"/>
              </w:rPr>
              <w:t>聚氨酯</w:t>
            </w:r>
            <w:r>
              <w:rPr>
                <w:b/>
                <w:u w:val="single"/>
              </w:rPr>
              <w:t>工艺污染物产生工序集气罩面积一览表</w:t>
            </w:r>
          </w:p>
          <w:tbl>
            <w:tblPr>
              <w:tblStyle w:val="88"/>
              <w:tblW w:w="8822"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09"/>
              <w:gridCol w:w="1134"/>
              <w:gridCol w:w="1509"/>
              <w:gridCol w:w="1509"/>
              <w:gridCol w:w="1460"/>
              <w:gridCol w:w="1701"/>
            </w:tblGrid>
            <w:tr w14:paraId="5592F1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6F836490">
                  <w:pPr>
                    <w:pStyle w:val="154"/>
                    <w:rPr>
                      <w:b/>
                      <w:sz w:val="21"/>
                      <w:szCs w:val="21"/>
                      <w:u w:val="single"/>
                    </w:rPr>
                  </w:pPr>
                  <w:r>
                    <w:rPr>
                      <w:rFonts w:hint="eastAsia"/>
                      <w:b/>
                      <w:sz w:val="21"/>
                      <w:szCs w:val="21"/>
                      <w:u w:val="single"/>
                    </w:rPr>
                    <w:t>集气罩位置</w:t>
                  </w:r>
                </w:p>
              </w:tc>
              <w:tc>
                <w:tcPr>
                  <w:tcW w:w="1134" w:type="dxa"/>
                  <w:vAlign w:val="center"/>
                </w:tcPr>
                <w:p w14:paraId="2256AEFA">
                  <w:pPr>
                    <w:pStyle w:val="154"/>
                    <w:rPr>
                      <w:b/>
                      <w:sz w:val="21"/>
                      <w:szCs w:val="21"/>
                      <w:u w:val="single"/>
                    </w:rPr>
                  </w:pPr>
                  <w:r>
                    <w:rPr>
                      <w:b/>
                      <w:sz w:val="21"/>
                      <w:szCs w:val="21"/>
                      <w:u w:val="single"/>
                    </w:rPr>
                    <w:t>污染源至集气罩的距离（m）</w:t>
                  </w:r>
                </w:p>
              </w:tc>
              <w:tc>
                <w:tcPr>
                  <w:tcW w:w="1509" w:type="dxa"/>
                  <w:vAlign w:val="center"/>
                </w:tcPr>
                <w:p w14:paraId="52D74417">
                  <w:pPr>
                    <w:pStyle w:val="154"/>
                    <w:rPr>
                      <w:b/>
                      <w:sz w:val="21"/>
                      <w:szCs w:val="21"/>
                      <w:u w:val="single"/>
                    </w:rPr>
                  </w:pPr>
                  <w:r>
                    <w:rPr>
                      <w:b/>
                      <w:sz w:val="21"/>
                      <w:szCs w:val="21"/>
                      <w:u w:val="single"/>
                    </w:rPr>
                    <w:t>集气罩规格</w:t>
                  </w:r>
                </w:p>
              </w:tc>
              <w:tc>
                <w:tcPr>
                  <w:tcW w:w="1509" w:type="dxa"/>
                  <w:vAlign w:val="center"/>
                </w:tcPr>
                <w:p w14:paraId="41DB75F0">
                  <w:pPr>
                    <w:pStyle w:val="154"/>
                    <w:rPr>
                      <w:b/>
                      <w:sz w:val="21"/>
                      <w:szCs w:val="21"/>
                      <w:u w:val="single"/>
                    </w:rPr>
                  </w:pPr>
                  <w:r>
                    <w:rPr>
                      <w:b/>
                      <w:sz w:val="21"/>
                      <w:szCs w:val="21"/>
                      <w:u w:val="single"/>
                    </w:rPr>
                    <w:t>集气罩数量</w:t>
                  </w:r>
                </w:p>
              </w:tc>
              <w:tc>
                <w:tcPr>
                  <w:tcW w:w="1460" w:type="dxa"/>
                  <w:vAlign w:val="center"/>
                </w:tcPr>
                <w:p w14:paraId="6B56C082">
                  <w:pPr>
                    <w:pStyle w:val="154"/>
                    <w:rPr>
                      <w:b/>
                      <w:sz w:val="21"/>
                      <w:szCs w:val="21"/>
                      <w:u w:val="single"/>
                    </w:rPr>
                  </w:pPr>
                  <w:r>
                    <w:rPr>
                      <w:b/>
                      <w:sz w:val="21"/>
                      <w:szCs w:val="21"/>
                      <w:u w:val="single"/>
                    </w:rPr>
                    <w:t>污染源气体流速（m/s）</w:t>
                  </w:r>
                </w:p>
              </w:tc>
              <w:tc>
                <w:tcPr>
                  <w:tcW w:w="1701" w:type="dxa"/>
                  <w:vAlign w:val="center"/>
                </w:tcPr>
                <w:p w14:paraId="5FCE6A93">
                  <w:pPr>
                    <w:pStyle w:val="154"/>
                    <w:rPr>
                      <w:b/>
                      <w:sz w:val="21"/>
                      <w:szCs w:val="21"/>
                      <w:u w:val="single"/>
                    </w:rPr>
                  </w:pPr>
                  <w:r>
                    <w:rPr>
                      <w:b/>
                      <w:sz w:val="21"/>
                      <w:szCs w:val="21"/>
                      <w:u w:val="single"/>
                    </w:rPr>
                    <w:t>所需风量（m</w:t>
                  </w:r>
                  <w:r>
                    <w:rPr>
                      <w:b/>
                      <w:sz w:val="21"/>
                      <w:szCs w:val="21"/>
                      <w:u w:val="single"/>
                      <w:vertAlign w:val="superscript"/>
                    </w:rPr>
                    <w:t>3</w:t>
                  </w:r>
                  <w:r>
                    <w:rPr>
                      <w:b/>
                      <w:sz w:val="21"/>
                      <w:szCs w:val="21"/>
                      <w:u w:val="single"/>
                    </w:rPr>
                    <w:t>/h）</w:t>
                  </w:r>
                </w:p>
              </w:tc>
            </w:tr>
            <w:tr w14:paraId="3FFD6A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651CD2F4">
                  <w:pPr>
                    <w:pStyle w:val="154"/>
                    <w:rPr>
                      <w:b/>
                      <w:sz w:val="21"/>
                      <w:szCs w:val="21"/>
                      <w:u w:val="single"/>
                    </w:rPr>
                  </w:pPr>
                  <w:r>
                    <w:rPr>
                      <w:rFonts w:hint="eastAsia"/>
                      <w:b/>
                      <w:sz w:val="21"/>
                      <w:szCs w:val="21"/>
                      <w:u w:val="single"/>
                    </w:rPr>
                    <w:t>中转罐</w:t>
                  </w:r>
                </w:p>
              </w:tc>
              <w:tc>
                <w:tcPr>
                  <w:tcW w:w="1134" w:type="dxa"/>
                  <w:vAlign w:val="center"/>
                </w:tcPr>
                <w:p w14:paraId="0A74BA5B">
                  <w:pPr>
                    <w:pStyle w:val="154"/>
                    <w:rPr>
                      <w:b/>
                      <w:sz w:val="21"/>
                      <w:szCs w:val="21"/>
                      <w:u w:val="single"/>
                    </w:rPr>
                  </w:pPr>
                  <w:r>
                    <w:rPr>
                      <w:rFonts w:hint="eastAsia"/>
                      <w:b/>
                      <w:sz w:val="21"/>
                      <w:szCs w:val="21"/>
                      <w:u w:val="single"/>
                    </w:rPr>
                    <w:t>0.1</w:t>
                  </w:r>
                </w:p>
              </w:tc>
              <w:tc>
                <w:tcPr>
                  <w:tcW w:w="1509" w:type="dxa"/>
                  <w:vAlign w:val="center"/>
                </w:tcPr>
                <w:p w14:paraId="72E73CFE">
                  <w:pPr>
                    <w:pStyle w:val="154"/>
                    <w:rPr>
                      <w:b/>
                      <w:sz w:val="21"/>
                      <w:szCs w:val="21"/>
                      <w:u w:val="single"/>
                    </w:rPr>
                  </w:pPr>
                  <w:r>
                    <w:rPr>
                      <w:rFonts w:hint="eastAsia"/>
                      <w:b/>
                      <w:sz w:val="21"/>
                      <w:szCs w:val="21"/>
                      <w:u w:val="single"/>
                    </w:rPr>
                    <w:t>1.6</w:t>
                  </w:r>
                  <w:r>
                    <w:rPr>
                      <w:b/>
                      <w:sz w:val="21"/>
                      <w:szCs w:val="21"/>
                      <w:u w:val="single"/>
                    </w:rPr>
                    <w:t>m*</w:t>
                  </w:r>
                  <w:r>
                    <w:rPr>
                      <w:rFonts w:hint="eastAsia"/>
                      <w:b/>
                      <w:sz w:val="21"/>
                      <w:szCs w:val="21"/>
                      <w:u w:val="single"/>
                    </w:rPr>
                    <w:t>0.4</w:t>
                  </w:r>
                  <w:r>
                    <w:rPr>
                      <w:b/>
                      <w:sz w:val="21"/>
                      <w:szCs w:val="21"/>
                      <w:u w:val="single"/>
                    </w:rPr>
                    <w:t>m</w:t>
                  </w:r>
                </w:p>
              </w:tc>
              <w:tc>
                <w:tcPr>
                  <w:tcW w:w="1509" w:type="dxa"/>
                  <w:vAlign w:val="center"/>
                </w:tcPr>
                <w:p w14:paraId="56F2DF18">
                  <w:pPr>
                    <w:pStyle w:val="154"/>
                    <w:rPr>
                      <w:b/>
                      <w:sz w:val="21"/>
                      <w:szCs w:val="21"/>
                      <w:u w:val="single"/>
                    </w:rPr>
                  </w:pPr>
                  <w:r>
                    <w:rPr>
                      <w:rFonts w:hint="eastAsia"/>
                      <w:b/>
                      <w:sz w:val="21"/>
                      <w:szCs w:val="21"/>
                      <w:u w:val="single"/>
                    </w:rPr>
                    <w:t>2</w:t>
                  </w:r>
                </w:p>
              </w:tc>
              <w:tc>
                <w:tcPr>
                  <w:tcW w:w="1460" w:type="dxa"/>
                  <w:vAlign w:val="center"/>
                </w:tcPr>
                <w:p w14:paraId="158BEA2C">
                  <w:pPr>
                    <w:pStyle w:val="154"/>
                    <w:rPr>
                      <w:b/>
                      <w:sz w:val="21"/>
                      <w:szCs w:val="21"/>
                      <w:u w:val="single"/>
                    </w:rPr>
                  </w:pPr>
                  <w:r>
                    <w:rPr>
                      <w:b/>
                      <w:sz w:val="21"/>
                      <w:szCs w:val="21"/>
                      <w:u w:val="single"/>
                    </w:rPr>
                    <w:t>0.4</w:t>
                  </w:r>
                </w:p>
              </w:tc>
              <w:tc>
                <w:tcPr>
                  <w:tcW w:w="1701" w:type="dxa"/>
                  <w:vAlign w:val="center"/>
                </w:tcPr>
                <w:p w14:paraId="05C93CAB">
                  <w:pPr>
                    <w:pStyle w:val="154"/>
                    <w:rPr>
                      <w:b/>
                      <w:sz w:val="21"/>
                      <w:szCs w:val="21"/>
                      <w:u w:val="single"/>
                    </w:rPr>
                  </w:pPr>
                  <w:r>
                    <w:rPr>
                      <w:rFonts w:hint="eastAsia"/>
                      <w:b/>
                      <w:sz w:val="21"/>
                      <w:szCs w:val="21"/>
                      <w:u w:val="single"/>
                    </w:rPr>
                    <w:t>1612.80</w:t>
                  </w:r>
                </w:p>
              </w:tc>
            </w:tr>
            <w:tr w14:paraId="2B459A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6DA3A924">
                  <w:pPr>
                    <w:pStyle w:val="154"/>
                    <w:rPr>
                      <w:b/>
                      <w:sz w:val="21"/>
                      <w:szCs w:val="21"/>
                      <w:u w:val="single"/>
                    </w:rPr>
                  </w:pPr>
                  <w:r>
                    <w:rPr>
                      <w:rFonts w:hint="eastAsia"/>
                      <w:b/>
                      <w:sz w:val="21"/>
                      <w:szCs w:val="21"/>
                      <w:u w:val="single"/>
                    </w:rPr>
                    <w:t>浇注</w:t>
                  </w:r>
                </w:p>
              </w:tc>
              <w:tc>
                <w:tcPr>
                  <w:tcW w:w="1134" w:type="dxa"/>
                  <w:vAlign w:val="center"/>
                </w:tcPr>
                <w:p w14:paraId="34882957">
                  <w:pPr>
                    <w:pStyle w:val="154"/>
                    <w:rPr>
                      <w:b/>
                      <w:sz w:val="21"/>
                      <w:szCs w:val="21"/>
                      <w:u w:val="single"/>
                    </w:rPr>
                  </w:pPr>
                  <w:r>
                    <w:rPr>
                      <w:b/>
                      <w:sz w:val="21"/>
                      <w:szCs w:val="21"/>
                      <w:u w:val="single"/>
                    </w:rPr>
                    <w:t>0.3</w:t>
                  </w:r>
                </w:p>
              </w:tc>
              <w:tc>
                <w:tcPr>
                  <w:tcW w:w="1509" w:type="dxa"/>
                  <w:vAlign w:val="center"/>
                </w:tcPr>
                <w:p w14:paraId="1480D5F1">
                  <w:pPr>
                    <w:pStyle w:val="154"/>
                    <w:rPr>
                      <w:b/>
                      <w:sz w:val="21"/>
                      <w:szCs w:val="21"/>
                      <w:u w:val="single"/>
                    </w:rPr>
                  </w:pPr>
                  <w:r>
                    <w:rPr>
                      <w:rFonts w:hint="eastAsia"/>
                      <w:b/>
                      <w:sz w:val="21"/>
                      <w:szCs w:val="21"/>
                      <w:u w:val="single"/>
                    </w:rPr>
                    <w:t>0.8</w:t>
                  </w:r>
                  <w:r>
                    <w:rPr>
                      <w:b/>
                      <w:sz w:val="21"/>
                      <w:szCs w:val="21"/>
                      <w:u w:val="single"/>
                    </w:rPr>
                    <w:t>m*</w:t>
                  </w:r>
                  <w:r>
                    <w:rPr>
                      <w:rFonts w:hint="eastAsia"/>
                      <w:b/>
                      <w:sz w:val="21"/>
                      <w:szCs w:val="21"/>
                      <w:u w:val="single"/>
                    </w:rPr>
                    <w:t>0.8</w:t>
                  </w:r>
                  <w:r>
                    <w:rPr>
                      <w:b/>
                      <w:sz w:val="21"/>
                      <w:szCs w:val="21"/>
                      <w:u w:val="single"/>
                    </w:rPr>
                    <w:t>m</w:t>
                  </w:r>
                </w:p>
              </w:tc>
              <w:tc>
                <w:tcPr>
                  <w:tcW w:w="1509" w:type="dxa"/>
                  <w:vAlign w:val="center"/>
                </w:tcPr>
                <w:p w14:paraId="07E2C276">
                  <w:pPr>
                    <w:pStyle w:val="154"/>
                    <w:rPr>
                      <w:b/>
                      <w:sz w:val="21"/>
                      <w:szCs w:val="21"/>
                      <w:u w:val="single"/>
                    </w:rPr>
                  </w:pPr>
                  <w:r>
                    <w:rPr>
                      <w:rFonts w:hint="eastAsia"/>
                      <w:b/>
                      <w:sz w:val="21"/>
                      <w:szCs w:val="21"/>
                      <w:u w:val="single"/>
                    </w:rPr>
                    <w:t>2</w:t>
                  </w:r>
                </w:p>
              </w:tc>
              <w:tc>
                <w:tcPr>
                  <w:tcW w:w="1460" w:type="dxa"/>
                  <w:vAlign w:val="center"/>
                </w:tcPr>
                <w:p w14:paraId="6986B974">
                  <w:pPr>
                    <w:pStyle w:val="154"/>
                    <w:rPr>
                      <w:b/>
                      <w:sz w:val="21"/>
                      <w:szCs w:val="21"/>
                      <w:u w:val="single"/>
                    </w:rPr>
                  </w:pPr>
                  <w:r>
                    <w:rPr>
                      <w:b/>
                      <w:sz w:val="21"/>
                      <w:szCs w:val="21"/>
                      <w:u w:val="single"/>
                    </w:rPr>
                    <w:t>0.4</w:t>
                  </w:r>
                </w:p>
              </w:tc>
              <w:tc>
                <w:tcPr>
                  <w:tcW w:w="1701" w:type="dxa"/>
                  <w:vAlign w:val="center"/>
                </w:tcPr>
                <w:p w14:paraId="4216E5D0">
                  <w:pPr>
                    <w:pStyle w:val="154"/>
                    <w:rPr>
                      <w:b/>
                      <w:sz w:val="21"/>
                      <w:szCs w:val="21"/>
                      <w:u w:val="single"/>
                    </w:rPr>
                  </w:pPr>
                  <w:r>
                    <w:rPr>
                      <w:rFonts w:hint="eastAsia"/>
                      <w:b/>
                      <w:sz w:val="21"/>
                      <w:szCs w:val="21"/>
                      <w:u w:val="single"/>
                    </w:rPr>
                    <w:t>3870.72</w:t>
                  </w:r>
                </w:p>
              </w:tc>
            </w:tr>
            <w:tr w14:paraId="3CCE75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4A50E18E">
                  <w:pPr>
                    <w:pStyle w:val="154"/>
                    <w:rPr>
                      <w:b/>
                      <w:sz w:val="21"/>
                      <w:szCs w:val="21"/>
                      <w:u w:val="single"/>
                    </w:rPr>
                  </w:pPr>
                  <w:r>
                    <w:rPr>
                      <w:rFonts w:hint="eastAsia"/>
                      <w:b/>
                      <w:sz w:val="21"/>
                      <w:szCs w:val="21"/>
                      <w:u w:val="single"/>
                    </w:rPr>
                    <w:t>脱模剂工位</w:t>
                  </w:r>
                </w:p>
              </w:tc>
              <w:tc>
                <w:tcPr>
                  <w:tcW w:w="1134" w:type="dxa"/>
                  <w:vAlign w:val="center"/>
                </w:tcPr>
                <w:p w14:paraId="58A82830">
                  <w:pPr>
                    <w:pStyle w:val="154"/>
                    <w:rPr>
                      <w:b/>
                      <w:sz w:val="21"/>
                      <w:szCs w:val="21"/>
                      <w:u w:val="single"/>
                    </w:rPr>
                  </w:pPr>
                  <w:r>
                    <w:rPr>
                      <w:b/>
                      <w:sz w:val="21"/>
                      <w:szCs w:val="21"/>
                      <w:u w:val="single"/>
                    </w:rPr>
                    <w:t>0.3</w:t>
                  </w:r>
                </w:p>
              </w:tc>
              <w:tc>
                <w:tcPr>
                  <w:tcW w:w="1509" w:type="dxa"/>
                  <w:vAlign w:val="center"/>
                </w:tcPr>
                <w:p w14:paraId="4B692BE5">
                  <w:pPr>
                    <w:pStyle w:val="154"/>
                    <w:rPr>
                      <w:b/>
                      <w:sz w:val="21"/>
                      <w:szCs w:val="21"/>
                      <w:u w:val="single"/>
                    </w:rPr>
                  </w:pPr>
                  <w:r>
                    <w:rPr>
                      <w:rFonts w:hint="eastAsia"/>
                      <w:b/>
                      <w:sz w:val="21"/>
                      <w:szCs w:val="21"/>
                      <w:u w:val="single"/>
                    </w:rPr>
                    <w:t>1.5</w:t>
                  </w:r>
                  <w:r>
                    <w:rPr>
                      <w:b/>
                      <w:sz w:val="21"/>
                      <w:szCs w:val="21"/>
                      <w:u w:val="single"/>
                    </w:rPr>
                    <w:t>m*</w:t>
                  </w:r>
                  <w:r>
                    <w:rPr>
                      <w:rFonts w:hint="eastAsia"/>
                      <w:b/>
                      <w:sz w:val="21"/>
                      <w:szCs w:val="21"/>
                      <w:u w:val="single"/>
                    </w:rPr>
                    <w:t>0.5</w:t>
                  </w:r>
                  <w:r>
                    <w:rPr>
                      <w:b/>
                      <w:sz w:val="21"/>
                      <w:szCs w:val="21"/>
                      <w:u w:val="single"/>
                    </w:rPr>
                    <w:t>m</w:t>
                  </w:r>
                </w:p>
              </w:tc>
              <w:tc>
                <w:tcPr>
                  <w:tcW w:w="1509" w:type="dxa"/>
                  <w:vAlign w:val="center"/>
                </w:tcPr>
                <w:p w14:paraId="0025C319">
                  <w:pPr>
                    <w:pStyle w:val="154"/>
                    <w:rPr>
                      <w:b/>
                      <w:sz w:val="21"/>
                      <w:szCs w:val="21"/>
                      <w:u w:val="single"/>
                    </w:rPr>
                  </w:pPr>
                  <w:r>
                    <w:rPr>
                      <w:rFonts w:hint="eastAsia"/>
                      <w:b/>
                      <w:sz w:val="21"/>
                      <w:szCs w:val="21"/>
                      <w:u w:val="single"/>
                    </w:rPr>
                    <w:t>2</w:t>
                  </w:r>
                </w:p>
              </w:tc>
              <w:tc>
                <w:tcPr>
                  <w:tcW w:w="1460" w:type="dxa"/>
                  <w:vAlign w:val="center"/>
                </w:tcPr>
                <w:p w14:paraId="4FDA5861">
                  <w:pPr>
                    <w:pStyle w:val="154"/>
                    <w:rPr>
                      <w:b/>
                      <w:sz w:val="21"/>
                      <w:szCs w:val="21"/>
                      <w:u w:val="single"/>
                    </w:rPr>
                  </w:pPr>
                  <w:r>
                    <w:rPr>
                      <w:b/>
                      <w:sz w:val="21"/>
                      <w:szCs w:val="21"/>
                      <w:u w:val="single"/>
                    </w:rPr>
                    <w:t>0.4</w:t>
                  </w:r>
                </w:p>
              </w:tc>
              <w:tc>
                <w:tcPr>
                  <w:tcW w:w="1701" w:type="dxa"/>
                  <w:vAlign w:val="center"/>
                </w:tcPr>
                <w:p w14:paraId="2E71FAC5">
                  <w:pPr>
                    <w:pStyle w:val="154"/>
                    <w:rPr>
                      <w:b/>
                      <w:sz w:val="21"/>
                      <w:szCs w:val="21"/>
                      <w:u w:val="single"/>
                    </w:rPr>
                  </w:pPr>
                  <w:r>
                    <w:rPr>
                      <w:rFonts w:hint="eastAsia"/>
                      <w:b/>
                      <w:sz w:val="21"/>
                      <w:szCs w:val="21"/>
                      <w:u w:val="single"/>
                    </w:rPr>
                    <w:t>4838.40</w:t>
                  </w:r>
                </w:p>
              </w:tc>
            </w:tr>
            <w:tr w14:paraId="7FDE2A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09" w:type="dxa"/>
                  <w:vAlign w:val="center"/>
                </w:tcPr>
                <w:p w14:paraId="6882F56A">
                  <w:pPr>
                    <w:pStyle w:val="154"/>
                    <w:rPr>
                      <w:b/>
                      <w:sz w:val="21"/>
                      <w:szCs w:val="21"/>
                      <w:u w:val="single"/>
                    </w:rPr>
                  </w:pPr>
                  <w:r>
                    <w:rPr>
                      <w:rFonts w:hint="eastAsia"/>
                      <w:b/>
                      <w:sz w:val="21"/>
                      <w:szCs w:val="21"/>
                      <w:u w:val="single"/>
                    </w:rPr>
                    <w:t>加热定型烘道</w:t>
                  </w:r>
                </w:p>
              </w:tc>
              <w:tc>
                <w:tcPr>
                  <w:tcW w:w="1134" w:type="dxa"/>
                  <w:vAlign w:val="center"/>
                </w:tcPr>
                <w:p w14:paraId="0794BB3A">
                  <w:pPr>
                    <w:pStyle w:val="154"/>
                    <w:rPr>
                      <w:b/>
                      <w:sz w:val="21"/>
                      <w:szCs w:val="21"/>
                      <w:u w:val="single"/>
                    </w:rPr>
                  </w:pPr>
                  <w:r>
                    <w:rPr>
                      <w:b/>
                      <w:sz w:val="21"/>
                      <w:szCs w:val="21"/>
                      <w:u w:val="single"/>
                    </w:rPr>
                    <w:t>0.</w:t>
                  </w:r>
                  <w:r>
                    <w:rPr>
                      <w:rFonts w:hint="eastAsia"/>
                      <w:b/>
                      <w:sz w:val="21"/>
                      <w:szCs w:val="21"/>
                      <w:u w:val="single"/>
                    </w:rPr>
                    <w:t>1</w:t>
                  </w:r>
                </w:p>
              </w:tc>
              <w:tc>
                <w:tcPr>
                  <w:tcW w:w="1509" w:type="dxa"/>
                  <w:vAlign w:val="center"/>
                </w:tcPr>
                <w:p w14:paraId="5CB70367">
                  <w:pPr>
                    <w:pStyle w:val="154"/>
                    <w:rPr>
                      <w:b/>
                      <w:sz w:val="21"/>
                      <w:szCs w:val="21"/>
                      <w:u w:val="single"/>
                    </w:rPr>
                  </w:pPr>
                  <w:r>
                    <w:rPr>
                      <w:b/>
                      <w:sz w:val="21"/>
                      <w:szCs w:val="21"/>
                      <w:u w:val="single"/>
                    </w:rPr>
                    <w:t>0.</w:t>
                  </w:r>
                  <w:r>
                    <w:rPr>
                      <w:rFonts w:hint="eastAsia"/>
                      <w:b/>
                      <w:sz w:val="21"/>
                      <w:szCs w:val="21"/>
                      <w:u w:val="single"/>
                    </w:rPr>
                    <w:t>5</w:t>
                  </w:r>
                  <w:r>
                    <w:rPr>
                      <w:b/>
                      <w:sz w:val="21"/>
                      <w:szCs w:val="21"/>
                      <w:u w:val="single"/>
                    </w:rPr>
                    <w:t>m*0.</w:t>
                  </w:r>
                  <w:r>
                    <w:rPr>
                      <w:rFonts w:hint="eastAsia"/>
                      <w:b/>
                      <w:sz w:val="21"/>
                      <w:szCs w:val="21"/>
                      <w:u w:val="single"/>
                    </w:rPr>
                    <w:t>5</w:t>
                  </w:r>
                  <w:r>
                    <w:rPr>
                      <w:b/>
                      <w:sz w:val="21"/>
                      <w:szCs w:val="21"/>
                      <w:u w:val="single"/>
                    </w:rPr>
                    <w:t>m</w:t>
                  </w:r>
                </w:p>
              </w:tc>
              <w:tc>
                <w:tcPr>
                  <w:tcW w:w="1509" w:type="dxa"/>
                  <w:vAlign w:val="center"/>
                </w:tcPr>
                <w:p w14:paraId="1D3105B7">
                  <w:pPr>
                    <w:pStyle w:val="154"/>
                    <w:rPr>
                      <w:b/>
                      <w:sz w:val="21"/>
                      <w:szCs w:val="21"/>
                      <w:u w:val="single"/>
                    </w:rPr>
                  </w:pPr>
                  <w:r>
                    <w:rPr>
                      <w:rFonts w:hint="eastAsia"/>
                      <w:b/>
                      <w:sz w:val="21"/>
                      <w:szCs w:val="21"/>
                      <w:u w:val="single"/>
                    </w:rPr>
                    <w:t>2</w:t>
                  </w:r>
                </w:p>
              </w:tc>
              <w:tc>
                <w:tcPr>
                  <w:tcW w:w="1460" w:type="dxa"/>
                  <w:vAlign w:val="center"/>
                </w:tcPr>
                <w:p w14:paraId="364D4D55">
                  <w:pPr>
                    <w:pStyle w:val="154"/>
                    <w:rPr>
                      <w:b/>
                      <w:sz w:val="21"/>
                      <w:szCs w:val="21"/>
                      <w:u w:val="single"/>
                    </w:rPr>
                  </w:pPr>
                  <w:r>
                    <w:rPr>
                      <w:b/>
                      <w:sz w:val="21"/>
                      <w:szCs w:val="21"/>
                      <w:u w:val="single"/>
                    </w:rPr>
                    <w:t>0.4</w:t>
                  </w:r>
                </w:p>
              </w:tc>
              <w:tc>
                <w:tcPr>
                  <w:tcW w:w="1701" w:type="dxa"/>
                  <w:vAlign w:val="center"/>
                </w:tcPr>
                <w:p w14:paraId="1076D5CD">
                  <w:pPr>
                    <w:pStyle w:val="154"/>
                    <w:rPr>
                      <w:b/>
                      <w:sz w:val="21"/>
                      <w:szCs w:val="21"/>
                      <w:u w:val="single"/>
                    </w:rPr>
                  </w:pPr>
                  <w:r>
                    <w:rPr>
                      <w:rFonts w:hint="eastAsia"/>
                      <w:b/>
                      <w:sz w:val="21"/>
                      <w:szCs w:val="21"/>
                      <w:u w:val="single"/>
                    </w:rPr>
                    <w:t>806.40</w:t>
                  </w:r>
                </w:p>
              </w:tc>
            </w:tr>
            <w:tr w14:paraId="4E703E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7121" w:type="dxa"/>
                  <w:gridSpan w:val="5"/>
                  <w:vAlign w:val="center"/>
                </w:tcPr>
                <w:p w14:paraId="5F340B0B">
                  <w:pPr>
                    <w:pStyle w:val="154"/>
                    <w:rPr>
                      <w:b/>
                      <w:sz w:val="21"/>
                      <w:szCs w:val="21"/>
                      <w:u w:val="single"/>
                    </w:rPr>
                  </w:pPr>
                  <w:r>
                    <w:rPr>
                      <w:b/>
                      <w:sz w:val="21"/>
                      <w:szCs w:val="21"/>
                      <w:u w:val="single"/>
                    </w:rPr>
                    <w:t>合计</w:t>
                  </w:r>
                </w:p>
              </w:tc>
              <w:tc>
                <w:tcPr>
                  <w:tcW w:w="1701" w:type="dxa"/>
                  <w:vAlign w:val="center"/>
                </w:tcPr>
                <w:p w14:paraId="1E690D87">
                  <w:pPr>
                    <w:pStyle w:val="160"/>
                    <w:rPr>
                      <w:b/>
                      <w:sz w:val="21"/>
                      <w:szCs w:val="21"/>
                      <w:u w:val="single"/>
                    </w:rPr>
                  </w:pPr>
                  <w:r>
                    <w:rPr>
                      <w:rFonts w:hint="eastAsia"/>
                      <w:b/>
                      <w:sz w:val="21"/>
                      <w:szCs w:val="21"/>
                      <w:u w:val="single"/>
                    </w:rPr>
                    <w:t>11128.32</w:t>
                  </w:r>
                </w:p>
              </w:tc>
            </w:tr>
          </w:tbl>
          <w:p w14:paraId="1C852965">
            <w:pPr>
              <w:pStyle w:val="156"/>
              <w:ind w:firstLine="482"/>
              <w:rPr>
                <w:rFonts w:eastAsia="宋体" w:cs="Times New Roman"/>
                <w:b/>
                <w:u w:val="single"/>
              </w:rPr>
            </w:pPr>
            <w:r>
              <w:rPr>
                <w:rFonts w:eastAsia="宋体" w:cs="Times New Roman"/>
                <w:b/>
                <w:kern w:val="0"/>
                <w:u w:val="single"/>
              </w:rPr>
              <w:t>计算得出</w:t>
            </w:r>
            <w:r>
              <w:rPr>
                <w:rFonts w:hint="eastAsia" w:eastAsia="宋体" w:cs="Times New Roman"/>
                <w:b/>
                <w:kern w:val="0"/>
                <w:u w:val="single"/>
              </w:rPr>
              <w:t>聚氨酯</w:t>
            </w:r>
            <w:r>
              <w:rPr>
                <w:rFonts w:eastAsia="宋体" w:cs="Times New Roman"/>
                <w:b/>
                <w:kern w:val="0"/>
                <w:u w:val="single"/>
              </w:rPr>
              <w:t>工艺布鞋生产线集气风量至</w:t>
            </w:r>
            <w:r>
              <w:rPr>
                <w:rFonts w:eastAsia="宋体" w:cs="Times New Roman"/>
                <w:b/>
                <w:kern w:val="0"/>
                <w:szCs w:val="24"/>
                <w:u w:val="single"/>
              </w:rPr>
              <w:t>少为</w:t>
            </w:r>
            <w:r>
              <w:rPr>
                <w:rFonts w:hint="eastAsia"/>
                <w:b/>
                <w:szCs w:val="24"/>
                <w:u w:val="single"/>
              </w:rPr>
              <w:t>11128.32</w:t>
            </w:r>
            <w:r>
              <w:rPr>
                <w:rFonts w:eastAsia="宋体" w:cs="Times New Roman"/>
                <w:b/>
                <w:kern w:val="0"/>
                <w:szCs w:val="24"/>
                <w:u w:val="single"/>
              </w:rPr>
              <w:t>m</w:t>
            </w:r>
            <w:r>
              <w:rPr>
                <w:rFonts w:eastAsia="宋体" w:cs="Times New Roman"/>
                <w:b/>
                <w:kern w:val="0"/>
                <w:szCs w:val="24"/>
                <w:u w:val="single"/>
                <w:vertAlign w:val="superscript"/>
              </w:rPr>
              <w:t>3</w:t>
            </w:r>
            <w:r>
              <w:rPr>
                <w:rFonts w:eastAsia="宋体" w:cs="Times New Roman"/>
                <w:b/>
                <w:kern w:val="0"/>
                <w:szCs w:val="24"/>
                <w:u w:val="single"/>
              </w:rPr>
              <w:t>/h，</w:t>
            </w:r>
            <w:r>
              <w:rPr>
                <w:rFonts w:eastAsia="宋体" w:cs="Times New Roman"/>
                <w:b/>
                <w:szCs w:val="24"/>
                <w:u w:val="single"/>
              </w:rPr>
              <w:t>本</w:t>
            </w:r>
            <w:r>
              <w:rPr>
                <w:rFonts w:eastAsia="宋体" w:cs="Times New Roman"/>
                <w:b/>
                <w:u w:val="single"/>
              </w:rPr>
              <w:t>项目设计风量</w:t>
            </w:r>
            <w:r>
              <w:rPr>
                <w:rFonts w:hint="eastAsia" w:eastAsia="宋体" w:cs="Times New Roman"/>
                <w:b/>
                <w:u w:val="single"/>
              </w:rPr>
              <w:t>12000</w:t>
            </w:r>
            <w:r>
              <w:rPr>
                <w:rFonts w:eastAsia="宋体" w:cs="Times New Roman"/>
                <w:b/>
                <w:u w:val="single"/>
              </w:rPr>
              <w:t>m</w:t>
            </w:r>
            <w:r>
              <w:rPr>
                <w:rFonts w:eastAsia="宋体" w:cs="Times New Roman"/>
                <w:b/>
                <w:u w:val="single"/>
                <w:vertAlign w:val="superscript"/>
              </w:rPr>
              <w:t>3</w:t>
            </w:r>
            <w:r>
              <w:rPr>
                <w:rFonts w:eastAsia="宋体" w:cs="Times New Roman"/>
                <w:b/>
                <w:u w:val="single"/>
              </w:rPr>
              <w:t>/h，满足废气收集需求。</w:t>
            </w:r>
          </w:p>
          <w:p w14:paraId="4E4CAC9D">
            <w:pPr>
              <w:pStyle w:val="156"/>
              <w:ind w:firstLine="0" w:firstLineChars="0"/>
              <w:rPr>
                <w:rFonts w:eastAsia="宋体" w:cs="Times New Roman"/>
                <w:b/>
                <w:u w:val="single"/>
              </w:rPr>
            </w:pPr>
            <w:r>
              <w:rPr>
                <w:rFonts w:hint="eastAsia" w:eastAsia="宋体" w:cs="Times New Roman"/>
                <w:b/>
                <w:u w:val="single"/>
              </w:rPr>
              <w:t>（3）鞋面布激光切割废气收集措施</w:t>
            </w:r>
          </w:p>
          <w:p w14:paraId="0043B352">
            <w:pPr>
              <w:pStyle w:val="156"/>
              <w:ind w:firstLine="482"/>
              <w:rPr>
                <w:b/>
                <w:u w:val="single"/>
              </w:rPr>
            </w:pPr>
            <w:r>
              <w:rPr>
                <w:rFonts w:hint="eastAsia"/>
                <w:b/>
                <w:u w:val="single"/>
              </w:rPr>
              <w:t>激光切割工序：在激光切割机底部设置集气罩（集气罩口面积为0.6m×0.6m，设置6个）。</w:t>
            </w:r>
          </w:p>
          <w:p w14:paraId="2828CF33">
            <w:pPr>
              <w:pStyle w:val="156"/>
              <w:ind w:firstLine="482"/>
              <w:rPr>
                <w:b/>
                <w:u w:val="single"/>
              </w:rPr>
            </w:pPr>
            <w:r>
              <w:rPr>
                <w:b/>
                <w:u w:val="single"/>
              </w:rPr>
              <w:t>根据式</w:t>
            </w:r>
            <w:r>
              <w:rPr>
                <w:rFonts w:hint="eastAsia"/>
                <w:b/>
                <w:u w:val="single"/>
              </w:rPr>
              <w:t>4-1计算工序设计风量：</w:t>
            </w:r>
          </w:p>
          <w:p w14:paraId="4B7CEF38">
            <w:pPr>
              <w:pStyle w:val="182"/>
              <w:ind w:firstLine="482"/>
              <w:rPr>
                <w:b/>
                <w:u w:val="single"/>
              </w:rPr>
            </w:pPr>
            <w:r>
              <w:rPr>
                <w:b/>
                <w:u w:val="single"/>
              </w:rPr>
              <w:t>表4-</w:t>
            </w:r>
            <w:r>
              <w:rPr>
                <w:rFonts w:hint="eastAsia"/>
                <w:b/>
                <w:u w:val="single"/>
              </w:rPr>
              <w:t>7</w:t>
            </w:r>
            <w:r>
              <w:rPr>
                <w:b/>
                <w:u w:val="single"/>
              </w:rPr>
              <w:t xml:space="preserve">       </w:t>
            </w:r>
            <w:r>
              <w:rPr>
                <w:rFonts w:hint="eastAsia"/>
                <w:b/>
                <w:u w:val="single"/>
              </w:rPr>
              <w:t>激光切割</w:t>
            </w:r>
            <w:r>
              <w:rPr>
                <w:b/>
                <w:u w:val="single"/>
              </w:rPr>
              <w:t>工艺污染物产生工序集气罩面积一览表</w:t>
            </w:r>
          </w:p>
          <w:tbl>
            <w:tblPr>
              <w:tblStyle w:val="89"/>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474"/>
              <w:gridCol w:w="1474"/>
              <w:gridCol w:w="1475"/>
              <w:gridCol w:w="1475"/>
              <w:gridCol w:w="1475"/>
              <w:gridCol w:w="1475"/>
            </w:tblGrid>
            <w:tr w14:paraId="2F5FF3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jc w:val="center"/>
              </w:trPr>
              <w:tc>
                <w:tcPr>
                  <w:tcW w:w="1474" w:type="dxa"/>
                  <w:vAlign w:val="center"/>
                </w:tcPr>
                <w:p w14:paraId="78F0B336">
                  <w:pPr>
                    <w:pStyle w:val="154"/>
                    <w:rPr>
                      <w:b/>
                      <w:sz w:val="21"/>
                      <w:szCs w:val="21"/>
                      <w:u w:val="single"/>
                    </w:rPr>
                  </w:pPr>
                  <w:r>
                    <w:rPr>
                      <w:rFonts w:hint="eastAsia"/>
                      <w:b/>
                      <w:sz w:val="21"/>
                      <w:szCs w:val="21"/>
                      <w:u w:val="single"/>
                    </w:rPr>
                    <w:t>集气罩位置</w:t>
                  </w:r>
                </w:p>
              </w:tc>
              <w:tc>
                <w:tcPr>
                  <w:tcW w:w="1474" w:type="dxa"/>
                  <w:vAlign w:val="center"/>
                </w:tcPr>
                <w:p w14:paraId="0ECB436B">
                  <w:pPr>
                    <w:pStyle w:val="154"/>
                    <w:rPr>
                      <w:b/>
                      <w:sz w:val="21"/>
                      <w:szCs w:val="21"/>
                      <w:u w:val="single"/>
                    </w:rPr>
                  </w:pPr>
                  <w:r>
                    <w:rPr>
                      <w:b/>
                      <w:sz w:val="21"/>
                      <w:szCs w:val="21"/>
                      <w:u w:val="single"/>
                    </w:rPr>
                    <w:t>污染源至集气罩的距离（m）</w:t>
                  </w:r>
                </w:p>
              </w:tc>
              <w:tc>
                <w:tcPr>
                  <w:tcW w:w="1475" w:type="dxa"/>
                  <w:vAlign w:val="center"/>
                </w:tcPr>
                <w:p w14:paraId="60CD0DFF">
                  <w:pPr>
                    <w:pStyle w:val="154"/>
                    <w:rPr>
                      <w:b/>
                      <w:sz w:val="21"/>
                      <w:szCs w:val="21"/>
                      <w:u w:val="single"/>
                    </w:rPr>
                  </w:pPr>
                  <w:r>
                    <w:rPr>
                      <w:b/>
                      <w:sz w:val="21"/>
                      <w:szCs w:val="21"/>
                      <w:u w:val="single"/>
                    </w:rPr>
                    <w:t>集气罩规格</w:t>
                  </w:r>
                </w:p>
              </w:tc>
              <w:tc>
                <w:tcPr>
                  <w:tcW w:w="1475" w:type="dxa"/>
                  <w:vAlign w:val="center"/>
                </w:tcPr>
                <w:p w14:paraId="09423FBB">
                  <w:pPr>
                    <w:pStyle w:val="154"/>
                    <w:rPr>
                      <w:b/>
                      <w:sz w:val="21"/>
                      <w:szCs w:val="21"/>
                      <w:u w:val="single"/>
                    </w:rPr>
                  </w:pPr>
                  <w:r>
                    <w:rPr>
                      <w:b/>
                      <w:sz w:val="21"/>
                      <w:szCs w:val="21"/>
                      <w:u w:val="single"/>
                    </w:rPr>
                    <w:t>集气罩数量</w:t>
                  </w:r>
                </w:p>
              </w:tc>
              <w:tc>
                <w:tcPr>
                  <w:tcW w:w="1475" w:type="dxa"/>
                  <w:vAlign w:val="center"/>
                </w:tcPr>
                <w:p w14:paraId="1B4035B3">
                  <w:pPr>
                    <w:pStyle w:val="154"/>
                    <w:rPr>
                      <w:b/>
                      <w:sz w:val="21"/>
                      <w:szCs w:val="21"/>
                      <w:u w:val="single"/>
                    </w:rPr>
                  </w:pPr>
                  <w:r>
                    <w:rPr>
                      <w:b/>
                      <w:sz w:val="21"/>
                      <w:szCs w:val="21"/>
                      <w:u w:val="single"/>
                    </w:rPr>
                    <w:t>污染源气体流速（m/s）</w:t>
                  </w:r>
                </w:p>
              </w:tc>
              <w:tc>
                <w:tcPr>
                  <w:tcW w:w="1475" w:type="dxa"/>
                  <w:vAlign w:val="center"/>
                </w:tcPr>
                <w:p w14:paraId="3BCBDA24">
                  <w:pPr>
                    <w:pStyle w:val="154"/>
                    <w:rPr>
                      <w:b/>
                      <w:sz w:val="21"/>
                      <w:szCs w:val="21"/>
                      <w:u w:val="single"/>
                    </w:rPr>
                  </w:pPr>
                  <w:r>
                    <w:rPr>
                      <w:b/>
                      <w:sz w:val="21"/>
                      <w:szCs w:val="21"/>
                      <w:u w:val="single"/>
                    </w:rPr>
                    <w:t>所需风量（m</w:t>
                  </w:r>
                  <w:r>
                    <w:rPr>
                      <w:b/>
                      <w:sz w:val="21"/>
                      <w:szCs w:val="21"/>
                      <w:u w:val="single"/>
                      <w:vertAlign w:val="superscript"/>
                    </w:rPr>
                    <w:t>3</w:t>
                  </w:r>
                  <w:r>
                    <w:rPr>
                      <w:b/>
                      <w:sz w:val="21"/>
                      <w:szCs w:val="21"/>
                      <w:u w:val="single"/>
                    </w:rPr>
                    <w:t>/h）</w:t>
                  </w:r>
                </w:p>
              </w:tc>
            </w:tr>
            <w:tr w14:paraId="11566C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jc w:val="center"/>
              </w:trPr>
              <w:tc>
                <w:tcPr>
                  <w:tcW w:w="1474" w:type="dxa"/>
                </w:tcPr>
                <w:p w14:paraId="64E72F6E">
                  <w:pPr>
                    <w:pStyle w:val="167"/>
                    <w:spacing w:line="240" w:lineRule="auto"/>
                    <w:ind w:firstLine="0" w:firstLineChars="0"/>
                    <w:jc w:val="center"/>
                    <w:rPr>
                      <w:b/>
                      <w:sz w:val="21"/>
                      <w:szCs w:val="21"/>
                      <w:u w:val="single"/>
                    </w:rPr>
                  </w:pPr>
                  <w:r>
                    <w:rPr>
                      <w:rFonts w:hint="eastAsia"/>
                      <w:b/>
                      <w:sz w:val="21"/>
                      <w:szCs w:val="21"/>
                      <w:u w:val="single"/>
                    </w:rPr>
                    <w:t>激光切割机</w:t>
                  </w:r>
                </w:p>
              </w:tc>
              <w:tc>
                <w:tcPr>
                  <w:tcW w:w="1474" w:type="dxa"/>
                </w:tcPr>
                <w:p w14:paraId="7F3E45EC">
                  <w:pPr>
                    <w:pStyle w:val="167"/>
                    <w:spacing w:line="240" w:lineRule="auto"/>
                    <w:ind w:firstLine="0" w:firstLineChars="0"/>
                    <w:jc w:val="center"/>
                    <w:rPr>
                      <w:b/>
                      <w:sz w:val="21"/>
                      <w:szCs w:val="21"/>
                      <w:u w:val="single"/>
                    </w:rPr>
                  </w:pPr>
                  <w:r>
                    <w:rPr>
                      <w:rFonts w:hint="eastAsia"/>
                      <w:b/>
                      <w:sz w:val="21"/>
                      <w:szCs w:val="21"/>
                      <w:u w:val="single"/>
                    </w:rPr>
                    <w:t>0.2</w:t>
                  </w:r>
                </w:p>
              </w:tc>
              <w:tc>
                <w:tcPr>
                  <w:tcW w:w="1475" w:type="dxa"/>
                </w:tcPr>
                <w:p w14:paraId="0AAFEAC7">
                  <w:pPr>
                    <w:pStyle w:val="167"/>
                    <w:spacing w:line="240" w:lineRule="auto"/>
                    <w:ind w:firstLine="0" w:firstLineChars="0"/>
                    <w:jc w:val="center"/>
                    <w:rPr>
                      <w:b/>
                      <w:sz w:val="21"/>
                      <w:szCs w:val="21"/>
                      <w:u w:val="single"/>
                    </w:rPr>
                  </w:pPr>
                  <w:r>
                    <w:rPr>
                      <w:rFonts w:hint="eastAsia"/>
                      <w:b/>
                      <w:sz w:val="21"/>
                      <w:szCs w:val="21"/>
                      <w:u w:val="single"/>
                    </w:rPr>
                    <w:t>0.6m×0.6m</w:t>
                  </w:r>
                </w:p>
              </w:tc>
              <w:tc>
                <w:tcPr>
                  <w:tcW w:w="1475" w:type="dxa"/>
                </w:tcPr>
                <w:p w14:paraId="16BA1307">
                  <w:pPr>
                    <w:pStyle w:val="167"/>
                    <w:spacing w:line="240" w:lineRule="auto"/>
                    <w:ind w:firstLine="0" w:firstLineChars="0"/>
                    <w:jc w:val="center"/>
                    <w:rPr>
                      <w:b/>
                      <w:sz w:val="21"/>
                      <w:szCs w:val="21"/>
                      <w:u w:val="single"/>
                    </w:rPr>
                  </w:pPr>
                  <w:r>
                    <w:rPr>
                      <w:rFonts w:hint="eastAsia"/>
                      <w:b/>
                      <w:sz w:val="21"/>
                      <w:szCs w:val="21"/>
                      <w:u w:val="single"/>
                    </w:rPr>
                    <w:t>6</w:t>
                  </w:r>
                </w:p>
              </w:tc>
              <w:tc>
                <w:tcPr>
                  <w:tcW w:w="1475" w:type="dxa"/>
                </w:tcPr>
                <w:p w14:paraId="3EC1C0E5">
                  <w:pPr>
                    <w:pStyle w:val="167"/>
                    <w:spacing w:line="240" w:lineRule="auto"/>
                    <w:ind w:firstLine="0" w:firstLineChars="0"/>
                    <w:jc w:val="center"/>
                    <w:rPr>
                      <w:b/>
                      <w:sz w:val="21"/>
                      <w:szCs w:val="21"/>
                      <w:u w:val="single"/>
                    </w:rPr>
                  </w:pPr>
                  <w:r>
                    <w:rPr>
                      <w:rFonts w:hint="eastAsia"/>
                      <w:b/>
                      <w:sz w:val="21"/>
                      <w:szCs w:val="21"/>
                      <w:u w:val="single"/>
                    </w:rPr>
                    <w:t>0.4</w:t>
                  </w:r>
                </w:p>
              </w:tc>
              <w:tc>
                <w:tcPr>
                  <w:tcW w:w="1475" w:type="dxa"/>
                </w:tcPr>
                <w:p w14:paraId="2DD01D41">
                  <w:pPr>
                    <w:pStyle w:val="167"/>
                    <w:spacing w:line="240" w:lineRule="auto"/>
                    <w:ind w:firstLine="0" w:firstLineChars="0"/>
                    <w:jc w:val="center"/>
                    <w:rPr>
                      <w:b/>
                      <w:sz w:val="21"/>
                      <w:szCs w:val="21"/>
                      <w:u w:val="single"/>
                    </w:rPr>
                  </w:pPr>
                  <w:r>
                    <w:rPr>
                      <w:rFonts w:hint="eastAsia"/>
                      <w:b/>
                      <w:sz w:val="21"/>
                      <w:szCs w:val="21"/>
                      <w:u w:val="single"/>
                    </w:rPr>
                    <w:t>5806.08</w:t>
                  </w:r>
                </w:p>
              </w:tc>
            </w:tr>
            <w:tr w14:paraId="7C2EF1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jc w:val="center"/>
              </w:trPr>
              <w:tc>
                <w:tcPr>
                  <w:tcW w:w="7373" w:type="dxa"/>
                  <w:gridSpan w:val="5"/>
                </w:tcPr>
                <w:p w14:paraId="2CB7FCA2">
                  <w:pPr>
                    <w:pStyle w:val="167"/>
                    <w:spacing w:line="240" w:lineRule="auto"/>
                    <w:ind w:firstLine="0" w:firstLineChars="0"/>
                    <w:jc w:val="center"/>
                    <w:rPr>
                      <w:b/>
                      <w:sz w:val="21"/>
                      <w:szCs w:val="21"/>
                      <w:u w:val="single"/>
                    </w:rPr>
                  </w:pPr>
                  <w:r>
                    <w:rPr>
                      <w:rFonts w:hint="eastAsia"/>
                      <w:b/>
                      <w:sz w:val="21"/>
                      <w:szCs w:val="21"/>
                      <w:u w:val="single"/>
                    </w:rPr>
                    <w:t>合计</w:t>
                  </w:r>
                </w:p>
              </w:tc>
              <w:tc>
                <w:tcPr>
                  <w:tcW w:w="1475" w:type="dxa"/>
                </w:tcPr>
                <w:p w14:paraId="36F558AC">
                  <w:pPr>
                    <w:pStyle w:val="167"/>
                    <w:spacing w:line="240" w:lineRule="auto"/>
                    <w:ind w:firstLine="0" w:firstLineChars="0"/>
                    <w:jc w:val="center"/>
                    <w:rPr>
                      <w:b/>
                      <w:sz w:val="21"/>
                      <w:szCs w:val="21"/>
                      <w:u w:val="single"/>
                    </w:rPr>
                  </w:pPr>
                  <w:r>
                    <w:rPr>
                      <w:rFonts w:hint="eastAsia"/>
                      <w:b/>
                      <w:sz w:val="21"/>
                      <w:szCs w:val="21"/>
                      <w:u w:val="single"/>
                    </w:rPr>
                    <w:t>5806.08</w:t>
                  </w:r>
                </w:p>
              </w:tc>
            </w:tr>
          </w:tbl>
          <w:p w14:paraId="16342E24">
            <w:pPr>
              <w:pStyle w:val="179"/>
              <w:ind w:firstLine="482" w:firstLineChars="200"/>
              <w:rPr>
                <w:b/>
                <w:u w:val="single"/>
              </w:rPr>
            </w:pPr>
            <w:r>
              <w:rPr>
                <w:b/>
                <w:u w:val="single"/>
              </w:rPr>
              <w:t>计算得出</w:t>
            </w:r>
            <w:r>
              <w:rPr>
                <w:rFonts w:hint="eastAsia"/>
                <w:b/>
                <w:u w:val="single"/>
              </w:rPr>
              <w:t>激光切割机</w:t>
            </w:r>
            <w:r>
              <w:rPr>
                <w:b/>
                <w:u w:val="single"/>
              </w:rPr>
              <w:t>集气风量至</w:t>
            </w:r>
            <w:r>
              <w:rPr>
                <w:b/>
                <w:szCs w:val="24"/>
                <w:u w:val="single"/>
              </w:rPr>
              <w:t>少为</w:t>
            </w:r>
            <w:r>
              <w:rPr>
                <w:rFonts w:hint="eastAsia"/>
                <w:b/>
                <w:u w:val="single"/>
              </w:rPr>
              <w:t>5860.08</w:t>
            </w:r>
            <w:r>
              <w:rPr>
                <w:b/>
                <w:szCs w:val="24"/>
                <w:u w:val="single"/>
              </w:rPr>
              <w:t>m</w:t>
            </w:r>
            <w:r>
              <w:rPr>
                <w:b/>
                <w:szCs w:val="24"/>
                <w:u w:val="single"/>
                <w:vertAlign w:val="superscript"/>
              </w:rPr>
              <w:t>3</w:t>
            </w:r>
            <w:r>
              <w:rPr>
                <w:b/>
                <w:szCs w:val="24"/>
                <w:u w:val="single"/>
              </w:rPr>
              <w:t>/h，本</w:t>
            </w:r>
            <w:r>
              <w:rPr>
                <w:b/>
                <w:u w:val="single"/>
              </w:rPr>
              <w:t>项目设计风量</w:t>
            </w:r>
            <w:r>
              <w:rPr>
                <w:rFonts w:hint="eastAsia"/>
                <w:b/>
                <w:u w:val="single"/>
              </w:rPr>
              <w:t>6000</w:t>
            </w:r>
            <w:r>
              <w:rPr>
                <w:b/>
                <w:u w:val="single"/>
              </w:rPr>
              <w:t>m</w:t>
            </w:r>
            <w:r>
              <w:rPr>
                <w:b/>
                <w:u w:val="single"/>
                <w:vertAlign w:val="superscript"/>
              </w:rPr>
              <w:t>3</w:t>
            </w:r>
            <w:r>
              <w:rPr>
                <w:b/>
                <w:u w:val="single"/>
              </w:rPr>
              <w:t>/h，满足废气收集需求。</w:t>
            </w:r>
          </w:p>
          <w:p w14:paraId="4A753E37">
            <w:pPr>
              <w:pStyle w:val="179"/>
              <w:ind w:firstLine="482" w:firstLineChars="200"/>
              <w:rPr>
                <w:b/>
                <w:u w:val="single"/>
              </w:rPr>
            </w:pPr>
            <w:r>
              <w:rPr>
                <w:rFonts w:hint="eastAsia"/>
                <w:b/>
                <w:u w:val="single"/>
              </w:rPr>
              <w:t>（3）</w:t>
            </w:r>
            <w:r>
              <w:rPr>
                <w:b/>
                <w:u w:val="single"/>
              </w:rPr>
              <w:t>处理措施</w:t>
            </w:r>
          </w:p>
          <w:p w14:paraId="7D2BD100">
            <w:pPr>
              <w:pStyle w:val="154"/>
              <w:spacing w:line="520" w:lineRule="exact"/>
              <w:ind w:firstLine="482" w:firstLineChars="200"/>
              <w:jc w:val="left"/>
              <w:rPr>
                <w:rFonts w:eastAsia="宋体" w:cs="Times New Roman"/>
                <w:b/>
                <w:kern w:val="2"/>
                <w:szCs w:val="21"/>
                <w:u w:val="single"/>
              </w:rPr>
            </w:pPr>
            <w:r>
              <w:rPr>
                <w:rFonts w:eastAsia="宋体" w:cs="Times New Roman"/>
                <w:b/>
                <w:kern w:val="2"/>
                <w:szCs w:val="21"/>
                <w:u w:val="single"/>
              </w:rPr>
              <w:t>注</w:t>
            </w:r>
            <w:r>
              <w:rPr>
                <w:rFonts w:hint="eastAsia" w:eastAsia="宋体" w:cs="Times New Roman"/>
                <w:b/>
                <w:kern w:val="2"/>
                <w:szCs w:val="21"/>
                <w:u w:val="single"/>
              </w:rPr>
              <w:t>塑工艺生产线混合搅拌、破碎过程中产生的含尘、VOCs废气</w:t>
            </w:r>
            <w:r>
              <w:rPr>
                <w:rFonts w:eastAsia="宋体" w:cs="Times New Roman"/>
                <w:b/>
                <w:kern w:val="2"/>
                <w:szCs w:val="21"/>
                <w:u w:val="single"/>
              </w:rPr>
              <w:t>通过1套</w:t>
            </w:r>
            <w:r>
              <w:rPr>
                <w:rFonts w:hint="eastAsia" w:eastAsia="宋体" w:cs="Times New Roman"/>
                <w:b/>
                <w:kern w:val="2"/>
                <w:szCs w:val="21"/>
                <w:u w:val="single"/>
              </w:rPr>
              <w:t>覆膜</w:t>
            </w:r>
            <w:r>
              <w:rPr>
                <w:rFonts w:eastAsia="宋体" w:cs="Times New Roman"/>
                <w:b/>
                <w:kern w:val="2"/>
                <w:szCs w:val="21"/>
                <w:u w:val="single"/>
              </w:rPr>
              <w:t>袋式除尘器</w:t>
            </w:r>
            <w:r>
              <w:rPr>
                <w:rFonts w:hint="eastAsia" w:eastAsia="宋体" w:cs="Times New Roman"/>
                <w:b/>
                <w:kern w:val="2"/>
                <w:szCs w:val="21"/>
                <w:u w:val="single"/>
              </w:rPr>
              <w:t>处理后，与注塑过程中产生的废气共同进入主管道</w:t>
            </w:r>
            <w:r>
              <w:rPr>
                <w:rFonts w:eastAsia="宋体" w:cs="Times New Roman"/>
                <w:b/>
                <w:u w:val="single"/>
              </w:rPr>
              <w:t>；</w:t>
            </w:r>
            <w:r>
              <w:rPr>
                <w:rFonts w:hint="eastAsia" w:eastAsia="宋体" w:cs="Times New Roman"/>
                <w:b/>
                <w:kern w:val="2"/>
                <w:szCs w:val="21"/>
                <w:u w:val="single"/>
              </w:rPr>
              <w:t>聚氨酯工艺生产线过程中产生的废气</w:t>
            </w:r>
            <w:r>
              <w:rPr>
                <w:rFonts w:eastAsia="宋体" w:cs="Times New Roman"/>
                <w:b/>
                <w:kern w:val="2"/>
                <w:szCs w:val="21"/>
                <w:u w:val="single"/>
              </w:rPr>
              <w:t>进入主管道</w:t>
            </w:r>
            <w:r>
              <w:rPr>
                <w:rFonts w:eastAsia="宋体" w:cs="Times New Roman"/>
                <w:b/>
                <w:u w:val="single"/>
              </w:rPr>
              <w:t>；</w:t>
            </w:r>
            <w:r>
              <w:rPr>
                <w:rFonts w:hint="eastAsia" w:eastAsia="宋体" w:cs="Times New Roman"/>
                <w:b/>
                <w:kern w:val="2"/>
                <w:szCs w:val="21"/>
                <w:u w:val="single"/>
              </w:rPr>
              <w:t>鞋面布激光切割产生废气进入主管道；三者合并后经过一套两级活性炭吸附工艺处理后通过排气筒DA001排放，设计风量为27000</w:t>
            </w:r>
            <w:r>
              <w:rPr>
                <w:rFonts w:eastAsia="宋体" w:cs="Times New Roman"/>
                <w:b/>
                <w:u w:val="single"/>
              </w:rPr>
              <w:t>m</w:t>
            </w:r>
            <w:r>
              <w:rPr>
                <w:rFonts w:eastAsia="宋体" w:cs="Times New Roman"/>
                <w:b/>
                <w:u w:val="single"/>
                <w:vertAlign w:val="superscript"/>
              </w:rPr>
              <w:t>3</w:t>
            </w:r>
            <w:r>
              <w:rPr>
                <w:rFonts w:eastAsia="宋体" w:cs="Times New Roman"/>
                <w:b/>
                <w:u w:val="single"/>
              </w:rPr>
              <w:t>/h。</w:t>
            </w:r>
            <w:r>
              <w:rPr>
                <w:rFonts w:eastAsia="宋体" w:cs="Times New Roman"/>
                <w:kern w:val="2"/>
                <w:szCs w:val="21"/>
              </w:rPr>
              <w:t>根据《排污许可证申请与核发技术规范  制鞋工业》（HJ1123—2020）4.1.5产排污节点、主要污染物及污染治理设施要求，挥发性有机物采取低温等离子法、光氧催化法、吸附法、生物法等，颗粒物采用袋式除尘器或静电除尘。本项目颗粒物采用袋式除尘器处理，非甲烷总烃采用两级活性炭吸附装置处理，</w:t>
            </w:r>
            <w:r>
              <w:rPr>
                <w:rFonts w:hint="eastAsia" w:eastAsia="宋体" w:cs="Times New Roman"/>
                <w:kern w:val="2"/>
                <w:szCs w:val="21"/>
              </w:rPr>
              <w:t>根据河</w:t>
            </w:r>
            <w:r>
              <w:rPr>
                <w:rFonts w:eastAsia="宋体" w:cs="Times New Roman"/>
                <w:kern w:val="2"/>
                <w:szCs w:val="21"/>
              </w:rPr>
              <w:t>南省生态环境厅关于印发</w:t>
            </w:r>
            <w:r>
              <w:rPr>
                <w:rFonts w:hint="eastAsia" w:eastAsia="宋体" w:cs="Times New Roman"/>
                <w:kern w:val="2"/>
                <w:szCs w:val="21"/>
              </w:rPr>
              <w:t>《</w:t>
            </w:r>
            <w:r>
              <w:rPr>
                <w:rFonts w:eastAsia="宋体" w:cs="Times New Roman"/>
                <w:kern w:val="2"/>
                <w:szCs w:val="21"/>
              </w:rPr>
              <w:t>河南省低效失效大气污染治理设施排查整治实施方案</w:t>
            </w:r>
            <w:r>
              <w:rPr>
                <w:rFonts w:hint="eastAsia" w:eastAsia="宋体" w:cs="Times New Roman"/>
                <w:kern w:val="2"/>
                <w:szCs w:val="21"/>
              </w:rPr>
              <w:t>》</w:t>
            </w:r>
            <w:r>
              <w:rPr>
                <w:rFonts w:eastAsia="宋体" w:cs="Times New Roman"/>
                <w:kern w:val="2"/>
                <w:szCs w:val="21"/>
              </w:rPr>
              <w:t>的通知（豫环文〔2024〕132号）</w:t>
            </w:r>
            <w:r>
              <w:rPr>
                <w:rFonts w:hint="eastAsia" w:eastAsia="宋体" w:cs="Times New Roman"/>
                <w:kern w:val="2"/>
                <w:szCs w:val="21"/>
              </w:rPr>
              <w:t>的要求，</w:t>
            </w:r>
            <w:r>
              <w:rPr>
                <w:rFonts w:eastAsia="宋体" w:cs="Times New Roman"/>
                <w:kern w:val="2"/>
                <w:szCs w:val="21"/>
              </w:rPr>
              <w:t>属于可行性技术。</w:t>
            </w:r>
          </w:p>
          <w:p w14:paraId="584CD3F6">
            <w:pPr>
              <w:pStyle w:val="179"/>
              <w:rPr>
                <w:b/>
                <w:u w:val="single"/>
              </w:rPr>
            </w:pPr>
            <w:r>
              <w:rPr>
                <w:b/>
                <w:u w:val="single"/>
              </w:rPr>
              <w:t>1.</w:t>
            </w:r>
            <w:r>
              <w:rPr>
                <w:rFonts w:hint="eastAsia"/>
                <w:b/>
                <w:u w:val="single"/>
              </w:rPr>
              <w:t>4</w:t>
            </w:r>
            <w:r>
              <w:rPr>
                <w:b/>
                <w:u w:val="single"/>
              </w:rPr>
              <w:t xml:space="preserve"> </w:t>
            </w:r>
            <w:r>
              <w:rPr>
                <w:rFonts w:hint="eastAsia"/>
                <w:b/>
                <w:u w:val="single"/>
              </w:rPr>
              <w:t>废气产排情况</w:t>
            </w:r>
          </w:p>
          <w:p w14:paraId="6EDCFA17">
            <w:pPr>
              <w:pStyle w:val="156"/>
              <w:ind w:firstLine="482"/>
              <w:rPr>
                <w:rFonts w:eastAsia="宋体" w:cs="Times New Roman"/>
                <w:b/>
                <w:u w:val="single"/>
              </w:rPr>
            </w:pPr>
            <w:r>
              <w:rPr>
                <w:rFonts w:eastAsia="宋体" w:cs="Times New Roman"/>
                <w:b/>
                <w:u w:val="single"/>
              </w:rPr>
              <w:t>项目废气收集效率取90%，</w:t>
            </w:r>
            <w:r>
              <w:rPr>
                <w:rFonts w:hint="eastAsia" w:eastAsia="宋体" w:cs="Times New Roman"/>
                <w:b/>
                <w:u w:val="single"/>
              </w:rPr>
              <w:t>袋式</w:t>
            </w:r>
            <w:r>
              <w:rPr>
                <w:rFonts w:hint="eastAsia"/>
                <w:b/>
                <w:u w:val="single"/>
              </w:rPr>
              <w:t>除尘器处理</w:t>
            </w:r>
            <w:r>
              <w:rPr>
                <w:rFonts w:eastAsia="宋体" w:cs="Times New Roman"/>
                <w:b/>
                <w:u w:val="single"/>
              </w:rPr>
              <w:t>效率取</w:t>
            </w:r>
            <w:r>
              <w:rPr>
                <w:rFonts w:hint="eastAsia" w:eastAsia="宋体" w:cs="Times New Roman"/>
                <w:b/>
                <w:u w:val="single"/>
              </w:rPr>
              <w:t>99</w:t>
            </w:r>
            <w:r>
              <w:rPr>
                <w:rFonts w:eastAsia="宋体" w:cs="Times New Roman"/>
                <w:b/>
                <w:u w:val="single"/>
              </w:rPr>
              <w:t>%，</w:t>
            </w:r>
            <w:r>
              <w:rPr>
                <w:rFonts w:hint="eastAsia"/>
                <w:b/>
                <w:u w:val="single"/>
              </w:rPr>
              <w:t>两级活性炭吸附装置处理效率取80%，</w:t>
            </w:r>
            <w:r>
              <w:rPr>
                <w:rFonts w:eastAsia="宋体" w:cs="Times New Roman"/>
                <w:b/>
                <w:u w:val="single"/>
              </w:rPr>
              <w:t>则有组织废气产生量为</w:t>
            </w:r>
            <w:r>
              <w:rPr>
                <w:rFonts w:hint="eastAsia" w:eastAsia="宋体" w:cs="Times New Roman"/>
                <w:b/>
                <w:u w:val="single"/>
              </w:rPr>
              <w:t>颗粒物4.906</w:t>
            </w:r>
            <w:r>
              <w:rPr>
                <w:rFonts w:eastAsia="宋体" w:cs="Times New Roman"/>
                <w:b/>
                <w:u w:val="single"/>
              </w:rPr>
              <w:t>t/a</w:t>
            </w:r>
            <w:r>
              <w:rPr>
                <w:rFonts w:hint="eastAsia" w:eastAsia="宋体" w:cs="Times New Roman"/>
                <w:b/>
                <w:u w:val="single"/>
              </w:rPr>
              <w:t>、非甲烷总烃0.7565 t/a、氯化氢0.0079t/a，</w:t>
            </w:r>
            <w:r>
              <w:rPr>
                <w:rFonts w:eastAsia="宋体" w:cs="Times New Roman"/>
                <w:b/>
                <w:u w:val="single"/>
              </w:rPr>
              <w:t>无组织废气产生量为</w:t>
            </w:r>
            <w:r>
              <w:rPr>
                <w:rFonts w:hint="eastAsia" w:eastAsia="宋体" w:cs="Times New Roman"/>
                <w:b/>
                <w:u w:val="single"/>
              </w:rPr>
              <w:t>颗粒物0.5451 t/a、非甲烷总烃0.0841t/a、氯化氢0.0009t/a</w:t>
            </w:r>
            <w:r>
              <w:rPr>
                <w:rFonts w:eastAsia="宋体" w:cs="Times New Roman"/>
                <w:b/>
                <w:u w:val="single"/>
              </w:rPr>
              <w:t>。</w:t>
            </w:r>
          </w:p>
          <w:p w14:paraId="63336BCB">
            <w:pPr>
              <w:pStyle w:val="156"/>
              <w:ind w:firstLine="482"/>
              <w:rPr>
                <w:rFonts w:eastAsia="宋体" w:cs="Times New Roman"/>
              </w:rPr>
            </w:pPr>
            <w:r>
              <w:rPr>
                <w:rFonts w:eastAsia="宋体" w:cs="Times New Roman"/>
                <w:b/>
                <w:u w:val="single"/>
              </w:rPr>
              <w:t>废气产排情况见下表</w:t>
            </w:r>
            <w:r>
              <w:rPr>
                <w:rFonts w:hint="eastAsia" w:eastAsia="宋体" w:cs="Times New Roman"/>
                <w:b/>
                <w:u w:val="single"/>
              </w:rPr>
              <w:t>：</w:t>
            </w:r>
          </w:p>
        </w:tc>
      </w:tr>
    </w:tbl>
    <w:p w14:paraId="732CBFA2">
      <w:pPr>
        <w:sectPr>
          <w:pgSz w:w="11907" w:h="16840"/>
          <w:pgMar w:top="1588" w:right="1418" w:bottom="1588" w:left="1418" w:header="851" w:footer="992" w:gutter="0"/>
          <w:cols w:space="425" w:num="1"/>
          <w:docGrid w:type="lines" w:linePitch="312" w:charSpace="0"/>
        </w:sectPr>
      </w:pPr>
    </w:p>
    <w:p w14:paraId="7B410CE5"/>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3880"/>
      </w:tblGrid>
      <w:tr w14:paraId="35C90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000" w:type="pct"/>
            <w:tcBorders>
              <w:top w:val="single" w:color="auto" w:sz="4" w:space="0"/>
              <w:left w:val="single" w:color="auto" w:sz="4" w:space="0"/>
              <w:bottom w:val="single" w:color="auto" w:sz="4" w:space="0"/>
            </w:tcBorders>
            <w:tcMar>
              <w:top w:w="0" w:type="dxa"/>
              <w:left w:w="108" w:type="dxa"/>
              <w:bottom w:w="0" w:type="dxa"/>
              <w:right w:w="108" w:type="dxa"/>
            </w:tcMar>
          </w:tcPr>
          <w:p w14:paraId="0FC9282E">
            <w:pPr>
              <w:pStyle w:val="182"/>
              <w:tabs>
                <w:tab w:val="left" w:pos="8544"/>
              </w:tabs>
              <w:ind w:firstLine="482"/>
              <w:rPr>
                <w:b/>
                <w:u w:val="single"/>
              </w:rPr>
            </w:pPr>
            <w:r>
              <w:rPr>
                <w:rStyle w:val="373"/>
                <w:rFonts w:hint="default" w:ascii="Times New Roman" w:hAnsi="Times New Roman"/>
                <w:b/>
                <w:u w:val="single"/>
              </w:rPr>
              <w:t>表4-8</w:t>
            </w:r>
            <w:r>
              <w:rPr>
                <w:b/>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废气产排情况一览表</w:t>
            </w:r>
            <w:r>
              <w:rPr>
                <w:b/>
                <w:u w:val="single"/>
              </w:rPr>
              <w:tab/>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905"/>
              <w:gridCol w:w="1033"/>
              <w:gridCol w:w="1033"/>
              <w:gridCol w:w="878"/>
              <w:gridCol w:w="2018"/>
              <w:gridCol w:w="2100"/>
              <w:gridCol w:w="4325"/>
              <w:gridCol w:w="1342"/>
            </w:tblGrid>
            <w:tr w14:paraId="20B735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Align w:val="center"/>
                </w:tcPr>
                <w:p w14:paraId="6F43FC16">
                  <w:pPr>
                    <w:pStyle w:val="154"/>
                    <w:rPr>
                      <w:b/>
                      <w:sz w:val="21"/>
                      <w:szCs w:val="21"/>
                      <w:u w:val="single"/>
                    </w:rPr>
                  </w:pPr>
                  <w:r>
                    <w:rPr>
                      <w:rFonts w:hint="eastAsia"/>
                      <w:b/>
                      <w:sz w:val="21"/>
                      <w:szCs w:val="21"/>
                      <w:u w:val="single"/>
                    </w:rPr>
                    <w:t>类别</w:t>
                  </w:r>
                </w:p>
              </w:tc>
              <w:tc>
                <w:tcPr>
                  <w:tcW w:w="379" w:type="pct"/>
                  <w:vAlign w:val="center"/>
                </w:tcPr>
                <w:p w14:paraId="5EBDE78F">
                  <w:pPr>
                    <w:pStyle w:val="154"/>
                    <w:rPr>
                      <w:b/>
                      <w:sz w:val="21"/>
                      <w:szCs w:val="21"/>
                      <w:u w:val="single"/>
                    </w:rPr>
                  </w:pPr>
                  <w:r>
                    <w:rPr>
                      <w:b/>
                      <w:sz w:val="21"/>
                      <w:szCs w:val="21"/>
                      <w:u w:val="single"/>
                    </w:rPr>
                    <w:t>产污环节</w:t>
                  </w:r>
                </w:p>
              </w:tc>
              <w:tc>
                <w:tcPr>
                  <w:tcW w:w="379" w:type="pct"/>
                  <w:vAlign w:val="center"/>
                </w:tcPr>
                <w:p w14:paraId="46074EB1">
                  <w:pPr>
                    <w:pStyle w:val="154"/>
                    <w:rPr>
                      <w:b/>
                      <w:sz w:val="21"/>
                      <w:szCs w:val="21"/>
                      <w:u w:val="single"/>
                    </w:rPr>
                  </w:pPr>
                  <w:r>
                    <w:rPr>
                      <w:b/>
                      <w:sz w:val="21"/>
                      <w:szCs w:val="21"/>
                      <w:u w:val="single"/>
                    </w:rPr>
                    <w:t>污染因子</w:t>
                  </w:r>
                </w:p>
              </w:tc>
              <w:tc>
                <w:tcPr>
                  <w:tcW w:w="322" w:type="pct"/>
                  <w:vAlign w:val="center"/>
                </w:tcPr>
                <w:p w14:paraId="3647670C">
                  <w:pPr>
                    <w:pStyle w:val="154"/>
                    <w:rPr>
                      <w:b/>
                      <w:sz w:val="21"/>
                      <w:szCs w:val="21"/>
                      <w:u w:val="single"/>
                    </w:rPr>
                  </w:pPr>
                  <w:r>
                    <w:rPr>
                      <w:b/>
                      <w:sz w:val="21"/>
                      <w:szCs w:val="21"/>
                      <w:u w:val="single"/>
                    </w:rPr>
                    <w:t>排放方式</w:t>
                  </w:r>
                </w:p>
              </w:tc>
              <w:tc>
                <w:tcPr>
                  <w:tcW w:w="740" w:type="pct"/>
                  <w:vAlign w:val="center"/>
                </w:tcPr>
                <w:p w14:paraId="24776459">
                  <w:pPr>
                    <w:pStyle w:val="154"/>
                    <w:rPr>
                      <w:b/>
                      <w:sz w:val="21"/>
                      <w:szCs w:val="21"/>
                      <w:u w:val="single"/>
                    </w:rPr>
                  </w:pPr>
                  <w:r>
                    <w:rPr>
                      <w:b/>
                      <w:sz w:val="21"/>
                      <w:szCs w:val="21"/>
                      <w:u w:val="single"/>
                    </w:rPr>
                    <w:t>产生情况</w:t>
                  </w:r>
                </w:p>
              </w:tc>
              <w:tc>
                <w:tcPr>
                  <w:tcW w:w="770" w:type="pct"/>
                  <w:vAlign w:val="center"/>
                </w:tcPr>
                <w:p w14:paraId="7293A53C">
                  <w:pPr>
                    <w:pStyle w:val="154"/>
                    <w:rPr>
                      <w:b/>
                      <w:sz w:val="21"/>
                      <w:szCs w:val="21"/>
                      <w:u w:val="single"/>
                    </w:rPr>
                  </w:pPr>
                  <w:r>
                    <w:rPr>
                      <w:b/>
                      <w:sz w:val="21"/>
                      <w:szCs w:val="21"/>
                      <w:u w:val="single"/>
                    </w:rPr>
                    <w:t>处理措施</w:t>
                  </w:r>
                </w:p>
              </w:tc>
              <w:tc>
                <w:tcPr>
                  <w:tcW w:w="1586" w:type="pct"/>
                  <w:vAlign w:val="center"/>
                </w:tcPr>
                <w:p w14:paraId="43D79D15">
                  <w:pPr>
                    <w:pStyle w:val="154"/>
                    <w:rPr>
                      <w:b/>
                      <w:sz w:val="21"/>
                      <w:szCs w:val="21"/>
                      <w:u w:val="single"/>
                    </w:rPr>
                  </w:pPr>
                  <w:r>
                    <w:rPr>
                      <w:b/>
                      <w:sz w:val="21"/>
                      <w:szCs w:val="21"/>
                      <w:u w:val="single"/>
                    </w:rPr>
                    <w:t>排放情况</w:t>
                  </w:r>
                </w:p>
              </w:tc>
              <w:tc>
                <w:tcPr>
                  <w:tcW w:w="492" w:type="pct"/>
                  <w:vAlign w:val="center"/>
                </w:tcPr>
                <w:p w14:paraId="052D2295">
                  <w:pPr>
                    <w:pStyle w:val="154"/>
                    <w:rPr>
                      <w:b/>
                      <w:sz w:val="21"/>
                      <w:szCs w:val="21"/>
                      <w:u w:val="single"/>
                    </w:rPr>
                  </w:pPr>
                  <w:r>
                    <w:rPr>
                      <w:b/>
                      <w:sz w:val="21"/>
                      <w:szCs w:val="21"/>
                      <w:u w:val="single"/>
                    </w:rPr>
                    <w:t>排气筒编号</w:t>
                  </w:r>
                </w:p>
              </w:tc>
            </w:tr>
            <w:tr w14:paraId="79C01B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Merge w:val="restart"/>
                  <w:vAlign w:val="center"/>
                </w:tcPr>
                <w:p w14:paraId="06A73A58">
                  <w:pPr>
                    <w:pStyle w:val="154"/>
                    <w:widowControl w:val="0"/>
                    <w:rPr>
                      <w:b/>
                      <w:sz w:val="21"/>
                      <w:szCs w:val="21"/>
                      <w:u w:val="single"/>
                    </w:rPr>
                  </w:pPr>
                  <w:r>
                    <w:rPr>
                      <w:rFonts w:hint="eastAsia"/>
                      <w:b/>
                      <w:sz w:val="21"/>
                      <w:szCs w:val="21"/>
                      <w:u w:val="single"/>
                    </w:rPr>
                    <w:t>注塑工艺生产线</w:t>
                  </w:r>
                </w:p>
              </w:tc>
              <w:tc>
                <w:tcPr>
                  <w:tcW w:w="379" w:type="pct"/>
                  <w:vAlign w:val="center"/>
                </w:tcPr>
                <w:p w14:paraId="37EBA17B">
                  <w:pPr>
                    <w:pStyle w:val="154"/>
                    <w:rPr>
                      <w:b/>
                      <w:sz w:val="21"/>
                      <w:szCs w:val="21"/>
                      <w:u w:val="single"/>
                    </w:rPr>
                  </w:pPr>
                  <w:r>
                    <w:rPr>
                      <w:rFonts w:hint="eastAsia"/>
                      <w:b/>
                      <w:sz w:val="21"/>
                      <w:szCs w:val="21"/>
                      <w:u w:val="single"/>
                    </w:rPr>
                    <w:t>混合搅拌、破碎</w:t>
                  </w:r>
                </w:p>
              </w:tc>
              <w:tc>
                <w:tcPr>
                  <w:tcW w:w="379" w:type="pct"/>
                  <w:vAlign w:val="center"/>
                </w:tcPr>
                <w:p w14:paraId="65AD562D">
                  <w:pPr>
                    <w:pStyle w:val="154"/>
                    <w:rPr>
                      <w:b/>
                      <w:sz w:val="21"/>
                      <w:szCs w:val="21"/>
                      <w:u w:val="single"/>
                    </w:rPr>
                  </w:pPr>
                  <w:r>
                    <w:rPr>
                      <w:b/>
                      <w:sz w:val="21"/>
                      <w:szCs w:val="21"/>
                      <w:u w:val="single"/>
                    </w:rPr>
                    <w:t>颗粒物</w:t>
                  </w:r>
                </w:p>
              </w:tc>
              <w:tc>
                <w:tcPr>
                  <w:tcW w:w="322" w:type="pct"/>
                  <w:vAlign w:val="center"/>
                </w:tcPr>
                <w:p w14:paraId="05B42237">
                  <w:pPr>
                    <w:pStyle w:val="154"/>
                    <w:widowControl w:val="0"/>
                    <w:rPr>
                      <w:b/>
                      <w:sz w:val="21"/>
                      <w:szCs w:val="21"/>
                      <w:u w:val="single"/>
                    </w:rPr>
                  </w:pPr>
                  <w:r>
                    <w:rPr>
                      <w:rFonts w:hint="eastAsia"/>
                      <w:b/>
                      <w:sz w:val="21"/>
                      <w:szCs w:val="21"/>
                      <w:u w:val="single"/>
                    </w:rPr>
                    <w:t>有组织</w:t>
                  </w:r>
                </w:p>
              </w:tc>
              <w:tc>
                <w:tcPr>
                  <w:tcW w:w="740" w:type="pct"/>
                  <w:vAlign w:val="center"/>
                </w:tcPr>
                <w:p w14:paraId="637A5C53">
                  <w:pPr>
                    <w:pStyle w:val="154"/>
                    <w:rPr>
                      <w:b/>
                      <w:sz w:val="21"/>
                      <w:szCs w:val="21"/>
                      <w:u w:val="single"/>
                    </w:rPr>
                  </w:pPr>
                  <w:r>
                    <w:rPr>
                      <w:b/>
                      <w:sz w:val="21"/>
                      <w:szCs w:val="21"/>
                      <w:u w:val="single"/>
                    </w:rPr>
                    <w:t>产生量:</w:t>
                  </w:r>
                  <w:r>
                    <w:rPr>
                      <w:rFonts w:hint="eastAsia"/>
                      <w:b/>
                      <w:sz w:val="21"/>
                      <w:szCs w:val="21"/>
                      <w:u w:val="single"/>
                    </w:rPr>
                    <w:t>4.9060</w:t>
                  </w:r>
                  <w:r>
                    <w:rPr>
                      <w:b/>
                      <w:sz w:val="21"/>
                      <w:szCs w:val="21"/>
                      <w:u w:val="single"/>
                    </w:rPr>
                    <w:t>t/a</w:t>
                  </w:r>
                </w:p>
                <w:p w14:paraId="37D6F571">
                  <w:pPr>
                    <w:pStyle w:val="154"/>
                    <w:rPr>
                      <w:b/>
                      <w:sz w:val="21"/>
                      <w:szCs w:val="21"/>
                      <w:u w:val="single"/>
                    </w:rPr>
                  </w:pPr>
                  <w:r>
                    <w:rPr>
                      <w:b/>
                      <w:sz w:val="21"/>
                      <w:szCs w:val="21"/>
                      <w:u w:val="single"/>
                    </w:rPr>
                    <w:t>速率:</w:t>
                  </w:r>
                  <w:r>
                    <w:rPr>
                      <w:rFonts w:hint="eastAsia"/>
                      <w:b/>
                      <w:sz w:val="21"/>
                      <w:szCs w:val="21"/>
                      <w:u w:val="single"/>
                    </w:rPr>
                    <w:t>5.451</w:t>
                  </w:r>
                  <w:r>
                    <w:rPr>
                      <w:b/>
                      <w:sz w:val="21"/>
                      <w:szCs w:val="21"/>
                      <w:u w:val="single"/>
                    </w:rPr>
                    <w:t>kg/h</w:t>
                  </w:r>
                </w:p>
                <w:p w14:paraId="28989D66">
                  <w:pPr>
                    <w:pStyle w:val="154"/>
                    <w:rPr>
                      <w:b/>
                      <w:sz w:val="21"/>
                      <w:szCs w:val="21"/>
                      <w:u w:val="single"/>
                    </w:rPr>
                  </w:pPr>
                  <w:r>
                    <w:rPr>
                      <w:b/>
                      <w:sz w:val="21"/>
                      <w:szCs w:val="21"/>
                      <w:u w:val="single"/>
                    </w:rPr>
                    <w:t>浓度:</w:t>
                  </w:r>
                  <w:r>
                    <w:rPr>
                      <w:rFonts w:hint="eastAsia"/>
                      <w:b/>
                      <w:sz w:val="21"/>
                      <w:szCs w:val="21"/>
                      <w:u w:val="single"/>
                    </w:rPr>
                    <w:t>605.67</w:t>
                  </w:r>
                  <w:r>
                    <w:rPr>
                      <w:b/>
                      <w:sz w:val="21"/>
                      <w:szCs w:val="21"/>
                      <w:u w:val="single"/>
                    </w:rPr>
                    <w:t>mg/m</w:t>
                  </w:r>
                  <w:r>
                    <w:rPr>
                      <w:b/>
                      <w:sz w:val="21"/>
                      <w:szCs w:val="21"/>
                      <w:u w:val="single"/>
                      <w:vertAlign w:val="superscript"/>
                    </w:rPr>
                    <w:t>3</w:t>
                  </w:r>
                </w:p>
              </w:tc>
              <w:tc>
                <w:tcPr>
                  <w:tcW w:w="770" w:type="pct"/>
                  <w:vMerge w:val="restart"/>
                  <w:vAlign w:val="center"/>
                </w:tcPr>
                <w:p w14:paraId="1DF39077">
                  <w:pPr>
                    <w:pStyle w:val="154"/>
                    <w:rPr>
                      <w:b/>
                      <w:sz w:val="21"/>
                      <w:szCs w:val="21"/>
                      <w:u w:val="single"/>
                    </w:rPr>
                  </w:pPr>
                  <w:r>
                    <w:rPr>
                      <w:rFonts w:eastAsia="宋体" w:cs="Times New Roman"/>
                      <w:b/>
                      <w:kern w:val="2"/>
                      <w:sz w:val="21"/>
                      <w:szCs w:val="21"/>
                      <w:u w:val="single"/>
                    </w:rPr>
                    <w:t>注</w:t>
                  </w:r>
                  <w:r>
                    <w:rPr>
                      <w:rFonts w:hint="eastAsia" w:eastAsia="宋体" w:cs="Times New Roman"/>
                      <w:b/>
                      <w:kern w:val="2"/>
                      <w:sz w:val="21"/>
                      <w:szCs w:val="21"/>
                      <w:u w:val="single"/>
                    </w:rPr>
                    <w:t>塑工艺生产线混合搅拌、破碎工序产生的含尘、VOCs废气</w:t>
                  </w:r>
                  <w:r>
                    <w:rPr>
                      <w:rFonts w:eastAsia="宋体" w:cs="Times New Roman"/>
                      <w:b/>
                      <w:kern w:val="2"/>
                      <w:sz w:val="21"/>
                      <w:szCs w:val="21"/>
                      <w:u w:val="single"/>
                    </w:rPr>
                    <w:t>通过1套</w:t>
                  </w:r>
                  <w:r>
                    <w:rPr>
                      <w:rFonts w:hint="eastAsia" w:eastAsia="宋体" w:cs="Times New Roman"/>
                      <w:b/>
                      <w:kern w:val="2"/>
                      <w:sz w:val="21"/>
                      <w:szCs w:val="21"/>
                      <w:u w:val="single"/>
                    </w:rPr>
                    <w:t>覆膜</w:t>
                  </w:r>
                  <w:r>
                    <w:rPr>
                      <w:rFonts w:eastAsia="宋体" w:cs="Times New Roman"/>
                      <w:b/>
                      <w:kern w:val="2"/>
                      <w:sz w:val="21"/>
                      <w:szCs w:val="21"/>
                      <w:u w:val="single"/>
                    </w:rPr>
                    <w:t>袋式除尘器</w:t>
                  </w:r>
                  <w:r>
                    <w:rPr>
                      <w:rFonts w:hint="eastAsia" w:eastAsia="宋体" w:cs="Times New Roman"/>
                      <w:b/>
                      <w:kern w:val="2"/>
                      <w:sz w:val="21"/>
                      <w:szCs w:val="21"/>
                      <w:u w:val="single"/>
                    </w:rPr>
                    <w:t>处理后，与注塑工序过程中产生的废气共同进入主管道；聚氨酯工艺生产线过程中产生的废气</w:t>
                  </w:r>
                  <w:r>
                    <w:rPr>
                      <w:rFonts w:eastAsia="宋体" w:cs="Times New Roman"/>
                      <w:b/>
                      <w:kern w:val="2"/>
                      <w:sz w:val="21"/>
                      <w:szCs w:val="21"/>
                      <w:u w:val="single"/>
                    </w:rPr>
                    <w:t>进入主管道</w:t>
                  </w:r>
                  <w:r>
                    <w:rPr>
                      <w:rFonts w:hint="eastAsia" w:eastAsia="宋体" w:cs="Times New Roman"/>
                      <w:b/>
                      <w:kern w:val="2"/>
                      <w:sz w:val="21"/>
                      <w:szCs w:val="21"/>
                      <w:u w:val="single"/>
                    </w:rPr>
                    <w:t>；鞋面布激光切割产生废气进入主管道，三者合并后经过一套两级活性炭吸附工艺处理后通过排气筒DA001排放。</w:t>
                  </w:r>
                </w:p>
              </w:tc>
              <w:tc>
                <w:tcPr>
                  <w:tcW w:w="1586" w:type="pct"/>
                  <w:vAlign w:val="center"/>
                </w:tcPr>
                <w:p w14:paraId="05D2DB23">
                  <w:pPr>
                    <w:pStyle w:val="154"/>
                    <w:rPr>
                      <w:b/>
                      <w:sz w:val="21"/>
                      <w:szCs w:val="21"/>
                      <w:u w:val="single"/>
                    </w:rPr>
                  </w:pPr>
                  <w:r>
                    <w:rPr>
                      <w:b/>
                      <w:sz w:val="21"/>
                      <w:szCs w:val="21"/>
                      <w:u w:val="single"/>
                    </w:rPr>
                    <w:t>排放量:</w:t>
                  </w:r>
                  <w:r>
                    <w:rPr>
                      <w:rFonts w:hint="eastAsia"/>
                      <w:b/>
                      <w:sz w:val="21"/>
                      <w:szCs w:val="21"/>
                      <w:u w:val="single"/>
                    </w:rPr>
                    <w:t>0.0491</w:t>
                  </w:r>
                  <w:r>
                    <w:rPr>
                      <w:b/>
                      <w:sz w:val="21"/>
                      <w:szCs w:val="21"/>
                      <w:u w:val="single"/>
                    </w:rPr>
                    <w:t>t/a</w:t>
                  </w:r>
                </w:p>
                <w:p w14:paraId="60D65025">
                  <w:pPr>
                    <w:pStyle w:val="154"/>
                    <w:rPr>
                      <w:b/>
                      <w:sz w:val="21"/>
                      <w:szCs w:val="21"/>
                      <w:u w:val="single"/>
                    </w:rPr>
                  </w:pPr>
                  <w:r>
                    <w:rPr>
                      <w:b/>
                      <w:sz w:val="21"/>
                      <w:szCs w:val="21"/>
                      <w:u w:val="single"/>
                    </w:rPr>
                    <w:t>速率:</w:t>
                  </w:r>
                  <w:r>
                    <w:rPr>
                      <w:rFonts w:hint="eastAsia"/>
                      <w:b/>
                      <w:sz w:val="21"/>
                      <w:szCs w:val="21"/>
                      <w:u w:val="single"/>
                    </w:rPr>
                    <w:t>0.055</w:t>
                  </w:r>
                  <w:r>
                    <w:rPr>
                      <w:b/>
                      <w:sz w:val="21"/>
                      <w:szCs w:val="21"/>
                      <w:u w:val="single"/>
                    </w:rPr>
                    <w:t>kg/h</w:t>
                  </w:r>
                </w:p>
                <w:p w14:paraId="63614230">
                  <w:pPr>
                    <w:pStyle w:val="154"/>
                    <w:rPr>
                      <w:b/>
                      <w:sz w:val="21"/>
                      <w:szCs w:val="21"/>
                      <w:u w:val="single"/>
                    </w:rPr>
                  </w:pPr>
                  <w:r>
                    <w:rPr>
                      <w:b/>
                      <w:sz w:val="21"/>
                      <w:szCs w:val="21"/>
                      <w:u w:val="single"/>
                    </w:rPr>
                    <w:t>浓度</w:t>
                  </w:r>
                  <w:r>
                    <w:rPr>
                      <w:rFonts w:hint="eastAsia"/>
                      <w:b/>
                      <w:sz w:val="21"/>
                      <w:szCs w:val="21"/>
                      <w:u w:val="single"/>
                    </w:rPr>
                    <w:t>:2.04</w:t>
                  </w:r>
                  <w:r>
                    <w:rPr>
                      <w:b/>
                      <w:sz w:val="21"/>
                      <w:szCs w:val="21"/>
                      <w:u w:val="single"/>
                    </w:rPr>
                    <w:t>mg/m</w:t>
                  </w:r>
                  <w:r>
                    <w:rPr>
                      <w:b/>
                      <w:sz w:val="21"/>
                      <w:szCs w:val="21"/>
                      <w:u w:val="single"/>
                      <w:vertAlign w:val="superscript"/>
                    </w:rPr>
                    <w:t>3</w:t>
                  </w:r>
                </w:p>
              </w:tc>
              <w:tc>
                <w:tcPr>
                  <w:tcW w:w="492" w:type="pct"/>
                  <w:vMerge w:val="restart"/>
                  <w:vAlign w:val="center"/>
                </w:tcPr>
                <w:p w14:paraId="19D73756">
                  <w:pPr>
                    <w:pStyle w:val="154"/>
                    <w:jc w:val="left"/>
                    <w:rPr>
                      <w:b/>
                      <w:sz w:val="21"/>
                      <w:szCs w:val="21"/>
                      <w:u w:val="single"/>
                    </w:rPr>
                  </w:pPr>
                </w:p>
                <w:p w14:paraId="5E9D7C5D">
                  <w:pPr>
                    <w:pStyle w:val="154"/>
                    <w:rPr>
                      <w:b/>
                      <w:sz w:val="21"/>
                      <w:szCs w:val="21"/>
                      <w:u w:val="single"/>
                    </w:rPr>
                  </w:pPr>
                  <w:r>
                    <w:rPr>
                      <w:rFonts w:hint="eastAsia"/>
                      <w:b/>
                      <w:sz w:val="21"/>
                      <w:szCs w:val="21"/>
                      <w:u w:val="single"/>
                    </w:rPr>
                    <w:t>DA001</w:t>
                  </w:r>
                </w:p>
                <w:p w14:paraId="740488D0">
                  <w:pPr>
                    <w:pStyle w:val="154"/>
                    <w:widowControl w:val="0"/>
                    <w:jc w:val="left"/>
                    <w:rPr>
                      <w:b/>
                      <w:sz w:val="21"/>
                      <w:szCs w:val="21"/>
                      <w:u w:val="single"/>
                    </w:rPr>
                  </w:pPr>
                </w:p>
              </w:tc>
            </w:tr>
            <w:tr w14:paraId="2BB3BA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Merge w:val="continue"/>
                  <w:vAlign w:val="center"/>
                </w:tcPr>
                <w:p w14:paraId="42E19753">
                  <w:pPr>
                    <w:pStyle w:val="154"/>
                    <w:rPr>
                      <w:b/>
                      <w:sz w:val="21"/>
                      <w:szCs w:val="21"/>
                      <w:u w:val="single"/>
                    </w:rPr>
                  </w:pPr>
                </w:p>
              </w:tc>
              <w:tc>
                <w:tcPr>
                  <w:tcW w:w="379" w:type="pct"/>
                  <w:vMerge w:val="restart"/>
                  <w:vAlign w:val="center"/>
                </w:tcPr>
                <w:p w14:paraId="461AD8CE">
                  <w:pPr>
                    <w:pStyle w:val="154"/>
                    <w:rPr>
                      <w:b/>
                      <w:sz w:val="21"/>
                      <w:szCs w:val="21"/>
                      <w:u w:val="single"/>
                    </w:rPr>
                  </w:pPr>
                  <w:r>
                    <w:rPr>
                      <w:rFonts w:hint="eastAsia"/>
                      <w:b/>
                      <w:sz w:val="21"/>
                      <w:szCs w:val="21"/>
                      <w:u w:val="single"/>
                    </w:rPr>
                    <w:t>注塑</w:t>
                  </w:r>
                </w:p>
              </w:tc>
              <w:tc>
                <w:tcPr>
                  <w:tcW w:w="379" w:type="pct"/>
                  <w:vAlign w:val="center"/>
                </w:tcPr>
                <w:p w14:paraId="22F28652">
                  <w:pPr>
                    <w:pStyle w:val="154"/>
                    <w:rPr>
                      <w:b/>
                      <w:sz w:val="21"/>
                      <w:szCs w:val="21"/>
                      <w:u w:val="single"/>
                    </w:rPr>
                  </w:pPr>
                  <w:r>
                    <w:rPr>
                      <w:b/>
                      <w:sz w:val="21"/>
                      <w:szCs w:val="21"/>
                      <w:u w:val="single"/>
                    </w:rPr>
                    <w:t>氯化氢</w:t>
                  </w:r>
                </w:p>
              </w:tc>
              <w:tc>
                <w:tcPr>
                  <w:tcW w:w="322" w:type="pct"/>
                  <w:vAlign w:val="center"/>
                </w:tcPr>
                <w:p w14:paraId="0BB7C12F">
                  <w:pPr>
                    <w:pStyle w:val="154"/>
                    <w:rPr>
                      <w:b/>
                      <w:sz w:val="21"/>
                      <w:szCs w:val="21"/>
                      <w:u w:val="single"/>
                    </w:rPr>
                  </w:pPr>
                  <w:r>
                    <w:rPr>
                      <w:rFonts w:hint="eastAsia"/>
                      <w:b/>
                      <w:sz w:val="21"/>
                      <w:szCs w:val="21"/>
                      <w:u w:val="single"/>
                    </w:rPr>
                    <w:t>有组织</w:t>
                  </w:r>
                </w:p>
              </w:tc>
              <w:tc>
                <w:tcPr>
                  <w:tcW w:w="740" w:type="pct"/>
                  <w:vAlign w:val="center"/>
                </w:tcPr>
                <w:p w14:paraId="40B7C67A">
                  <w:pPr>
                    <w:pStyle w:val="154"/>
                    <w:rPr>
                      <w:b/>
                      <w:sz w:val="21"/>
                      <w:szCs w:val="21"/>
                      <w:u w:val="single"/>
                    </w:rPr>
                  </w:pPr>
                  <w:r>
                    <w:rPr>
                      <w:b/>
                      <w:sz w:val="21"/>
                      <w:szCs w:val="21"/>
                      <w:u w:val="single"/>
                    </w:rPr>
                    <w:t>产生量:0.00</w:t>
                  </w:r>
                  <w:r>
                    <w:rPr>
                      <w:rFonts w:hint="eastAsia"/>
                      <w:b/>
                      <w:sz w:val="21"/>
                      <w:szCs w:val="21"/>
                      <w:u w:val="single"/>
                    </w:rPr>
                    <w:t>79</w:t>
                  </w:r>
                  <w:r>
                    <w:rPr>
                      <w:b/>
                      <w:sz w:val="21"/>
                      <w:szCs w:val="21"/>
                      <w:u w:val="single"/>
                    </w:rPr>
                    <w:t>t/a</w:t>
                  </w:r>
                </w:p>
                <w:p w14:paraId="042794F6">
                  <w:pPr>
                    <w:pStyle w:val="154"/>
                    <w:rPr>
                      <w:b/>
                      <w:sz w:val="21"/>
                      <w:szCs w:val="21"/>
                      <w:u w:val="single"/>
                    </w:rPr>
                  </w:pPr>
                  <w:r>
                    <w:rPr>
                      <w:b/>
                      <w:sz w:val="21"/>
                      <w:szCs w:val="21"/>
                      <w:u w:val="single"/>
                    </w:rPr>
                    <w:t>速率:0.00</w:t>
                  </w:r>
                  <w:r>
                    <w:rPr>
                      <w:rFonts w:hint="eastAsia"/>
                      <w:b/>
                      <w:sz w:val="21"/>
                      <w:szCs w:val="21"/>
                      <w:u w:val="single"/>
                    </w:rPr>
                    <w:t>3</w:t>
                  </w:r>
                  <w:r>
                    <w:rPr>
                      <w:b/>
                      <w:sz w:val="21"/>
                      <w:szCs w:val="21"/>
                      <w:u w:val="single"/>
                    </w:rPr>
                    <w:t>kg/h</w:t>
                  </w:r>
                </w:p>
                <w:p w14:paraId="3172D2A6">
                  <w:pPr>
                    <w:pStyle w:val="154"/>
                    <w:rPr>
                      <w:b/>
                      <w:sz w:val="21"/>
                      <w:szCs w:val="21"/>
                      <w:u w:val="single"/>
                    </w:rPr>
                  </w:pPr>
                  <w:r>
                    <w:rPr>
                      <w:b/>
                      <w:sz w:val="21"/>
                      <w:szCs w:val="21"/>
                      <w:u w:val="single"/>
                    </w:rPr>
                    <w:t>浓度:</w:t>
                  </w:r>
                  <w:r>
                    <w:rPr>
                      <w:rFonts w:hint="eastAsia"/>
                      <w:b/>
                      <w:sz w:val="21"/>
                      <w:szCs w:val="21"/>
                      <w:u w:val="single"/>
                    </w:rPr>
                    <w:t>0.33</w:t>
                  </w:r>
                  <w:r>
                    <w:rPr>
                      <w:b/>
                      <w:sz w:val="21"/>
                      <w:szCs w:val="21"/>
                      <w:u w:val="single"/>
                    </w:rPr>
                    <w:t>mg/m</w:t>
                  </w:r>
                  <w:r>
                    <w:rPr>
                      <w:b/>
                      <w:sz w:val="21"/>
                      <w:szCs w:val="21"/>
                      <w:u w:val="single"/>
                      <w:vertAlign w:val="superscript"/>
                    </w:rPr>
                    <w:t>3</w:t>
                  </w:r>
                </w:p>
              </w:tc>
              <w:tc>
                <w:tcPr>
                  <w:tcW w:w="770" w:type="pct"/>
                  <w:vMerge w:val="continue"/>
                  <w:vAlign w:val="center"/>
                </w:tcPr>
                <w:p w14:paraId="645B2D09">
                  <w:pPr>
                    <w:pStyle w:val="154"/>
                    <w:rPr>
                      <w:b/>
                      <w:sz w:val="21"/>
                      <w:szCs w:val="21"/>
                      <w:u w:val="single"/>
                    </w:rPr>
                  </w:pPr>
                </w:p>
              </w:tc>
              <w:tc>
                <w:tcPr>
                  <w:tcW w:w="1586" w:type="pct"/>
                  <w:vAlign w:val="center"/>
                </w:tcPr>
                <w:p w14:paraId="38A85FD3">
                  <w:pPr>
                    <w:pStyle w:val="154"/>
                    <w:rPr>
                      <w:b/>
                      <w:sz w:val="21"/>
                      <w:szCs w:val="21"/>
                      <w:u w:val="single"/>
                    </w:rPr>
                  </w:pPr>
                  <w:r>
                    <w:rPr>
                      <w:b/>
                      <w:sz w:val="21"/>
                      <w:szCs w:val="21"/>
                      <w:u w:val="single"/>
                    </w:rPr>
                    <w:t>产生量:0.00</w:t>
                  </w:r>
                  <w:r>
                    <w:rPr>
                      <w:rFonts w:hint="eastAsia"/>
                      <w:b/>
                      <w:sz w:val="21"/>
                      <w:szCs w:val="21"/>
                      <w:u w:val="single"/>
                    </w:rPr>
                    <w:t>79</w:t>
                  </w:r>
                  <w:r>
                    <w:rPr>
                      <w:b/>
                      <w:sz w:val="21"/>
                      <w:szCs w:val="21"/>
                      <w:u w:val="single"/>
                    </w:rPr>
                    <w:t>t/a</w:t>
                  </w:r>
                </w:p>
                <w:p w14:paraId="0228970F">
                  <w:pPr>
                    <w:pStyle w:val="154"/>
                    <w:rPr>
                      <w:b/>
                      <w:sz w:val="21"/>
                      <w:szCs w:val="21"/>
                      <w:u w:val="single"/>
                    </w:rPr>
                  </w:pPr>
                  <w:r>
                    <w:rPr>
                      <w:b/>
                      <w:sz w:val="21"/>
                      <w:szCs w:val="21"/>
                      <w:u w:val="single"/>
                    </w:rPr>
                    <w:t>速率:0.00</w:t>
                  </w:r>
                  <w:r>
                    <w:rPr>
                      <w:rFonts w:hint="eastAsia"/>
                      <w:b/>
                      <w:sz w:val="21"/>
                      <w:szCs w:val="21"/>
                      <w:u w:val="single"/>
                    </w:rPr>
                    <w:t>3</w:t>
                  </w:r>
                  <w:r>
                    <w:rPr>
                      <w:b/>
                      <w:sz w:val="21"/>
                      <w:szCs w:val="21"/>
                      <w:u w:val="single"/>
                    </w:rPr>
                    <w:t>kg/h</w:t>
                  </w:r>
                </w:p>
                <w:p w14:paraId="0549E1E4">
                  <w:pPr>
                    <w:pStyle w:val="154"/>
                    <w:rPr>
                      <w:b/>
                      <w:sz w:val="21"/>
                      <w:szCs w:val="21"/>
                      <w:u w:val="single"/>
                    </w:rPr>
                  </w:pPr>
                  <w:r>
                    <w:rPr>
                      <w:rFonts w:hint="eastAsia"/>
                      <w:b/>
                      <w:sz w:val="21"/>
                      <w:szCs w:val="21"/>
                      <w:u w:val="single"/>
                    </w:rPr>
                    <w:t>浓</w:t>
                  </w:r>
                  <w:r>
                    <w:rPr>
                      <w:b/>
                      <w:sz w:val="21"/>
                      <w:szCs w:val="21"/>
                      <w:u w:val="single"/>
                    </w:rPr>
                    <w:t>度:</w:t>
                  </w:r>
                  <w:r>
                    <w:rPr>
                      <w:rFonts w:hint="eastAsia"/>
                      <w:b/>
                      <w:sz w:val="21"/>
                      <w:szCs w:val="21"/>
                      <w:u w:val="single"/>
                    </w:rPr>
                    <w:t>0.33</w:t>
                  </w:r>
                  <w:r>
                    <w:rPr>
                      <w:b/>
                      <w:sz w:val="21"/>
                      <w:szCs w:val="21"/>
                      <w:u w:val="single"/>
                    </w:rPr>
                    <w:t>mg/m</w:t>
                  </w:r>
                  <w:r>
                    <w:rPr>
                      <w:b/>
                      <w:sz w:val="21"/>
                      <w:szCs w:val="21"/>
                      <w:u w:val="single"/>
                      <w:vertAlign w:val="superscript"/>
                    </w:rPr>
                    <w:t>3</w:t>
                  </w:r>
                </w:p>
              </w:tc>
              <w:tc>
                <w:tcPr>
                  <w:tcW w:w="492" w:type="pct"/>
                  <w:vMerge w:val="continue"/>
                  <w:vAlign w:val="center"/>
                </w:tcPr>
                <w:p w14:paraId="2F75072C">
                  <w:pPr>
                    <w:pStyle w:val="154"/>
                    <w:widowControl w:val="0"/>
                    <w:rPr>
                      <w:b/>
                      <w:sz w:val="21"/>
                      <w:szCs w:val="21"/>
                      <w:u w:val="single"/>
                    </w:rPr>
                  </w:pPr>
                </w:p>
              </w:tc>
            </w:tr>
            <w:tr w14:paraId="516050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Merge w:val="continue"/>
                  <w:vAlign w:val="center"/>
                </w:tcPr>
                <w:p w14:paraId="36E79DF7">
                  <w:pPr>
                    <w:pStyle w:val="154"/>
                    <w:widowControl w:val="0"/>
                    <w:rPr>
                      <w:b/>
                      <w:sz w:val="21"/>
                      <w:szCs w:val="21"/>
                      <w:u w:val="single"/>
                    </w:rPr>
                  </w:pPr>
                </w:p>
              </w:tc>
              <w:tc>
                <w:tcPr>
                  <w:tcW w:w="379" w:type="pct"/>
                  <w:vMerge w:val="continue"/>
                  <w:vAlign w:val="center"/>
                </w:tcPr>
                <w:p w14:paraId="0D2E7A17">
                  <w:pPr>
                    <w:pStyle w:val="154"/>
                    <w:rPr>
                      <w:b/>
                      <w:sz w:val="21"/>
                      <w:szCs w:val="21"/>
                      <w:u w:val="single"/>
                    </w:rPr>
                  </w:pPr>
                </w:p>
              </w:tc>
              <w:tc>
                <w:tcPr>
                  <w:tcW w:w="379" w:type="pct"/>
                  <w:vAlign w:val="center"/>
                </w:tcPr>
                <w:p w14:paraId="5A8413F2">
                  <w:pPr>
                    <w:pStyle w:val="154"/>
                    <w:rPr>
                      <w:b/>
                      <w:sz w:val="21"/>
                      <w:szCs w:val="21"/>
                      <w:u w:val="single"/>
                    </w:rPr>
                  </w:pPr>
                  <w:r>
                    <w:rPr>
                      <w:b/>
                      <w:sz w:val="21"/>
                      <w:szCs w:val="21"/>
                      <w:u w:val="single"/>
                    </w:rPr>
                    <w:t>非甲烷总烃</w:t>
                  </w:r>
                </w:p>
              </w:tc>
              <w:tc>
                <w:tcPr>
                  <w:tcW w:w="322" w:type="pct"/>
                  <w:vAlign w:val="center"/>
                </w:tcPr>
                <w:p w14:paraId="5523D5C0">
                  <w:pPr>
                    <w:pStyle w:val="154"/>
                    <w:rPr>
                      <w:b/>
                      <w:sz w:val="21"/>
                      <w:szCs w:val="21"/>
                      <w:u w:val="single"/>
                    </w:rPr>
                  </w:pPr>
                  <w:r>
                    <w:rPr>
                      <w:rFonts w:hint="eastAsia"/>
                      <w:b/>
                      <w:sz w:val="21"/>
                      <w:szCs w:val="21"/>
                      <w:u w:val="single"/>
                    </w:rPr>
                    <w:t>有组织</w:t>
                  </w:r>
                </w:p>
              </w:tc>
              <w:tc>
                <w:tcPr>
                  <w:tcW w:w="740" w:type="pct"/>
                  <w:vAlign w:val="center"/>
                </w:tcPr>
                <w:p w14:paraId="6704A460">
                  <w:pPr>
                    <w:pStyle w:val="154"/>
                    <w:rPr>
                      <w:b/>
                      <w:sz w:val="21"/>
                      <w:szCs w:val="21"/>
                      <w:u w:val="single"/>
                    </w:rPr>
                  </w:pPr>
                  <w:r>
                    <w:rPr>
                      <w:b/>
                      <w:sz w:val="21"/>
                      <w:szCs w:val="21"/>
                      <w:u w:val="single"/>
                    </w:rPr>
                    <w:t>产生量:</w:t>
                  </w:r>
                  <w:r>
                    <w:rPr>
                      <w:rFonts w:hint="eastAsia"/>
                      <w:b/>
                      <w:sz w:val="21"/>
                      <w:szCs w:val="21"/>
                      <w:u w:val="single"/>
                    </w:rPr>
                    <w:t>0.1701</w:t>
                  </w:r>
                  <w:r>
                    <w:rPr>
                      <w:b/>
                      <w:sz w:val="21"/>
                      <w:szCs w:val="21"/>
                      <w:u w:val="single"/>
                    </w:rPr>
                    <w:t>t/a</w:t>
                  </w:r>
                </w:p>
                <w:p w14:paraId="207FF9A5">
                  <w:pPr>
                    <w:pStyle w:val="154"/>
                    <w:rPr>
                      <w:b/>
                      <w:sz w:val="21"/>
                      <w:szCs w:val="21"/>
                      <w:u w:val="single"/>
                    </w:rPr>
                  </w:pPr>
                  <w:r>
                    <w:rPr>
                      <w:b/>
                      <w:sz w:val="21"/>
                      <w:szCs w:val="21"/>
                      <w:u w:val="single"/>
                    </w:rPr>
                    <w:t>速率:</w:t>
                  </w:r>
                  <w:r>
                    <w:rPr>
                      <w:rFonts w:hint="eastAsia"/>
                      <w:b/>
                      <w:sz w:val="21"/>
                      <w:szCs w:val="21"/>
                      <w:u w:val="single"/>
                    </w:rPr>
                    <w:t>0.071</w:t>
                  </w:r>
                  <w:r>
                    <w:rPr>
                      <w:b/>
                      <w:sz w:val="21"/>
                      <w:szCs w:val="21"/>
                      <w:u w:val="single"/>
                    </w:rPr>
                    <w:t>kg/h</w:t>
                  </w:r>
                </w:p>
                <w:p w14:paraId="27A1BD65">
                  <w:pPr>
                    <w:pStyle w:val="154"/>
                    <w:rPr>
                      <w:b/>
                      <w:sz w:val="21"/>
                      <w:szCs w:val="21"/>
                      <w:u w:val="single"/>
                    </w:rPr>
                  </w:pPr>
                  <w:r>
                    <w:rPr>
                      <w:rFonts w:hint="eastAsia"/>
                      <w:b/>
                      <w:sz w:val="21"/>
                      <w:szCs w:val="21"/>
                      <w:u w:val="single"/>
                    </w:rPr>
                    <w:t>浓度</w:t>
                  </w:r>
                  <w:r>
                    <w:rPr>
                      <w:b/>
                      <w:sz w:val="21"/>
                      <w:szCs w:val="21"/>
                      <w:u w:val="single"/>
                    </w:rPr>
                    <w:t>:</w:t>
                  </w:r>
                  <w:r>
                    <w:rPr>
                      <w:rFonts w:hint="eastAsia"/>
                      <w:b/>
                      <w:sz w:val="21"/>
                      <w:szCs w:val="21"/>
                      <w:u w:val="single"/>
                    </w:rPr>
                    <w:t>7.89</w:t>
                  </w:r>
                  <w:r>
                    <w:rPr>
                      <w:b/>
                      <w:sz w:val="21"/>
                      <w:szCs w:val="21"/>
                      <w:u w:val="single"/>
                    </w:rPr>
                    <w:t>mg/m</w:t>
                  </w:r>
                  <w:r>
                    <w:rPr>
                      <w:b/>
                      <w:sz w:val="21"/>
                      <w:szCs w:val="21"/>
                      <w:u w:val="single"/>
                      <w:vertAlign w:val="superscript"/>
                    </w:rPr>
                    <w:t>3</w:t>
                  </w:r>
                </w:p>
              </w:tc>
              <w:tc>
                <w:tcPr>
                  <w:tcW w:w="770" w:type="pct"/>
                  <w:vMerge w:val="continue"/>
                  <w:vAlign w:val="center"/>
                </w:tcPr>
                <w:p w14:paraId="011943D4">
                  <w:pPr>
                    <w:pStyle w:val="154"/>
                    <w:rPr>
                      <w:b/>
                      <w:sz w:val="21"/>
                      <w:szCs w:val="21"/>
                      <w:u w:val="single"/>
                    </w:rPr>
                  </w:pPr>
                </w:p>
              </w:tc>
              <w:tc>
                <w:tcPr>
                  <w:tcW w:w="1586" w:type="pct"/>
                  <w:vMerge w:val="restart"/>
                  <w:vAlign w:val="center"/>
                </w:tcPr>
                <w:p w14:paraId="6171567B">
                  <w:pPr>
                    <w:pStyle w:val="154"/>
                    <w:rPr>
                      <w:b/>
                      <w:sz w:val="21"/>
                      <w:szCs w:val="21"/>
                      <w:u w:val="single"/>
                    </w:rPr>
                  </w:pPr>
                  <w:r>
                    <w:rPr>
                      <w:b/>
                      <w:sz w:val="21"/>
                      <w:szCs w:val="21"/>
                      <w:u w:val="single"/>
                    </w:rPr>
                    <w:t>排放量:</w:t>
                  </w:r>
                  <w:r>
                    <w:rPr>
                      <w:rFonts w:hint="eastAsia"/>
                      <w:b/>
                      <w:sz w:val="21"/>
                      <w:szCs w:val="21"/>
                      <w:u w:val="single"/>
                    </w:rPr>
                    <w:t>0.1513</w:t>
                  </w:r>
                  <w:r>
                    <w:rPr>
                      <w:b/>
                      <w:sz w:val="21"/>
                      <w:szCs w:val="21"/>
                      <w:u w:val="single"/>
                    </w:rPr>
                    <w:t>t/a</w:t>
                  </w:r>
                </w:p>
                <w:p w14:paraId="67412BCA">
                  <w:pPr>
                    <w:pStyle w:val="154"/>
                    <w:rPr>
                      <w:b/>
                      <w:sz w:val="21"/>
                      <w:szCs w:val="21"/>
                      <w:u w:val="single"/>
                    </w:rPr>
                  </w:pPr>
                  <w:r>
                    <w:rPr>
                      <w:b/>
                      <w:sz w:val="21"/>
                      <w:szCs w:val="21"/>
                      <w:u w:val="single"/>
                    </w:rPr>
                    <w:t>速率:</w:t>
                  </w:r>
                  <w:r>
                    <w:rPr>
                      <w:rFonts w:hint="eastAsia"/>
                      <w:b/>
                      <w:sz w:val="21"/>
                      <w:szCs w:val="21"/>
                      <w:u w:val="single"/>
                    </w:rPr>
                    <w:t>0.063</w:t>
                  </w:r>
                  <w:r>
                    <w:rPr>
                      <w:b/>
                      <w:sz w:val="21"/>
                      <w:szCs w:val="21"/>
                      <w:u w:val="single"/>
                    </w:rPr>
                    <w:t>kg/h</w:t>
                  </w:r>
                </w:p>
                <w:p w14:paraId="0E10CEDC">
                  <w:pPr>
                    <w:pStyle w:val="154"/>
                    <w:rPr>
                      <w:b/>
                      <w:sz w:val="21"/>
                      <w:szCs w:val="21"/>
                      <w:u w:val="single"/>
                    </w:rPr>
                  </w:pPr>
                  <w:r>
                    <w:rPr>
                      <w:b/>
                      <w:sz w:val="21"/>
                      <w:szCs w:val="21"/>
                      <w:u w:val="single"/>
                    </w:rPr>
                    <w:t>浓度:</w:t>
                  </w:r>
                  <w:r>
                    <w:rPr>
                      <w:rFonts w:hint="eastAsia"/>
                      <w:b/>
                      <w:sz w:val="21"/>
                      <w:szCs w:val="21"/>
                      <w:u w:val="single"/>
                    </w:rPr>
                    <w:t>2.33</w:t>
                  </w:r>
                  <w:r>
                    <w:rPr>
                      <w:b/>
                      <w:sz w:val="21"/>
                      <w:szCs w:val="21"/>
                      <w:u w:val="single"/>
                    </w:rPr>
                    <w:t>mg/m</w:t>
                  </w:r>
                  <w:r>
                    <w:rPr>
                      <w:b/>
                      <w:sz w:val="21"/>
                      <w:szCs w:val="21"/>
                      <w:u w:val="single"/>
                      <w:vertAlign w:val="superscript"/>
                    </w:rPr>
                    <w:t>3</w:t>
                  </w:r>
                </w:p>
              </w:tc>
              <w:tc>
                <w:tcPr>
                  <w:tcW w:w="492" w:type="pct"/>
                  <w:vMerge w:val="continue"/>
                  <w:vAlign w:val="center"/>
                </w:tcPr>
                <w:p w14:paraId="21F39FDB">
                  <w:pPr>
                    <w:pStyle w:val="154"/>
                    <w:widowControl w:val="0"/>
                    <w:rPr>
                      <w:b/>
                      <w:sz w:val="21"/>
                      <w:szCs w:val="21"/>
                      <w:u w:val="single"/>
                    </w:rPr>
                  </w:pPr>
                </w:p>
              </w:tc>
            </w:tr>
            <w:tr w14:paraId="13748E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Align w:val="center"/>
                </w:tcPr>
                <w:p w14:paraId="63598DF0">
                  <w:pPr>
                    <w:pStyle w:val="154"/>
                    <w:rPr>
                      <w:b/>
                      <w:sz w:val="21"/>
                      <w:szCs w:val="21"/>
                      <w:u w:val="single"/>
                    </w:rPr>
                  </w:pPr>
                  <w:r>
                    <w:rPr>
                      <w:rFonts w:hint="eastAsia"/>
                      <w:b/>
                      <w:sz w:val="21"/>
                      <w:szCs w:val="21"/>
                      <w:u w:val="single"/>
                    </w:rPr>
                    <w:t>聚氨酯工艺生产线</w:t>
                  </w:r>
                </w:p>
              </w:tc>
              <w:tc>
                <w:tcPr>
                  <w:tcW w:w="379" w:type="pct"/>
                  <w:vAlign w:val="center"/>
                </w:tcPr>
                <w:p w14:paraId="3E1FDBDE">
                  <w:pPr>
                    <w:pStyle w:val="154"/>
                    <w:rPr>
                      <w:b/>
                      <w:sz w:val="21"/>
                      <w:szCs w:val="21"/>
                      <w:u w:val="single"/>
                    </w:rPr>
                  </w:pPr>
                  <w:r>
                    <w:rPr>
                      <w:rFonts w:hint="eastAsia"/>
                      <w:b/>
                      <w:sz w:val="21"/>
                      <w:szCs w:val="21"/>
                      <w:u w:val="single"/>
                    </w:rPr>
                    <w:t>混合搅拌、中转、喷脱模剂、浇注、烘干</w:t>
                  </w:r>
                </w:p>
              </w:tc>
              <w:tc>
                <w:tcPr>
                  <w:tcW w:w="379" w:type="pct"/>
                  <w:vAlign w:val="center"/>
                </w:tcPr>
                <w:p w14:paraId="2E80AFE2">
                  <w:pPr>
                    <w:pStyle w:val="154"/>
                    <w:rPr>
                      <w:b/>
                      <w:sz w:val="21"/>
                      <w:szCs w:val="21"/>
                      <w:u w:val="single"/>
                    </w:rPr>
                  </w:pPr>
                  <w:r>
                    <w:rPr>
                      <w:rFonts w:hint="eastAsia"/>
                      <w:b/>
                      <w:sz w:val="21"/>
                      <w:szCs w:val="21"/>
                      <w:u w:val="single"/>
                    </w:rPr>
                    <w:t>非甲烷总烃</w:t>
                  </w:r>
                </w:p>
              </w:tc>
              <w:tc>
                <w:tcPr>
                  <w:tcW w:w="322" w:type="pct"/>
                  <w:vAlign w:val="center"/>
                </w:tcPr>
                <w:p w14:paraId="0708B315">
                  <w:pPr>
                    <w:pStyle w:val="154"/>
                    <w:rPr>
                      <w:b/>
                      <w:sz w:val="21"/>
                      <w:szCs w:val="21"/>
                      <w:u w:val="single"/>
                    </w:rPr>
                  </w:pPr>
                  <w:r>
                    <w:rPr>
                      <w:rFonts w:hint="eastAsia"/>
                      <w:b/>
                      <w:sz w:val="21"/>
                      <w:szCs w:val="21"/>
                      <w:u w:val="single"/>
                    </w:rPr>
                    <w:t>有组织</w:t>
                  </w:r>
                </w:p>
              </w:tc>
              <w:tc>
                <w:tcPr>
                  <w:tcW w:w="740" w:type="pct"/>
                  <w:vAlign w:val="center"/>
                </w:tcPr>
                <w:p w14:paraId="111422C0">
                  <w:pPr>
                    <w:pStyle w:val="154"/>
                    <w:rPr>
                      <w:b/>
                      <w:sz w:val="21"/>
                      <w:szCs w:val="21"/>
                      <w:u w:val="single"/>
                    </w:rPr>
                  </w:pPr>
                  <w:r>
                    <w:rPr>
                      <w:rFonts w:hint="eastAsia"/>
                      <w:b/>
                      <w:sz w:val="21"/>
                      <w:szCs w:val="21"/>
                      <w:u w:val="single"/>
                    </w:rPr>
                    <w:t>产生量</w:t>
                  </w:r>
                  <w:r>
                    <w:rPr>
                      <w:b/>
                      <w:sz w:val="21"/>
                      <w:szCs w:val="21"/>
                      <w:u w:val="single"/>
                    </w:rPr>
                    <w:t>:0.</w:t>
                  </w:r>
                  <w:r>
                    <w:rPr>
                      <w:rFonts w:hint="eastAsia"/>
                      <w:b/>
                      <w:sz w:val="21"/>
                      <w:szCs w:val="21"/>
                      <w:u w:val="single"/>
                    </w:rPr>
                    <w:t>2849</w:t>
                  </w:r>
                  <w:r>
                    <w:rPr>
                      <w:b/>
                      <w:sz w:val="21"/>
                      <w:szCs w:val="21"/>
                      <w:u w:val="single"/>
                    </w:rPr>
                    <w:t>t/a</w:t>
                  </w:r>
                </w:p>
                <w:p w14:paraId="54EA0A12">
                  <w:pPr>
                    <w:pStyle w:val="154"/>
                    <w:rPr>
                      <w:b/>
                      <w:sz w:val="21"/>
                      <w:szCs w:val="21"/>
                      <w:u w:val="single"/>
                    </w:rPr>
                  </w:pPr>
                  <w:r>
                    <w:rPr>
                      <w:rFonts w:hint="eastAsia"/>
                      <w:b/>
                      <w:sz w:val="21"/>
                      <w:szCs w:val="21"/>
                      <w:u w:val="single"/>
                    </w:rPr>
                    <w:t>速率</w:t>
                  </w:r>
                  <w:r>
                    <w:rPr>
                      <w:b/>
                      <w:sz w:val="21"/>
                      <w:szCs w:val="21"/>
                      <w:u w:val="single"/>
                    </w:rPr>
                    <w:t>:0.</w:t>
                  </w:r>
                  <w:r>
                    <w:rPr>
                      <w:rFonts w:hint="eastAsia"/>
                      <w:b/>
                      <w:sz w:val="21"/>
                      <w:szCs w:val="21"/>
                      <w:u w:val="single"/>
                    </w:rPr>
                    <w:t>119</w:t>
                  </w:r>
                  <w:r>
                    <w:rPr>
                      <w:b/>
                      <w:sz w:val="21"/>
                      <w:szCs w:val="21"/>
                      <w:u w:val="single"/>
                    </w:rPr>
                    <w:t>kg/h</w:t>
                  </w:r>
                </w:p>
                <w:p w14:paraId="2A876B11">
                  <w:pPr>
                    <w:pStyle w:val="154"/>
                    <w:rPr>
                      <w:b/>
                      <w:sz w:val="21"/>
                      <w:szCs w:val="21"/>
                      <w:u w:val="single"/>
                    </w:rPr>
                  </w:pPr>
                  <w:r>
                    <w:rPr>
                      <w:rFonts w:hint="eastAsia"/>
                      <w:b/>
                      <w:sz w:val="21"/>
                      <w:szCs w:val="21"/>
                      <w:u w:val="single"/>
                    </w:rPr>
                    <w:t>浓度</w:t>
                  </w:r>
                  <w:r>
                    <w:rPr>
                      <w:b/>
                      <w:sz w:val="21"/>
                      <w:szCs w:val="21"/>
                      <w:u w:val="single"/>
                    </w:rPr>
                    <w:t>:</w:t>
                  </w:r>
                  <w:r>
                    <w:rPr>
                      <w:rFonts w:hint="eastAsia"/>
                      <w:b/>
                      <w:sz w:val="21"/>
                      <w:szCs w:val="21"/>
                      <w:u w:val="single"/>
                    </w:rPr>
                    <w:t>9.91</w:t>
                  </w:r>
                  <w:r>
                    <w:rPr>
                      <w:b/>
                      <w:sz w:val="21"/>
                      <w:szCs w:val="21"/>
                      <w:u w:val="single"/>
                    </w:rPr>
                    <w:t>mg/m</w:t>
                  </w:r>
                  <w:r>
                    <w:rPr>
                      <w:b/>
                      <w:sz w:val="21"/>
                      <w:szCs w:val="21"/>
                      <w:u w:val="single"/>
                      <w:vertAlign w:val="superscript"/>
                    </w:rPr>
                    <w:t>3</w:t>
                  </w:r>
                </w:p>
              </w:tc>
              <w:tc>
                <w:tcPr>
                  <w:tcW w:w="770" w:type="pct"/>
                  <w:vMerge w:val="continue"/>
                  <w:vAlign w:val="center"/>
                </w:tcPr>
                <w:p w14:paraId="61BBEE8D">
                  <w:pPr>
                    <w:pStyle w:val="154"/>
                    <w:rPr>
                      <w:b/>
                      <w:sz w:val="21"/>
                      <w:szCs w:val="21"/>
                      <w:u w:val="single"/>
                    </w:rPr>
                  </w:pPr>
                </w:p>
              </w:tc>
              <w:tc>
                <w:tcPr>
                  <w:tcW w:w="1586" w:type="pct"/>
                  <w:vMerge w:val="continue"/>
                  <w:vAlign w:val="center"/>
                </w:tcPr>
                <w:p w14:paraId="58E664DB">
                  <w:pPr>
                    <w:pStyle w:val="154"/>
                    <w:rPr>
                      <w:b/>
                      <w:sz w:val="21"/>
                      <w:szCs w:val="21"/>
                      <w:u w:val="single"/>
                    </w:rPr>
                  </w:pPr>
                </w:p>
              </w:tc>
              <w:tc>
                <w:tcPr>
                  <w:tcW w:w="492" w:type="pct"/>
                  <w:vMerge w:val="continue"/>
                  <w:vAlign w:val="center"/>
                </w:tcPr>
                <w:p w14:paraId="5E2DAFF2">
                  <w:pPr>
                    <w:pStyle w:val="154"/>
                    <w:widowControl w:val="0"/>
                    <w:rPr>
                      <w:b/>
                      <w:sz w:val="21"/>
                      <w:szCs w:val="21"/>
                      <w:u w:val="single"/>
                    </w:rPr>
                  </w:pPr>
                </w:p>
              </w:tc>
            </w:tr>
            <w:tr w14:paraId="057AAA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Align w:val="center"/>
                </w:tcPr>
                <w:p w14:paraId="6F7706FC">
                  <w:pPr>
                    <w:pStyle w:val="154"/>
                    <w:rPr>
                      <w:b/>
                      <w:sz w:val="21"/>
                      <w:szCs w:val="21"/>
                      <w:u w:val="single"/>
                    </w:rPr>
                  </w:pPr>
                  <w:r>
                    <w:rPr>
                      <w:rFonts w:hint="eastAsia"/>
                      <w:b/>
                      <w:sz w:val="21"/>
                      <w:szCs w:val="21"/>
                      <w:u w:val="single"/>
                    </w:rPr>
                    <w:t>鞋帮加工</w:t>
                  </w:r>
                </w:p>
              </w:tc>
              <w:tc>
                <w:tcPr>
                  <w:tcW w:w="379" w:type="pct"/>
                  <w:vAlign w:val="center"/>
                </w:tcPr>
                <w:p w14:paraId="749B0FA7">
                  <w:pPr>
                    <w:pStyle w:val="154"/>
                    <w:rPr>
                      <w:b/>
                      <w:sz w:val="21"/>
                      <w:szCs w:val="21"/>
                      <w:u w:val="single"/>
                    </w:rPr>
                  </w:pPr>
                  <w:r>
                    <w:rPr>
                      <w:rFonts w:hint="eastAsia"/>
                      <w:b/>
                      <w:sz w:val="21"/>
                      <w:szCs w:val="21"/>
                      <w:u w:val="single"/>
                    </w:rPr>
                    <w:t>激光切割</w:t>
                  </w:r>
                </w:p>
              </w:tc>
              <w:tc>
                <w:tcPr>
                  <w:tcW w:w="379" w:type="pct"/>
                  <w:vAlign w:val="center"/>
                </w:tcPr>
                <w:p w14:paraId="6F666CD4">
                  <w:pPr>
                    <w:pStyle w:val="154"/>
                    <w:rPr>
                      <w:b/>
                      <w:sz w:val="21"/>
                      <w:szCs w:val="21"/>
                      <w:u w:val="single"/>
                    </w:rPr>
                  </w:pPr>
                  <w:r>
                    <w:rPr>
                      <w:rFonts w:hint="eastAsia"/>
                      <w:b/>
                      <w:sz w:val="21"/>
                      <w:szCs w:val="21"/>
                      <w:u w:val="single"/>
                    </w:rPr>
                    <w:t>非甲烷总烃</w:t>
                  </w:r>
                </w:p>
              </w:tc>
              <w:tc>
                <w:tcPr>
                  <w:tcW w:w="322" w:type="pct"/>
                  <w:vAlign w:val="center"/>
                </w:tcPr>
                <w:p w14:paraId="7C223FB8">
                  <w:pPr>
                    <w:pStyle w:val="154"/>
                    <w:rPr>
                      <w:b/>
                      <w:sz w:val="21"/>
                      <w:szCs w:val="21"/>
                      <w:u w:val="single"/>
                    </w:rPr>
                  </w:pPr>
                  <w:r>
                    <w:rPr>
                      <w:rFonts w:hint="eastAsia"/>
                      <w:b/>
                      <w:sz w:val="21"/>
                      <w:szCs w:val="21"/>
                      <w:u w:val="single"/>
                    </w:rPr>
                    <w:t>有组织</w:t>
                  </w:r>
                </w:p>
              </w:tc>
              <w:tc>
                <w:tcPr>
                  <w:tcW w:w="740" w:type="pct"/>
                  <w:vAlign w:val="center"/>
                </w:tcPr>
                <w:p w14:paraId="7C5EC967">
                  <w:pPr>
                    <w:pStyle w:val="154"/>
                    <w:rPr>
                      <w:b/>
                      <w:sz w:val="21"/>
                      <w:szCs w:val="21"/>
                      <w:u w:val="single"/>
                    </w:rPr>
                  </w:pPr>
                  <w:r>
                    <w:rPr>
                      <w:rFonts w:hint="eastAsia"/>
                      <w:b/>
                      <w:sz w:val="21"/>
                      <w:szCs w:val="21"/>
                      <w:u w:val="single"/>
                    </w:rPr>
                    <w:t>产生量</w:t>
                  </w:r>
                  <w:r>
                    <w:rPr>
                      <w:b/>
                      <w:sz w:val="21"/>
                      <w:szCs w:val="21"/>
                      <w:u w:val="single"/>
                    </w:rPr>
                    <w:t>:0.</w:t>
                  </w:r>
                  <w:r>
                    <w:rPr>
                      <w:rFonts w:hint="eastAsia"/>
                      <w:b/>
                      <w:sz w:val="21"/>
                      <w:szCs w:val="21"/>
                      <w:u w:val="single"/>
                    </w:rPr>
                    <w:t>3015</w:t>
                  </w:r>
                  <w:r>
                    <w:rPr>
                      <w:b/>
                      <w:sz w:val="21"/>
                      <w:szCs w:val="21"/>
                      <w:u w:val="single"/>
                    </w:rPr>
                    <w:t>t/a</w:t>
                  </w:r>
                </w:p>
                <w:p w14:paraId="70BB0154">
                  <w:pPr>
                    <w:pStyle w:val="154"/>
                    <w:rPr>
                      <w:b/>
                      <w:sz w:val="21"/>
                      <w:szCs w:val="21"/>
                      <w:u w:val="single"/>
                    </w:rPr>
                  </w:pPr>
                  <w:r>
                    <w:rPr>
                      <w:rFonts w:hint="eastAsia"/>
                      <w:b/>
                      <w:sz w:val="21"/>
                      <w:szCs w:val="21"/>
                      <w:u w:val="single"/>
                    </w:rPr>
                    <w:t>速率</w:t>
                  </w:r>
                  <w:r>
                    <w:rPr>
                      <w:b/>
                      <w:sz w:val="21"/>
                      <w:szCs w:val="21"/>
                      <w:u w:val="single"/>
                    </w:rPr>
                    <w:t>:0.</w:t>
                  </w:r>
                  <w:r>
                    <w:rPr>
                      <w:rFonts w:hint="eastAsia"/>
                      <w:b/>
                      <w:sz w:val="21"/>
                      <w:szCs w:val="21"/>
                      <w:u w:val="single"/>
                    </w:rPr>
                    <w:t>126</w:t>
                  </w:r>
                  <w:r>
                    <w:rPr>
                      <w:b/>
                      <w:sz w:val="21"/>
                      <w:szCs w:val="21"/>
                      <w:u w:val="single"/>
                    </w:rPr>
                    <w:t>kg/h</w:t>
                  </w:r>
                </w:p>
                <w:p w14:paraId="7346FBB4">
                  <w:pPr>
                    <w:pStyle w:val="154"/>
                    <w:rPr>
                      <w:b/>
                      <w:sz w:val="21"/>
                      <w:szCs w:val="21"/>
                      <w:u w:val="single"/>
                    </w:rPr>
                  </w:pPr>
                  <w:r>
                    <w:rPr>
                      <w:rFonts w:hint="eastAsia"/>
                      <w:b/>
                      <w:sz w:val="21"/>
                      <w:szCs w:val="21"/>
                      <w:u w:val="single"/>
                    </w:rPr>
                    <w:t>浓度</w:t>
                  </w:r>
                  <w:r>
                    <w:rPr>
                      <w:b/>
                      <w:sz w:val="21"/>
                      <w:szCs w:val="21"/>
                      <w:u w:val="single"/>
                    </w:rPr>
                    <w:t>:</w:t>
                  </w:r>
                  <w:r>
                    <w:rPr>
                      <w:rFonts w:hint="eastAsia"/>
                      <w:b/>
                      <w:sz w:val="21"/>
                      <w:szCs w:val="21"/>
                      <w:u w:val="single"/>
                    </w:rPr>
                    <w:t>21.00</w:t>
                  </w:r>
                  <w:r>
                    <w:rPr>
                      <w:b/>
                      <w:sz w:val="21"/>
                      <w:szCs w:val="21"/>
                      <w:u w:val="single"/>
                    </w:rPr>
                    <w:t>mg/m</w:t>
                  </w:r>
                  <w:r>
                    <w:rPr>
                      <w:b/>
                      <w:sz w:val="21"/>
                      <w:szCs w:val="21"/>
                      <w:u w:val="single"/>
                      <w:vertAlign w:val="superscript"/>
                    </w:rPr>
                    <w:t>3</w:t>
                  </w:r>
                </w:p>
              </w:tc>
              <w:tc>
                <w:tcPr>
                  <w:tcW w:w="770" w:type="pct"/>
                  <w:vMerge w:val="continue"/>
                  <w:vAlign w:val="center"/>
                </w:tcPr>
                <w:p w14:paraId="39B91B8A">
                  <w:pPr>
                    <w:pStyle w:val="154"/>
                    <w:rPr>
                      <w:b/>
                      <w:sz w:val="21"/>
                      <w:szCs w:val="21"/>
                      <w:u w:val="single"/>
                    </w:rPr>
                  </w:pPr>
                </w:p>
              </w:tc>
              <w:tc>
                <w:tcPr>
                  <w:tcW w:w="1586" w:type="pct"/>
                  <w:vMerge w:val="continue"/>
                  <w:vAlign w:val="center"/>
                </w:tcPr>
                <w:p w14:paraId="504ADECF">
                  <w:pPr>
                    <w:pStyle w:val="154"/>
                    <w:rPr>
                      <w:b/>
                      <w:sz w:val="21"/>
                      <w:szCs w:val="21"/>
                      <w:u w:val="single"/>
                    </w:rPr>
                  </w:pPr>
                </w:p>
              </w:tc>
              <w:tc>
                <w:tcPr>
                  <w:tcW w:w="492" w:type="pct"/>
                  <w:vMerge w:val="continue"/>
                  <w:vAlign w:val="center"/>
                </w:tcPr>
                <w:p w14:paraId="4C4210E9">
                  <w:pPr>
                    <w:pStyle w:val="154"/>
                    <w:widowControl w:val="0"/>
                    <w:rPr>
                      <w:b/>
                      <w:sz w:val="21"/>
                      <w:szCs w:val="21"/>
                      <w:u w:val="single"/>
                    </w:rPr>
                  </w:pPr>
                </w:p>
              </w:tc>
            </w:tr>
            <w:tr w14:paraId="42597B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Merge w:val="restart"/>
                  <w:vAlign w:val="center"/>
                </w:tcPr>
                <w:p w14:paraId="0EAE3EB3">
                  <w:pPr>
                    <w:pStyle w:val="154"/>
                    <w:rPr>
                      <w:b/>
                      <w:sz w:val="21"/>
                      <w:szCs w:val="21"/>
                      <w:u w:val="single"/>
                    </w:rPr>
                  </w:pPr>
                  <w:r>
                    <w:rPr>
                      <w:rFonts w:hint="eastAsia"/>
                      <w:b/>
                      <w:sz w:val="21"/>
                      <w:szCs w:val="21"/>
                      <w:u w:val="single"/>
                    </w:rPr>
                    <w:t>生产车间</w:t>
                  </w:r>
                </w:p>
              </w:tc>
              <w:tc>
                <w:tcPr>
                  <w:tcW w:w="379" w:type="pct"/>
                  <w:vMerge w:val="restart"/>
                  <w:vAlign w:val="center"/>
                </w:tcPr>
                <w:p w14:paraId="48DD4C64">
                  <w:pPr>
                    <w:pStyle w:val="154"/>
                    <w:rPr>
                      <w:b/>
                      <w:sz w:val="21"/>
                      <w:szCs w:val="21"/>
                      <w:u w:val="single"/>
                    </w:rPr>
                  </w:pPr>
                  <w:r>
                    <w:rPr>
                      <w:rFonts w:hint="eastAsia"/>
                      <w:b/>
                      <w:sz w:val="21"/>
                      <w:szCs w:val="21"/>
                      <w:u w:val="single"/>
                    </w:rPr>
                    <w:t>生产加工</w:t>
                  </w:r>
                </w:p>
              </w:tc>
              <w:tc>
                <w:tcPr>
                  <w:tcW w:w="379" w:type="pct"/>
                  <w:vAlign w:val="center"/>
                </w:tcPr>
                <w:p w14:paraId="5193BB95">
                  <w:pPr>
                    <w:pStyle w:val="154"/>
                    <w:rPr>
                      <w:b/>
                      <w:sz w:val="21"/>
                      <w:szCs w:val="21"/>
                      <w:u w:val="single"/>
                    </w:rPr>
                  </w:pPr>
                  <w:r>
                    <w:rPr>
                      <w:rFonts w:hint="eastAsia"/>
                      <w:b/>
                      <w:sz w:val="21"/>
                      <w:szCs w:val="21"/>
                      <w:u w:val="single"/>
                    </w:rPr>
                    <w:t>非甲烷总烃</w:t>
                  </w:r>
                </w:p>
              </w:tc>
              <w:tc>
                <w:tcPr>
                  <w:tcW w:w="322" w:type="pct"/>
                  <w:vMerge w:val="restart"/>
                  <w:vAlign w:val="center"/>
                </w:tcPr>
                <w:p w14:paraId="22328112">
                  <w:pPr>
                    <w:pStyle w:val="154"/>
                    <w:rPr>
                      <w:b/>
                      <w:sz w:val="21"/>
                      <w:szCs w:val="21"/>
                      <w:u w:val="single"/>
                    </w:rPr>
                  </w:pPr>
                  <w:r>
                    <w:rPr>
                      <w:rFonts w:hint="eastAsia"/>
                      <w:b/>
                      <w:sz w:val="21"/>
                      <w:szCs w:val="21"/>
                      <w:u w:val="single"/>
                    </w:rPr>
                    <w:t>无组织</w:t>
                  </w:r>
                </w:p>
              </w:tc>
              <w:tc>
                <w:tcPr>
                  <w:tcW w:w="740" w:type="pct"/>
                  <w:vAlign w:val="center"/>
                </w:tcPr>
                <w:p w14:paraId="6A691A23">
                  <w:pPr>
                    <w:pStyle w:val="154"/>
                    <w:rPr>
                      <w:b/>
                      <w:sz w:val="21"/>
                      <w:szCs w:val="21"/>
                      <w:u w:val="single"/>
                    </w:rPr>
                  </w:pPr>
                  <w:r>
                    <w:rPr>
                      <w:b/>
                      <w:sz w:val="21"/>
                      <w:szCs w:val="21"/>
                      <w:u w:val="single"/>
                    </w:rPr>
                    <w:t>0.</w:t>
                  </w:r>
                  <w:r>
                    <w:rPr>
                      <w:rFonts w:hint="eastAsia"/>
                      <w:b/>
                      <w:sz w:val="21"/>
                      <w:szCs w:val="21"/>
                      <w:u w:val="single"/>
                    </w:rPr>
                    <w:t>0841/</w:t>
                  </w:r>
                  <w:r>
                    <w:rPr>
                      <w:b/>
                      <w:sz w:val="21"/>
                      <w:szCs w:val="21"/>
                      <w:u w:val="single"/>
                    </w:rPr>
                    <w:t>t/a</w:t>
                  </w:r>
                </w:p>
              </w:tc>
              <w:tc>
                <w:tcPr>
                  <w:tcW w:w="770" w:type="pct"/>
                  <w:vMerge w:val="restart"/>
                  <w:vAlign w:val="center"/>
                </w:tcPr>
                <w:p w14:paraId="18D370FA">
                  <w:pPr>
                    <w:pStyle w:val="154"/>
                    <w:rPr>
                      <w:b/>
                      <w:sz w:val="21"/>
                      <w:szCs w:val="21"/>
                      <w:u w:val="single"/>
                    </w:rPr>
                  </w:pPr>
                  <w:r>
                    <w:rPr>
                      <w:rFonts w:hint="eastAsia"/>
                      <w:b/>
                      <w:sz w:val="21"/>
                      <w:szCs w:val="21"/>
                      <w:u w:val="single"/>
                    </w:rPr>
                    <w:t>车间密闭</w:t>
                  </w:r>
                </w:p>
              </w:tc>
              <w:tc>
                <w:tcPr>
                  <w:tcW w:w="1586" w:type="pct"/>
                  <w:vAlign w:val="center"/>
                </w:tcPr>
                <w:p w14:paraId="17207C1C">
                  <w:pPr>
                    <w:pStyle w:val="154"/>
                    <w:rPr>
                      <w:b/>
                      <w:sz w:val="21"/>
                      <w:szCs w:val="21"/>
                      <w:u w:val="single"/>
                    </w:rPr>
                  </w:pPr>
                  <w:r>
                    <w:rPr>
                      <w:b/>
                      <w:sz w:val="21"/>
                      <w:szCs w:val="21"/>
                      <w:u w:val="single"/>
                    </w:rPr>
                    <w:t>0.</w:t>
                  </w:r>
                  <w:r>
                    <w:rPr>
                      <w:rFonts w:hint="eastAsia"/>
                      <w:b/>
                      <w:sz w:val="21"/>
                      <w:szCs w:val="21"/>
                      <w:u w:val="single"/>
                    </w:rPr>
                    <w:t>0841</w:t>
                  </w:r>
                  <w:r>
                    <w:rPr>
                      <w:b/>
                      <w:sz w:val="21"/>
                      <w:szCs w:val="21"/>
                      <w:u w:val="single"/>
                    </w:rPr>
                    <w:t>t/a</w:t>
                  </w:r>
                </w:p>
              </w:tc>
              <w:tc>
                <w:tcPr>
                  <w:tcW w:w="492" w:type="pct"/>
                  <w:vMerge w:val="restart"/>
                  <w:vAlign w:val="center"/>
                </w:tcPr>
                <w:p w14:paraId="1EE160E1">
                  <w:pPr>
                    <w:pStyle w:val="154"/>
                    <w:widowControl w:val="0"/>
                    <w:rPr>
                      <w:b/>
                      <w:u w:val="single"/>
                    </w:rPr>
                  </w:pPr>
                  <w:r>
                    <w:rPr>
                      <w:rFonts w:hint="eastAsia"/>
                      <w:b/>
                      <w:u w:val="single"/>
                    </w:rPr>
                    <w:t>/</w:t>
                  </w:r>
                </w:p>
              </w:tc>
            </w:tr>
            <w:tr w14:paraId="34E906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Merge w:val="continue"/>
                  <w:vAlign w:val="center"/>
                </w:tcPr>
                <w:p w14:paraId="3DA2F7A4">
                  <w:pPr>
                    <w:pStyle w:val="154"/>
                    <w:rPr>
                      <w:b/>
                      <w:sz w:val="21"/>
                      <w:szCs w:val="21"/>
                      <w:u w:val="single"/>
                    </w:rPr>
                  </w:pPr>
                </w:p>
              </w:tc>
              <w:tc>
                <w:tcPr>
                  <w:tcW w:w="379" w:type="pct"/>
                  <w:vMerge w:val="continue"/>
                  <w:vAlign w:val="center"/>
                </w:tcPr>
                <w:p w14:paraId="435EE7CD">
                  <w:pPr>
                    <w:pStyle w:val="154"/>
                    <w:rPr>
                      <w:b/>
                      <w:sz w:val="21"/>
                      <w:szCs w:val="21"/>
                      <w:u w:val="single"/>
                    </w:rPr>
                  </w:pPr>
                </w:p>
              </w:tc>
              <w:tc>
                <w:tcPr>
                  <w:tcW w:w="379" w:type="pct"/>
                  <w:vAlign w:val="center"/>
                </w:tcPr>
                <w:p w14:paraId="35B1477C">
                  <w:pPr>
                    <w:pStyle w:val="154"/>
                    <w:rPr>
                      <w:b/>
                      <w:sz w:val="21"/>
                      <w:szCs w:val="21"/>
                      <w:u w:val="single"/>
                    </w:rPr>
                  </w:pPr>
                  <w:r>
                    <w:rPr>
                      <w:b/>
                      <w:sz w:val="21"/>
                      <w:szCs w:val="21"/>
                      <w:u w:val="single"/>
                    </w:rPr>
                    <w:t>氯化氢</w:t>
                  </w:r>
                </w:p>
              </w:tc>
              <w:tc>
                <w:tcPr>
                  <w:tcW w:w="322" w:type="pct"/>
                  <w:vMerge w:val="continue"/>
                  <w:vAlign w:val="center"/>
                </w:tcPr>
                <w:p w14:paraId="268D95B7">
                  <w:pPr>
                    <w:pStyle w:val="154"/>
                    <w:rPr>
                      <w:b/>
                      <w:sz w:val="21"/>
                      <w:szCs w:val="21"/>
                      <w:u w:val="single"/>
                    </w:rPr>
                  </w:pPr>
                </w:p>
              </w:tc>
              <w:tc>
                <w:tcPr>
                  <w:tcW w:w="740" w:type="pct"/>
                  <w:vAlign w:val="center"/>
                </w:tcPr>
                <w:p w14:paraId="7E314FA5">
                  <w:pPr>
                    <w:pStyle w:val="154"/>
                    <w:rPr>
                      <w:b/>
                      <w:sz w:val="21"/>
                      <w:szCs w:val="21"/>
                      <w:u w:val="single"/>
                    </w:rPr>
                  </w:pPr>
                  <w:r>
                    <w:rPr>
                      <w:b/>
                      <w:sz w:val="21"/>
                      <w:szCs w:val="21"/>
                      <w:u w:val="single"/>
                    </w:rPr>
                    <w:t>0.00</w:t>
                  </w:r>
                  <w:r>
                    <w:rPr>
                      <w:rFonts w:hint="eastAsia"/>
                      <w:b/>
                      <w:sz w:val="21"/>
                      <w:szCs w:val="21"/>
                      <w:u w:val="single"/>
                    </w:rPr>
                    <w:t>09</w:t>
                  </w:r>
                  <w:r>
                    <w:rPr>
                      <w:b/>
                      <w:sz w:val="21"/>
                      <w:szCs w:val="21"/>
                      <w:u w:val="single"/>
                    </w:rPr>
                    <w:t>t/a</w:t>
                  </w:r>
                </w:p>
              </w:tc>
              <w:tc>
                <w:tcPr>
                  <w:tcW w:w="770" w:type="pct"/>
                  <w:vMerge w:val="continue"/>
                  <w:vAlign w:val="center"/>
                </w:tcPr>
                <w:p w14:paraId="51667203">
                  <w:pPr>
                    <w:pStyle w:val="154"/>
                    <w:rPr>
                      <w:b/>
                      <w:sz w:val="21"/>
                      <w:szCs w:val="21"/>
                      <w:u w:val="single"/>
                    </w:rPr>
                  </w:pPr>
                </w:p>
              </w:tc>
              <w:tc>
                <w:tcPr>
                  <w:tcW w:w="1586" w:type="pct"/>
                  <w:vAlign w:val="center"/>
                </w:tcPr>
                <w:p w14:paraId="31097524">
                  <w:pPr>
                    <w:pStyle w:val="154"/>
                    <w:rPr>
                      <w:b/>
                      <w:sz w:val="21"/>
                      <w:szCs w:val="21"/>
                      <w:u w:val="single"/>
                    </w:rPr>
                  </w:pPr>
                  <w:r>
                    <w:rPr>
                      <w:b/>
                      <w:sz w:val="21"/>
                      <w:szCs w:val="21"/>
                      <w:u w:val="single"/>
                    </w:rPr>
                    <w:t>0.00</w:t>
                  </w:r>
                  <w:r>
                    <w:rPr>
                      <w:rFonts w:hint="eastAsia"/>
                      <w:b/>
                      <w:sz w:val="21"/>
                      <w:szCs w:val="21"/>
                      <w:u w:val="single"/>
                    </w:rPr>
                    <w:t>09</w:t>
                  </w:r>
                  <w:r>
                    <w:rPr>
                      <w:b/>
                      <w:sz w:val="21"/>
                      <w:szCs w:val="21"/>
                      <w:u w:val="single"/>
                    </w:rPr>
                    <w:t>t/a</w:t>
                  </w:r>
                </w:p>
              </w:tc>
              <w:tc>
                <w:tcPr>
                  <w:tcW w:w="492" w:type="pct"/>
                  <w:vMerge w:val="continue"/>
                  <w:vAlign w:val="center"/>
                </w:tcPr>
                <w:p w14:paraId="0C884148">
                  <w:pPr>
                    <w:pStyle w:val="154"/>
                    <w:widowControl w:val="0"/>
                    <w:rPr>
                      <w:b/>
                      <w:u w:val="single"/>
                    </w:rPr>
                  </w:pPr>
                </w:p>
              </w:tc>
            </w:tr>
            <w:tr w14:paraId="6B206C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332" w:type="pct"/>
                  <w:vMerge w:val="continue"/>
                  <w:vAlign w:val="center"/>
                </w:tcPr>
                <w:p w14:paraId="381D0B67">
                  <w:pPr>
                    <w:pStyle w:val="154"/>
                    <w:rPr>
                      <w:sz w:val="21"/>
                      <w:szCs w:val="21"/>
                    </w:rPr>
                  </w:pPr>
                </w:p>
              </w:tc>
              <w:tc>
                <w:tcPr>
                  <w:tcW w:w="379" w:type="pct"/>
                  <w:vMerge w:val="continue"/>
                  <w:vAlign w:val="center"/>
                </w:tcPr>
                <w:p w14:paraId="13B2316F">
                  <w:pPr>
                    <w:pStyle w:val="154"/>
                    <w:rPr>
                      <w:sz w:val="21"/>
                      <w:szCs w:val="21"/>
                    </w:rPr>
                  </w:pPr>
                </w:p>
              </w:tc>
              <w:tc>
                <w:tcPr>
                  <w:tcW w:w="379" w:type="pct"/>
                  <w:vAlign w:val="center"/>
                </w:tcPr>
                <w:p w14:paraId="1BE6E5A7">
                  <w:pPr>
                    <w:pStyle w:val="154"/>
                    <w:rPr>
                      <w:b/>
                      <w:sz w:val="21"/>
                      <w:szCs w:val="21"/>
                      <w:u w:val="single"/>
                    </w:rPr>
                  </w:pPr>
                  <w:r>
                    <w:rPr>
                      <w:b/>
                      <w:sz w:val="21"/>
                      <w:szCs w:val="21"/>
                      <w:u w:val="single"/>
                    </w:rPr>
                    <w:t>颗粒物</w:t>
                  </w:r>
                </w:p>
              </w:tc>
              <w:tc>
                <w:tcPr>
                  <w:tcW w:w="322" w:type="pct"/>
                  <w:vMerge w:val="continue"/>
                  <w:vAlign w:val="center"/>
                </w:tcPr>
                <w:p w14:paraId="45E455E6">
                  <w:pPr>
                    <w:pStyle w:val="154"/>
                    <w:rPr>
                      <w:b/>
                      <w:sz w:val="21"/>
                      <w:szCs w:val="21"/>
                      <w:u w:val="single"/>
                    </w:rPr>
                  </w:pPr>
                </w:p>
              </w:tc>
              <w:tc>
                <w:tcPr>
                  <w:tcW w:w="740" w:type="pct"/>
                  <w:vAlign w:val="center"/>
                </w:tcPr>
                <w:p w14:paraId="35D5E124">
                  <w:pPr>
                    <w:pStyle w:val="154"/>
                    <w:rPr>
                      <w:b/>
                      <w:sz w:val="21"/>
                      <w:szCs w:val="21"/>
                      <w:u w:val="single"/>
                    </w:rPr>
                  </w:pPr>
                  <w:r>
                    <w:rPr>
                      <w:rFonts w:hint="eastAsia"/>
                      <w:b/>
                      <w:sz w:val="21"/>
                      <w:szCs w:val="21"/>
                      <w:u w:val="single"/>
                    </w:rPr>
                    <w:t>0.5451</w:t>
                  </w:r>
                  <w:r>
                    <w:rPr>
                      <w:b/>
                      <w:sz w:val="21"/>
                      <w:szCs w:val="21"/>
                      <w:u w:val="single"/>
                    </w:rPr>
                    <w:t>t/a</w:t>
                  </w:r>
                </w:p>
              </w:tc>
              <w:tc>
                <w:tcPr>
                  <w:tcW w:w="770" w:type="pct"/>
                  <w:vMerge w:val="continue"/>
                  <w:vAlign w:val="center"/>
                </w:tcPr>
                <w:p w14:paraId="085FBEE2">
                  <w:pPr>
                    <w:pStyle w:val="154"/>
                    <w:rPr>
                      <w:b/>
                      <w:sz w:val="21"/>
                      <w:szCs w:val="21"/>
                      <w:u w:val="single"/>
                    </w:rPr>
                  </w:pPr>
                </w:p>
              </w:tc>
              <w:tc>
                <w:tcPr>
                  <w:tcW w:w="1586" w:type="pct"/>
                  <w:vAlign w:val="center"/>
                </w:tcPr>
                <w:p w14:paraId="46547721">
                  <w:pPr>
                    <w:pStyle w:val="154"/>
                    <w:rPr>
                      <w:b/>
                      <w:sz w:val="21"/>
                      <w:szCs w:val="21"/>
                      <w:u w:val="single"/>
                    </w:rPr>
                  </w:pPr>
                  <w:r>
                    <w:rPr>
                      <w:rFonts w:hint="eastAsia"/>
                      <w:b/>
                      <w:sz w:val="21"/>
                      <w:szCs w:val="21"/>
                      <w:u w:val="single"/>
                    </w:rPr>
                    <w:t>0.5451</w:t>
                  </w:r>
                  <w:r>
                    <w:rPr>
                      <w:b/>
                      <w:sz w:val="21"/>
                      <w:szCs w:val="21"/>
                      <w:u w:val="single"/>
                    </w:rPr>
                    <w:t>t/a</w:t>
                  </w:r>
                </w:p>
              </w:tc>
              <w:tc>
                <w:tcPr>
                  <w:tcW w:w="492" w:type="pct"/>
                  <w:vMerge w:val="continue"/>
                  <w:vAlign w:val="center"/>
                </w:tcPr>
                <w:p w14:paraId="2EB68D41">
                  <w:pPr>
                    <w:pStyle w:val="154"/>
                    <w:rPr>
                      <w:b/>
                      <w:u w:val="single"/>
                    </w:rPr>
                  </w:pPr>
                </w:p>
              </w:tc>
            </w:tr>
          </w:tbl>
          <w:p w14:paraId="3498B8AD">
            <w:pPr>
              <w:pStyle w:val="156"/>
              <w:ind w:firstLine="0" w:firstLineChars="0"/>
            </w:pPr>
          </w:p>
        </w:tc>
      </w:tr>
    </w:tbl>
    <w:p w14:paraId="75314B28">
      <w:pPr>
        <w:sectPr>
          <w:pgSz w:w="16840" w:h="11907" w:orient="landscape"/>
          <w:pgMar w:top="1418" w:right="1588" w:bottom="1418" w:left="1588" w:header="851" w:footer="992" w:gutter="0"/>
          <w:cols w:space="425" w:num="1"/>
          <w:docGrid w:type="lines" w:linePitch="312" w:charSpace="0"/>
        </w:sectPr>
      </w:pPr>
    </w:p>
    <w:tbl>
      <w:tblPr>
        <w:tblStyle w:val="88"/>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079"/>
      </w:tblGrid>
      <w:tr w14:paraId="7D422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449" w:hRule="atLeast"/>
          <w:jc w:val="center"/>
        </w:trPr>
        <w:tc>
          <w:tcPr>
            <w:tcW w:w="9079" w:type="dxa"/>
            <w:tcBorders>
              <w:top w:val="single" w:color="auto" w:sz="4" w:space="0"/>
              <w:left w:val="single" w:color="auto" w:sz="4" w:space="0"/>
            </w:tcBorders>
            <w:tcMar>
              <w:top w:w="0" w:type="dxa"/>
              <w:left w:w="108" w:type="dxa"/>
              <w:bottom w:w="0" w:type="dxa"/>
              <w:right w:w="108" w:type="dxa"/>
            </w:tcMar>
          </w:tcPr>
          <w:p w14:paraId="00EDA8BE">
            <w:pPr>
              <w:pStyle w:val="179"/>
            </w:pPr>
            <w:r>
              <w:rPr>
                <w:rFonts w:hint="eastAsia"/>
              </w:rPr>
              <w:t>1.5 非正常排放</w:t>
            </w:r>
          </w:p>
          <w:p w14:paraId="7B3D077C">
            <w:pPr>
              <w:pStyle w:val="156"/>
              <w:ind w:firstLine="480"/>
            </w:pPr>
            <w:r>
              <w:rPr>
                <w:rFonts w:hint="eastAsia"/>
              </w:rPr>
              <w:t>项目运营期间非正常工况包括生产设备开停车、设备检修、环保设施不正常运行等多种情况，非正常工况下污染物排放情况如下表所示。</w:t>
            </w:r>
          </w:p>
          <w:p w14:paraId="2A8BA92C">
            <w:pPr>
              <w:pStyle w:val="156"/>
              <w:ind w:firstLine="480"/>
              <w:rPr>
                <w:rFonts w:ascii="黑体" w:hAnsi="黑体" w:eastAsia="黑体"/>
              </w:rPr>
            </w:pPr>
            <w:r>
              <w:rPr>
                <w:rFonts w:hint="eastAsia" w:ascii="黑体" w:hAnsi="黑体" w:eastAsia="黑体"/>
              </w:rPr>
              <w:t>表4-9                    非正常排放情况一览表</w:t>
            </w:r>
          </w:p>
          <w:tbl>
            <w:tblPr>
              <w:tblStyle w:val="89"/>
              <w:tblW w:w="8821"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58"/>
              <w:gridCol w:w="993"/>
              <w:gridCol w:w="850"/>
              <w:gridCol w:w="1266"/>
              <w:gridCol w:w="992"/>
              <w:gridCol w:w="992"/>
              <w:gridCol w:w="709"/>
              <w:gridCol w:w="851"/>
              <w:gridCol w:w="1002"/>
              <w:gridCol w:w="708"/>
            </w:tblGrid>
            <w:tr w14:paraId="1BCD05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58" w:type="dxa"/>
                  <w:vAlign w:val="center"/>
                </w:tcPr>
                <w:p w14:paraId="3511AFF1">
                  <w:pPr>
                    <w:pStyle w:val="154"/>
                    <w:rPr>
                      <w:rFonts w:cs="Times New Roman"/>
                      <w:sz w:val="21"/>
                      <w:szCs w:val="21"/>
                    </w:rPr>
                  </w:pPr>
                  <w:r>
                    <w:rPr>
                      <w:rFonts w:cs="Times New Roman"/>
                      <w:sz w:val="21"/>
                      <w:szCs w:val="21"/>
                    </w:rPr>
                    <w:t>序号</w:t>
                  </w:r>
                </w:p>
              </w:tc>
              <w:tc>
                <w:tcPr>
                  <w:tcW w:w="993" w:type="dxa"/>
                  <w:vAlign w:val="center"/>
                </w:tcPr>
                <w:p w14:paraId="04F7CFD3">
                  <w:pPr>
                    <w:pStyle w:val="154"/>
                    <w:rPr>
                      <w:rFonts w:cs="Times New Roman"/>
                      <w:sz w:val="21"/>
                      <w:szCs w:val="21"/>
                    </w:rPr>
                  </w:pPr>
                  <w:r>
                    <w:rPr>
                      <w:rFonts w:cs="Times New Roman"/>
                      <w:sz w:val="21"/>
                      <w:szCs w:val="21"/>
                    </w:rPr>
                    <w:t>非正常排放源</w:t>
                  </w:r>
                </w:p>
              </w:tc>
              <w:tc>
                <w:tcPr>
                  <w:tcW w:w="850" w:type="dxa"/>
                  <w:vAlign w:val="center"/>
                </w:tcPr>
                <w:p w14:paraId="1417C428">
                  <w:pPr>
                    <w:pStyle w:val="154"/>
                    <w:rPr>
                      <w:rFonts w:cs="Times New Roman"/>
                      <w:sz w:val="21"/>
                      <w:szCs w:val="21"/>
                    </w:rPr>
                  </w:pPr>
                  <w:r>
                    <w:rPr>
                      <w:rFonts w:cs="Times New Roman"/>
                      <w:sz w:val="21"/>
                      <w:szCs w:val="21"/>
                    </w:rPr>
                    <w:t>非正常排放原因</w:t>
                  </w:r>
                </w:p>
              </w:tc>
              <w:tc>
                <w:tcPr>
                  <w:tcW w:w="1266" w:type="dxa"/>
                  <w:vAlign w:val="center"/>
                </w:tcPr>
                <w:p w14:paraId="3CC1F09C">
                  <w:pPr>
                    <w:pStyle w:val="154"/>
                    <w:rPr>
                      <w:rFonts w:cs="Times New Roman"/>
                      <w:sz w:val="21"/>
                      <w:szCs w:val="21"/>
                    </w:rPr>
                  </w:pPr>
                  <w:r>
                    <w:rPr>
                      <w:rFonts w:cs="Times New Roman"/>
                      <w:sz w:val="21"/>
                      <w:szCs w:val="21"/>
                    </w:rPr>
                    <w:t>污染物种类</w:t>
                  </w:r>
                </w:p>
              </w:tc>
              <w:tc>
                <w:tcPr>
                  <w:tcW w:w="992" w:type="dxa"/>
                  <w:vAlign w:val="center"/>
                </w:tcPr>
                <w:p w14:paraId="7AE8E0DC">
                  <w:pPr>
                    <w:pStyle w:val="154"/>
                    <w:rPr>
                      <w:rFonts w:cs="Times New Roman"/>
                      <w:sz w:val="21"/>
                      <w:szCs w:val="21"/>
                    </w:rPr>
                  </w:pPr>
                  <w:r>
                    <w:rPr>
                      <w:rFonts w:cs="Times New Roman"/>
                      <w:sz w:val="21"/>
                      <w:szCs w:val="21"/>
                    </w:rPr>
                    <w:t>非正常排放速</w:t>
                  </w:r>
                </w:p>
                <w:p w14:paraId="0C52BD67">
                  <w:pPr>
                    <w:pStyle w:val="154"/>
                    <w:rPr>
                      <w:rFonts w:cs="Times New Roman"/>
                      <w:sz w:val="21"/>
                      <w:szCs w:val="21"/>
                    </w:rPr>
                  </w:pPr>
                  <w:r>
                    <w:rPr>
                      <w:rFonts w:cs="Times New Roman"/>
                      <w:sz w:val="21"/>
                      <w:szCs w:val="21"/>
                    </w:rPr>
                    <w:t>率</w:t>
                  </w:r>
                </w:p>
                <w:p w14:paraId="7770BBF6">
                  <w:pPr>
                    <w:pStyle w:val="154"/>
                    <w:rPr>
                      <w:rFonts w:cs="Times New Roman"/>
                      <w:sz w:val="21"/>
                      <w:szCs w:val="21"/>
                    </w:rPr>
                  </w:pPr>
                  <w:r>
                    <w:rPr>
                      <w:rFonts w:cs="Times New Roman"/>
                      <w:sz w:val="21"/>
                      <w:szCs w:val="21"/>
                    </w:rPr>
                    <w:t>(kg/h)</w:t>
                  </w:r>
                </w:p>
              </w:tc>
              <w:tc>
                <w:tcPr>
                  <w:tcW w:w="992" w:type="dxa"/>
                </w:tcPr>
                <w:p w14:paraId="774D9E1F">
                  <w:pPr>
                    <w:pStyle w:val="154"/>
                    <w:rPr>
                      <w:rFonts w:cs="Times New Roman"/>
                      <w:b/>
                      <w:sz w:val="21"/>
                      <w:szCs w:val="21"/>
                      <w:u w:val="single"/>
                    </w:rPr>
                  </w:pPr>
                  <w:r>
                    <w:rPr>
                      <w:rFonts w:cs="Times New Roman"/>
                      <w:b/>
                      <w:sz w:val="21"/>
                      <w:szCs w:val="21"/>
                      <w:u w:val="single"/>
                    </w:rPr>
                    <w:t>非正常排放浓度</w:t>
                  </w:r>
                </w:p>
                <w:p w14:paraId="2469B9B6">
                  <w:pPr>
                    <w:pStyle w:val="154"/>
                    <w:rPr>
                      <w:rFonts w:cs="Times New Roman"/>
                      <w:b/>
                      <w:sz w:val="21"/>
                      <w:szCs w:val="21"/>
                      <w:u w:val="single"/>
                    </w:rPr>
                  </w:pPr>
                  <w:r>
                    <w:rPr>
                      <w:rFonts w:cs="Times New Roman"/>
                      <w:b/>
                      <w:sz w:val="21"/>
                      <w:szCs w:val="21"/>
                      <w:u w:val="single"/>
                    </w:rPr>
                    <w:t>(mg/m</w:t>
                  </w:r>
                  <w:r>
                    <w:rPr>
                      <w:rFonts w:cs="Times New Roman"/>
                      <w:b/>
                      <w:sz w:val="21"/>
                      <w:szCs w:val="21"/>
                      <w:u w:val="single"/>
                      <w:vertAlign w:val="superscript"/>
                    </w:rPr>
                    <w:t>3</w:t>
                  </w:r>
                  <w:r>
                    <w:rPr>
                      <w:rFonts w:cs="Times New Roman"/>
                      <w:b/>
                      <w:sz w:val="21"/>
                      <w:szCs w:val="21"/>
                      <w:u w:val="single"/>
                    </w:rPr>
                    <w:t>)</w:t>
                  </w:r>
                </w:p>
              </w:tc>
              <w:tc>
                <w:tcPr>
                  <w:tcW w:w="709" w:type="dxa"/>
                  <w:vAlign w:val="center"/>
                </w:tcPr>
                <w:p w14:paraId="2F911528">
                  <w:pPr>
                    <w:pStyle w:val="154"/>
                    <w:rPr>
                      <w:rFonts w:cs="Times New Roman"/>
                      <w:sz w:val="21"/>
                      <w:szCs w:val="21"/>
                    </w:rPr>
                  </w:pPr>
                  <w:r>
                    <w:rPr>
                      <w:rFonts w:cs="Times New Roman"/>
                      <w:sz w:val="21"/>
                      <w:szCs w:val="21"/>
                    </w:rPr>
                    <w:t>单次持续时间</w:t>
                  </w:r>
                </w:p>
              </w:tc>
              <w:tc>
                <w:tcPr>
                  <w:tcW w:w="851" w:type="dxa"/>
                  <w:vAlign w:val="center"/>
                </w:tcPr>
                <w:p w14:paraId="27EA7F4D">
                  <w:pPr>
                    <w:pStyle w:val="154"/>
                    <w:rPr>
                      <w:rFonts w:cs="Times New Roman"/>
                      <w:sz w:val="21"/>
                      <w:szCs w:val="21"/>
                    </w:rPr>
                  </w:pPr>
                  <w:r>
                    <w:rPr>
                      <w:rFonts w:cs="Times New Roman"/>
                      <w:sz w:val="21"/>
                      <w:szCs w:val="21"/>
                    </w:rPr>
                    <w:t>年发生频次（次）</w:t>
                  </w:r>
                </w:p>
              </w:tc>
              <w:tc>
                <w:tcPr>
                  <w:tcW w:w="1002" w:type="dxa"/>
                  <w:vAlign w:val="center"/>
                </w:tcPr>
                <w:p w14:paraId="293E7DF7">
                  <w:pPr>
                    <w:pStyle w:val="154"/>
                    <w:rPr>
                      <w:rFonts w:cs="Times New Roman"/>
                      <w:sz w:val="21"/>
                      <w:szCs w:val="21"/>
                    </w:rPr>
                  </w:pPr>
                  <w:r>
                    <w:rPr>
                      <w:rFonts w:cs="Times New Roman"/>
                      <w:sz w:val="21"/>
                      <w:szCs w:val="21"/>
                    </w:rPr>
                    <w:t>年排放量（kg/a）</w:t>
                  </w:r>
                </w:p>
              </w:tc>
              <w:tc>
                <w:tcPr>
                  <w:tcW w:w="708" w:type="dxa"/>
                  <w:vAlign w:val="center"/>
                </w:tcPr>
                <w:p w14:paraId="6DB2EF0D">
                  <w:pPr>
                    <w:pStyle w:val="154"/>
                    <w:rPr>
                      <w:sz w:val="21"/>
                      <w:szCs w:val="21"/>
                    </w:rPr>
                  </w:pPr>
                  <w:r>
                    <w:rPr>
                      <w:rFonts w:hint="eastAsia"/>
                      <w:sz w:val="21"/>
                      <w:szCs w:val="21"/>
                    </w:rPr>
                    <w:t>应对措施</w:t>
                  </w:r>
                </w:p>
              </w:tc>
            </w:tr>
            <w:tr w14:paraId="11E74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58" w:type="dxa"/>
                  <w:vMerge w:val="restart"/>
                  <w:vAlign w:val="center"/>
                </w:tcPr>
                <w:p w14:paraId="2C106F81">
                  <w:pPr>
                    <w:pStyle w:val="154"/>
                    <w:rPr>
                      <w:rFonts w:cs="Times New Roman"/>
                      <w:sz w:val="21"/>
                      <w:szCs w:val="21"/>
                    </w:rPr>
                  </w:pPr>
                  <w:r>
                    <w:rPr>
                      <w:rFonts w:cs="Times New Roman"/>
                      <w:sz w:val="21"/>
                      <w:szCs w:val="21"/>
                    </w:rPr>
                    <w:t>1</w:t>
                  </w:r>
                </w:p>
              </w:tc>
              <w:tc>
                <w:tcPr>
                  <w:tcW w:w="993" w:type="dxa"/>
                  <w:vMerge w:val="restart"/>
                  <w:vAlign w:val="center"/>
                </w:tcPr>
                <w:p w14:paraId="39D3B433">
                  <w:pPr>
                    <w:pStyle w:val="154"/>
                    <w:rPr>
                      <w:rFonts w:cs="Times New Roman"/>
                      <w:sz w:val="21"/>
                      <w:szCs w:val="21"/>
                    </w:rPr>
                  </w:pPr>
                  <w:r>
                    <w:rPr>
                      <w:rFonts w:hint="eastAsia" w:cs="Times New Roman"/>
                      <w:sz w:val="21"/>
                      <w:szCs w:val="21"/>
                    </w:rPr>
                    <w:t>注塑生产线废气</w:t>
                  </w:r>
                </w:p>
              </w:tc>
              <w:tc>
                <w:tcPr>
                  <w:tcW w:w="850" w:type="dxa"/>
                  <w:vMerge w:val="restart"/>
                  <w:vAlign w:val="center"/>
                </w:tcPr>
                <w:p w14:paraId="6CE00600">
                  <w:pPr>
                    <w:pStyle w:val="154"/>
                    <w:rPr>
                      <w:rFonts w:cs="Times New Roman"/>
                      <w:sz w:val="21"/>
                      <w:szCs w:val="21"/>
                    </w:rPr>
                  </w:pPr>
                  <w:r>
                    <w:rPr>
                      <w:rFonts w:cs="Times New Roman"/>
                      <w:sz w:val="21"/>
                      <w:szCs w:val="21"/>
                    </w:rPr>
                    <w:t>废气治理设施失效</w:t>
                  </w:r>
                </w:p>
              </w:tc>
              <w:tc>
                <w:tcPr>
                  <w:tcW w:w="1266" w:type="dxa"/>
                </w:tcPr>
                <w:p w14:paraId="39A9FB1A">
                  <w:pPr>
                    <w:pStyle w:val="154"/>
                    <w:rPr>
                      <w:rFonts w:cs="Times New Roman"/>
                      <w:sz w:val="21"/>
                      <w:szCs w:val="21"/>
                    </w:rPr>
                  </w:pPr>
                  <w:r>
                    <w:rPr>
                      <w:rFonts w:cs="Times New Roman"/>
                      <w:sz w:val="21"/>
                      <w:szCs w:val="21"/>
                    </w:rPr>
                    <w:t>颗粒物</w:t>
                  </w:r>
                </w:p>
              </w:tc>
              <w:tc>
                <w:tcPr>
                  <w:tcW w:w="992" w:type="dxa"/>
                  <w:vAlign w:val="center"/>
                </w:tcPr>
                <w:p w14:paraId="4F6A5FCC">
                  <w:pPr>
                    <w:pStyle w:val="154"/>
                    <w:rPr>
                      <w:rFonts w:cs="Times New Roman"/>
                      <w:sz w:val="21"/>
                      <w:szCs w:val="21"/>
                    </w:rPr>
                  </w:pPr>
                  <w:r>
                    <w:rPr>
                      <w:rFonts w:hint="eastAsia" w:cs="Times New Roman"/>
                      <w:sz w:val="21"/>
                      <w:szCs w:val="21"/>
                    </w:rPr>
                    <w:t>5.451</w:t>
                  </w:r>
                </w:p>
              </w:tc>
              <w:tc>
                <w:tcPr>
                  <w:tcW w:w="992" w:type="dxa"/>
                  <w:vAlign w:val="center"/>
                </w:tcPr>
                <w:p w14:paraId="68FEC15E">
                  <w:pPr>
                    <w:pStyle w:val="154"/>
                    <w:rPr>
                      <w:rFonts w:cs="Times New Roman"/>
                      <w:b/>
                      <w:sz w:val="21"/>
                      <w:szCs w:val="21"/>
                      <w:u w:val="single"/>
                    </w:rPr>
                  </w:pPr>
                  <w:r>
                    <w:rPr>
                      <w:rFonts w:hint="eastAsia" w:cs="Times New Roman"/>
                      <w:b/>
                      <w:sz w:val="21"/>
                      <w:szCs w:val="21"/>
                      <w:u w:val="single"/>
                    </w:rPr>
                    <w:t>605.67</w:t>
                  </w:r>
                </w:p>
              </w:tc>
              <w:tc>
                <w:tcPr>
                  <w:tcW w:w="709" w:type="dxa"/>
                  <w:vMerge w:val="restart"/>
                  <w:vAlign w:val="center"/>
                </w:tcPr>
                <w:p w14:paraId="02374C05">
                  <w:pPr>
                    <w:pStyle w:val="154"/>
                    <w:rPr>
                      <w:rFonts w:cs="Times New Roman"/>
                      <w:sz w:val="21"/>
                      <w:szCs w:val="21"/>
                    </w:rPr>
                  </w:pPr>
                  <w:r>
                    <w:rPr>
                      <w:rFonts w:cs="Times New Roman"/>
                      <w:sz w:val="21"/>
                      <w:szCs w:val="21"/>
                    </w:rPr>
                    <w:t>0.5h</w:t>
                  </w:r>
                </w:p>
              </w:tc>
              <w:tc>
                <w:tcPr>
                  <w:tcW w:w="851" w:type="dxa"/>
                  <w:vMerge w:val="restart"/>
                  <w:vAlign w:val="center"/>
                </w:tcPr>
                <w:p w14:paraId="25776565">
                  <w:pPr>
                    <w:pStyle w:val="154"/>
                    <w:rPr>
                      <w:rFonts w:cs="Times New Roman"/>
                      <w:sz w:val="21"/>
                      <w:szCs w:val="21"/>
                    </w:rPr>
                  </w:pPr>
                  <w:r>
                    <w:rPr>
                      <w:rFonts w:cs="Times New Roman"/>
                      <w:sz w:val="21"/>
                      <w:szCs w:val="21"/>
                    </w:rPr>
                    <w:t>1次</w:t>
                  </w:r>
                </w:p>
              </w:tc>
              <w:tc>
                <w:tcPr>
                  <w:tcW w:w="1002" w:type="dxa"/>
                  <w:vAlign w:val="center"/>
                </w:tcPr>
                <w:p w14:paraId="689AA471">
                  <w:pPr>
                    <w:pStyle w:val="154"/>
                    <w:rPr>
                      <w:rFonts w:cs="Times New Roman"/>
                      <w:sz w:val="21"/>
                      <w:szCs w:val="21"/>
                    </w:rPr>
                  </w:pPr>
                  <w:r>
                    <w:rPr>
                      <w:rFonts w:hint="eastAsia" w:cs="Times New Roman"/>
                      <w:sz w:val="21"/>
                      <w:szCs w:val="21"/>
                    </w:rPr>
                    <w:t>2.7255</w:t>
                  </w:r>
                </w:p>
              </w:tc>
              <w:tc>
                <w:tcPr>
                  <w:tcW w:w="708" w:type="dxa"/>
                  <w:vMerge w:val="restart"/>
                  <w:vAlign w:val="center"/>
                </w:tcPr>
                <w:p w14:paraId="3B53499C">
                  <w:pPr>
                    <w:pStyle w:val="154"/>
                    <w:rPr>
                      <w:sz w:val="21"/>
                      <w:szCs w:val="21"/>
                    </w:rPr>
                  </w:pPr>
                  <w:r>
                    <w:rPr>
                      <w:rFonts w:hint="eastAsia"/>
                      <w:sz w:val="21"/>
                      <w:szCs w:val="21"/>
                    </w:rPr>
                    <w:t>立即停产，维修环保设施</w:t>
                  </w:r>
                </w:p>
              </w:tc>
            </w:tr>
            <w:tr w14:paraId="5C9B1A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458" w:type="dxa"/>
                  <w:vMerge w:val="continue"/>
                  <w:vAlign w:val="center"/>
                </w:tcPr>
                <w:p w14:paraId="175292EB">
                  <w:pPr>
                    <w:pStyle w:val="154"/>
                    <w:rPr>
                      <w:rFonts w:cs="Times New Roman"/>
                      <w:sz w:val="21"/>
                      <w:szCs w:val="21"/>
                    </w:rPr>
                  </w:pPr>
                </w:p>
              </w:tc>
              <w:tc>
                <w:tcPr>
                  <w:tcW w:w="993" w:type="dxa"/>
                  <w:vMerge w:val="continue"/>
                </w:tcPr>
                <w:p w14:paraId="5FC5338D">
                  <w:pPr>
                    <w:pStyle w:val="154"/>
                    <w:rPr>
                      <w:rFonts w:cs="Times New Roman"/>
                      <w:sz w:val="21"/>
                      <w:szCs w:val="21"/>
                    </w:rPr>
                  </w:pPr>
                </w:p>
              </w:tc>
              <w:tc>
                <w:tcPr>
                  <w:tcW w:w="850" w:type="dxa"/>
                  <w:vMerge w:val="continue"/>
                </w:tcPr>
                <w:p w14:paraId="5E4FAD64">
                  <w:pPr>
                    <w:pStyle w:val="154"/>
                    <w:rPr>
                      <w:rFonts w:cs="Times New Roman"/>
                      <w:sz w:val="21"/>
                      <w:szCs w:val="21"/>
                    </w:rPr>
                  </w:pPr>
                </w:p>
              </w:tc>
              <w:tc>
                <w:tcPr>
                  <w:tcW w:w="1266" w:type="dxa"/>
                </w:tcPr>
                <w:p w14:paraId="15852C49">
                  <w:pPr>
                    <w:pStyle w:val="154"/>
                    <w:rPr>
                      <w:rFonts w:cs="Times New Roman"/>
                      <w:sz w:val="21"/>
                      <w:szCs w:val="21"/>
                    </w:rPr>
                  </w:pPr>
                  <w:r>
                    <w:rPr>
                      <w:rFonts w:cs="Times New Roman"/>
                      <w:sz w:val="21"/>
                      <w:szCs w:val="21"/>
                    </w:rPr>
                    <w:t>非甲烷总烃</w:t>
                  </w:r>
                </w:p>
              </w:tc>
              <w:tc>
                <w:tcPr>
                  <w:tcW w:w="992" w:type="dxa"/>
                  <w:vAlign w:val="center"/>
                </w:tcPr>
                <w:p w14:paraId="1D28977A">
                  <w:pPr>
                    <w:pStyle w:val="154"/>
                    <w:rPr>
                      <w:rFonts w:cs="Times New Roman"/>
                      <w:sz w:val="21"/>
                      <w:szCs w:val="21"/>
                    </w:rPr>
                  </w:pPr>
                  <w:r>
                    <w:rPr>
                      <w:rFonts w:cs="Times New Roman"/>
                      <w:sz w:val="21"/>
                      <w:szCs w:val="21"/>
                    </w:rPr>
                    <w:t>0.071</w:t>
                  </w:r>
                </w:p>
              </w:tc>
              <w:tc>
                <w:tcPr>
                  <w:tcW w:w="992" w:type="dxa"/>
                  <w:vAlign w:val="center"/>
                </w:tcPr>
                <w:p w14:paraId="00502EBF">
                  <w:pPr>
                    <w:pStyle w:val="154"/>
                    <w:rPr>
                      <w:rFonts w:cs="Times New Roman"/>
                      <w:b/>
                      <w:sz w:val="21"/>
                      <w:szCs w:val="21"/>
                      <w:u w:val="single"/>
                    </w:rPr>
                  </w:pPr>
                  <w:r>
                    <w:rPr>
                      <w:rFonts w:hint="eastAsia" w:cs="Times New Roman"/>
                      <w:b/>
                      <w:sz w:val="21"/>
                      <w:szCs w:val="21"/>
                      <w:u w:val="single"/>
                    </w:rPr>
                    <w:t>7.89</w:t>
                  </w:r>
                </w:p>
              </w:tc>
              <w:tc>
                <w:tcPr>
                  <w:tcW w:w="709" w:type="dxa"/>
                  <w:vMerge w:val="continue"/>
                  <w:vAlign w:val="center"/>
                </w:tcPr>
                <w:p w14:paraId="1307ADD9">
                  <w:pPr>
                    <w:pStyle w:val="154"/>
                    <w:rPr>
                      <w:rFonts w:cs="Times New Roman"/>
                      <w:sz w:val="21"/>
                      <w:szCs w:val="21"/>
                    </w:rPr>
                  </w:pPr>
                </w:p>
              </w:tc>
              <w:tc>
                <w:tcPr>
                  <w:tcW w:w="851" w:type="dxa"/>
                  <w:vMerge w:val="continue"/>
                  <w:vAlign w:val="center"/>
                </w:tcPr>
                <w:p w14:paraId="0B75F6EA">
                  <w:pPr>
                    <w:pStyle w:val="154"/>
                    <w:rPr>
                      <w:rFonts w:cs="Times New Roman"/>
                      <w:sz w:val="21"/>
                      <w:szCs w:val="21"/>
                    </w:rPr>
                  </w:pPr>
                </w:p>
              </w:tc>
              <w:tc>
                <w:tcPr>
                  <w:tcW w:w="1002" w:type="dxa"/>
                  <w:vAlign w:val="center"/>
                </w:tcPr>
                <w:p w14:paraId="7E57F56E">
                  <w:pPr>
                    <w:pStyle w:val="154"/>
                    <w:rPr>
                      <w:rFonts w:cs="Times New Roman"/>
                      <w:sz w:val="21"/>
                      <w:szCs w:val="21"/>
                    </w:rPr>
                  </w:pPr>
                  <w:r>
                    <w:rPr>
                      <w:rFonts w:cs="Times New Roman"/>
                      <w:sz w:val="21"/>
                      <w:szCs w:val="21"/>
                    </w:rPr>
                    <w:t>0.0355</w:t>
                  </w:r>
                </w:p>
              </w:tc>
              <w:tc>
                <w:tcPr>
                  <w:tcW w:w="708" w:type="dxa"/>
                  <w:vMerge w:val="continue"/>
                </w:tcPr>
                <w:p w14:paraId="1117B571">
                  <w:pPr>
                    <w:pStyle w:val="154"/>
                  </w:pPr>
                </w:p>
              </w:tc>
            </w:tr>
            <w:tr w14:paraId="672251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5" w:hRule="atLeast"/>
              </w:trPr>
              <w:tc>
                <w:tcPr>
                  <w:tcW w:w="458" w:type="dxa"/>
                  <w:vMerge w:val="continue"/>
                  <w:vAlign w:val="center"/>
                </w:tcPr>
                <w:p w14:paraId="23C653F7">
                  <w:pPr>
                    <w:pStyle w:val="154"/>
                    <w:rPr>
                      <w:rFonts w:cs="Times New Roman"/>
                      <w:sz w:val="21"/>
                      <w:szCs w:val="21"/>
                    </w:rPr>
                  </w:pPr>
                </w:p>
              </w:tc>
              <w:tc>
                <w:tcPr>
                  <w:tcW w:w="993" w:type="dxa"/>
                  <w:vMerge w:val="continue"/>
                </w:tcPr>
                <w:p w14:paraId="3EBA35AB">
                  <w:pPr>
                    <w:pStyle w:val="154"/>
                    <w:rPr>
                      <w:rFonts w:cs="Times New Roman"/>
                      <w:sz w:val="21"/>
                      <w:szCs w:val="21"/>
                    </w:rPr>
                  </w:pPr>
                </w:p>
              </w:tc>
              <w:tc>
                <w:tcPr>
                  <w:tcW w:w="850" w:type="dxa"/>
                  <w:vMerge w:val="continue"/>
                </w:tcPr>
                <w:p w14:paraId="730D5572">
                  <w:pPr>
                    <w:pStyle w:val="154"/>
                    <w:rPr>
                      <w:rFonts w:cs="Times New Roman"/>
                      <w:sz w:val="21"/>
                      <w:szCs w:val="21"/>
                    </w:rPr>
                  </w:pPr>
                </w:p>
              </w:tc>
              <w:tc>
                <w:tcPr>
                  <w:tcW w:w="1266" w:type="dxa"/>
                </w:tcPr>
                <w:p w14:paraId="5FEF67FE">
                  <w:pPr>
                    <w:pStyle w:val="154"/>
                    <w:rPr>
                      <w:rFonts w:cs="Times New Roman"/>
                      <w:sz w:val="21"/>
                      <w:szCs w:val="21"/>
                    </w:rPr>
                  </w:pPr>
                  <w:r>
                    <w:rPr>
                      <w:rFonts w:cs="Times New Roman"/>
                      <w:sz w:val="21"/>
                      <w:szCs w:val="21"/>
                    </w:rPr>
                    <w:t>氯化氢</w:t>
                  </w:r>
                </w:p>
              </w:tc>
              <w:tc>
                <w:tcPr>
                  <w:tcW w:w="992" w:type="dxa"/>
                  <w:vAlign w:val="center"/>
                </w:tcPr>
                <w:p w14:paraId="48A28036">
                  <w:pPr>
                    <w:pStyle w:val="154"/>
                    <w:rPr>
                      <w:rFonts w:cs="Times New Roman"/>
                      <w:sz w:val="21"/>
                      <w:szCs w:val="21"/>
                    </w:rPr>
                  </w:pPr>
                  <w:r>
                    <w:rPr>
                      <w:rFonts w:cs="Times New Roman"/>
                      <w:sz w:val="21"/>
                      <w:szCs w:val="21"/>
                    </w:rPr>
                    <w:t>0.003</w:t>
                  </w:r>
                </w:p>
              </w:tc>
              <w:tc>
                <w:tcPr>
                  <w:tcW w:w="992" w:type="dxa"/>
                  <w:vAlign w:val="center"/>
                </w:tcPr>
                <w:p w14:paraId="7935CB74">
                  <w:pPr>
                    <w:pStyle w:val="154"/>
                    <w:rPr>
                      <w:rFonts w:cs="Times New Roman"/>
                      <w:b/>
                      <w:sz w:val="21"/>
                      <w:szCs w:val="21"/>
                      <w:u w:val="single"/>
                    </w:rPr>
                  </w:pPr>
                  <w:r>
                    <w:rPr>
                      <w:rFonts w:cs="Times New Roman"/>
                      <w:b/>
                      <w:sz w:val="21"/>
                      <w:szCs w:val="21"/>
                      <w:u w:val="single"/>
                    </w:rPr>
                    <w:t>0.</w:t>
                  </w:r>
                  <w:r>
                    <w:rPr>
                      <w:rFonts w:hint="eastAsia" w:cs="Times New Roman"/>
                      <w:b/>
                      <w:sz w:val="21"/>
                      <w:szCs w:val="21"/>
                      <w:u w:val="single"/>
                    </w:rPr>
                    <w:t>33</w:t>
                  </w:r>
                </w:p>
              </w:tc>
              <w:tc>
                <w:tcPr>
                  <w:tcW w:w="709" w:type="dxa"/>
                  <w:vMerge w:val="continue"/>
                  <w:vAlign w:val="center"/>
                </w:tcPr>
                <w:p w14:paraId="7DADE747">
                  <w:pPr>
                    <w:pStyle w:val="154"/>
                    <w:rPr>
                      <w:rFonts w:cs="Times New Roman"/>
                      <w:sz w:val="21"/>
                      <w:szCs w:val="21"/>
                    </w:rPr>
                  </w:pPr>
                </w:p>
              </w:tc>
              <w:tc>
                <w:tcPr>
                  <w:tcW w:w="851" w:type="dxa"/>
                  <w:vMerge w:val="continue"/>
                  <w:vAlign w:val="center"/>
                </w:tcPr>
                <w:p w14:paraId="1BA6B51E">
                  <w:pPr>
                    <w:pStyle w:val="154"/>
                    <w:rPr>
                      <w:rFonts w:cs="Times New Roman"/>
                      <w:sz w:val="21"/>
                      <w:szCs w:val="21"/>
                    </w:rPr>
                  </w:pPr>
                </w:p>
              </w:tc>
              <w:tc>
                <w:tcPr>
                  <w:tcW w:w="1002" w:type="dxa"/>
                  <w:vAlign w:val="center"/>
                </w:tcPr>
                <w:p w14:paraId="5C0E89A1">
                  <w:pPr>
                    <w:pStyle w:val="154"/>
                    <w:rPr>
                      <w:rFonts w:cs="Times New Roman"/>
                      <w:sz w:val="21"/>
                      <w:szCs w:val="21"/>
                    </w:rPr>
                  </w:pPr>
                  <w:r>
                    <w:rPr>
                      <w:rFonts w:cs="Times New Roman"/>
                      <w:sz w:val="21"/>
                      <w:szCs w:val="21"/>
                    </w:rPr>
                    <w:t>0.0015</w:t>
                  </w:r>
                </w:p>
              </w:tc>
              <w:tc>
                <w:tcPr>
                  <w:tcW w:w="708" w:type="dxa"/>
                  <w:vMerge w:val="continue"/>
                </w:tcPr>
                <w:p w14:paraId="14B8A637">
                  <w:pPr>
                    <w:pStyle w:val="154"/>
                  </w:pPr>
                </w:p>
              </w:tc>
            </w:tr>
            <w:tr w14:paraId="036918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5" w:hRule="atLeast"/>
              </w:trPr>
              <w:tc>
                <w:tcPr>
                  <w:tcW w:w="458" w:type="dxa"/>
                  <w:vAlign w:val="center"/>
                </w:tcPr>
                <w:p w14:paraId="02D3CAE4">
                  <w:pPr>
                    <w:pStyle w:val="154"/>
                    <w:rPr>
                      <w:rFonts w:cs="Times New Roman"/>
                      <w:sz w:val="21"/>
                      <w:szCs w:val="21"/>
                    </w:rPr>
                  </w:pPr>
                  <w:r>
                    <w:rPr>
                      <w:rFonts w:cs="Times New Roman"/>
                      <w:sz w:val="21"/>
                      <w:szCs w:val="21"/>
                    </w:rPr>
                    <w:t>2</w:t>
                  </w:r>
                </w:p>
              </w:tc>
              <w:tc>
                <w:tcPr>
                  <w:tcW w:w="993" w:type="dxa"/>
                </w:tcPr>
                <w:p w14:paraId="5B616F7C">
                  <w:pPr>
                    <w:pStyle w:val="154"/>
                    <w:textAlignment w:val="center"/>
                    <w:rPr>
                      <w:rFonts w:cs="Times New Roman"/>
                      <w:sz w:val="21"/>
                      <w:szCs w:val="21"/>
                    </w:rPr>
                  </w:pPr>
                  <w:r>
                    <w:rPr>
                      <w:rFonts w:cs="Times New Roman"/>
                      <w:sz w:val="21"/>
                      <w:szCs w:val="21"/>
                    </w:rPr>
                    <w:t>聚氨酯生产线线废气</w:t>
                  </w:r>
                </w:p>
              </w:tc>
              <w:tc>
                <w:tcPr>
                  <w:tcW w:w="850" w:type="dxa"/>
                </w:tcPr>
                <w:p w14:paraId="1405D287">
                  <w:pPr>
                    <w:pStyle w:val="154"/>
                    <w:rPr>
                      <w:rFonts w:cs="Times New Roman"/>
                      <w:sz w:val="21"/>
                      <w:szCs w:val="21"/>
                    </w:rPr>
                  </w:pPr>
                  <w:r>
                    <w:rPr>
                      <w:rFonts w:cs="Times New Roman"/>
                      <w:sz w:val="21"/>
                      <w:szCs w:val="21"/>
                    </w:rPr>
                    <w:t>废气治理设施失效</w:t>
                  </w:r>
                </w:p>
              </w:tc>
              <w:tc>
                <w:tcPr>
                  <w:tcW w:w="1266" w:type="dxa"/>
                </w:tcPr>
                <w:p w14:paraId="4F98A519">
                  <w:pPr>
                    <w:pStyle w:val="154"/>
                    <w:spacing w:beforeLines="50"/>
                    <w:rPr>
                      <w:rFonts w:cs="Times New Roman"/>
                      <w:sz w:val="21"/>
                      <w:szCs w:val="21"/>
                    </w:rPr>
                  </w:pPr>
                  <w:r>
                    <w:rPr>
                      <w:rFonts w:cs="Times New Roman"/>
                      <w:sz w:val="21"/>
                      <w:szCs w:val="21"/>
                    </w:rPr>
                    <w:t>非甲烷</w:t>
                  </w:r>
                </w:p>
                <w:p w14:paraId="6126E9F4">
                  <w:pPr>
                    <w:pStyle w:val="154"/>
                    <w:spacing w:beforeLines="50"/>
                    <w:rPr>
                      <w:rFonts w:cs="Times New Roman"/>
                      <w:sz w:val="21"/>
                      <w:szCs w:val="21"/>
                    </w:rPr>
                  </w:pPr>
                  <w:r>
                    <w:rPr>
                      <w:rFonts w:cs="Times New Roman"/>
                      <w:sz w:val="21"/>
                      <w:szCs w:val="21"/>
                    </w:rPr>
                    <w:t>总烃</w:t>
                  </w:r>
                </w:p>
              </w:tc>
              <w:tc>
                <w:tcPr>
                  <w:tcW w:w="992" w:type="dxa"/>
                  <w:vAlign w:val="center"/>
                </w:tcPr>
                <w:p w14:paraId="0BA1939E">
                  <w:pPr>
                    <w:pStyle w:val="154"/>
                    <w:rPr>
                      <w:rFonts w:cs="Times New Roman"/>
                      <w:sz w:val="21"/>
                      <w:szCs w:val="21"/>
                    </w:rPr>
                  </w:pPr>
                  <w:r>
                    <w:rPr>
                      <w:rFonts w:cs="Times New Roman"/>
                      <w:sz w:val="21"/>
                      <w:szCs w:val="21"/>
                    </w:rPr>
                    <w:t>0.1</w:t>
                  </w:r>
                  <w:r>
                    <w:rPr>
                      <w:rFonts w:hint="eastAsia" w:cs="Times New Roman"/>
                      <w:sz w:val="21"/>
                      <w:szCs w:val="21"/>
                    </w:rPr>
                    <w:t>19</w:t>
                  </w:r>
                </w:p>
              </w:tc>
              <w:tc>
                <w:tcPr>
                  <w:tcW w:w="992" w:type="dxa"/>
                  <w:vAlign w:val="center"/>
                </w:tcPr>
                <w:p w14:paraId="12205C51">
                  <w:pPr>
                    <w:pStyle w:val="154"/>
                    <w:rPr>
                      <w:rFonts w:cs="Times New Roman"/>
                      <w:b/>
                      <w:sz w:val="21"/>
                      <w:szCs w:val="21"/>
                      <w:u w:val="single"/>
                    </w:rPr>
                  </w:pPr>
                  <w:r>
                    <w:rPr>
                      <w:rFonts w:hint="eastAsia" w:cs="Times New Roman"/>
                      <w:b/>
                      <w:sz w:val="21"/>
                      <w:szCs w:val="21"/>
                      <w:u w:val="single"/>
                    </w:rPr>
                    <w:t>9.91</w:t>
                  </w:r>
                </w:p>
              </w:tc>
              <w:tc>
                <w:tcPr>
                  <w:tcW w:w="709" w:type="dxa"/>
                  <w:vAlign w:val="center"/>
                </w:tcPr>
                <w:p w14:paraId="025C80A7">
                  <w:pPr>
                    <w:pStyle w:val="154"/>
                    <w:rPr>
                      <w:rFonts w:cs="Times New Roman"/>
                      <w:sz w:val="21"/>
                      <w:szCs w:val="21"/>
                    </w:rPr>
                  </w:pPr>
                  <w:r>
                    <w:rPr>
                      <w:rFonts w:cs="Times New Roman"/>
                      <w:sz w:val="21"/>
                      <w:szCs w:val="21"/>
                    </w:rPr>
                    <w:t>0.5h</w:t>
                  </w:r>
                </w:p>
              </w:tc>
              <w:tc>
                <w:tcPr>
                  <w:tcW w:w="851" w:type="dxa"/>
                  <w:vAlign w:val="center"/>
                </w:tcPr>
                <w:p w14:paraId="14F644A2">
                  <w:pPr>
                    <w:pStyle w:val="154"/>
                    <w:rPr>
                      <w:rFonts w:cs="Times New Roman"/>
                      <w:sz w:val="21"/>
                      <w:szCs w:val="21"/>
                    </w:rPr>
                  </w:pPr>
                  <w:r>
                    <w:rPr>
                      <w:rFonts w:cs="Times New Roman"/>
                      <w:sz w:val="21"/>
                      <w:szCs w:val="21"/>
                    </w:rPr>
                    <w:t>1次</w:t>
                  </w:r>
                </w:p>
              </w:tc>
              <w:tc>
                <w:tcPr>
                  <w:tcW w:w="1002" w:type="dxa"/>
                  <w:vAlign w:val="center"/>
                </w:tcPr>
                <w:p w14:paraId="0E57EA97">
                  <w:pPr>
                    <w:pStyle w:val="154"/>
                    <w:rPr>
                      <w:rFonts w:cs="Times New Roman"/>
                      <w:sz w:val="21"/>
                      <w:szCs w:val="21"/>
                    </w:rPr>
                  </w:pPr>
                  <w:r>
                    <w:rPr>
                      <w:rFonts w:cs="Times New Roman"/>
                      <w:sz w:val="21"/>
                      <w:szCs w:val="21"/>
                    </w:rPr>
                    <w:t>0.0</w:t>
                  </w:r>
                  <w:r>
                    <w:rPr>
                      <w:rFonts w:hint="eastAsia" w:cs="Times New Roman"/>
                      <w:sz w:val="21"/>
                      <w:szCs w:val="21"/>
                    </w:rPr>
                    <w:t>595</w:t>
                  </w:r>
                </w:p>
              </w:tc>
              <w:tc>
                <w:tcPr>
                  <w:tcW w:w="708" w:type="dxa"/>
                  <w:vMerge w:val="continue"/>
                </w:tcPr>
                <w:p w14:paraId="1FFB60C4">
                  <w:pPr>
                    <w:pStyle w:val="154"/>
                  </w:pPr>
                </w:p>
              </w:tc>
            </w:tr>
            <w:tr w14:paraId="293455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c>
                <w:tcPr>
                  <w:tcW w:w="458" w:type="dxa"/>
                  <w:vAlign w:val="center"/>
                </w:tcPr>
                <w:p w14:paraId="36A8B811">
                  <w:pPr>
                    <w:pStyle w:val="154"/>
                    <w:rPr>
                      <w:rFonts w:cs="Times New Roman"/>
                      <w:sz w:val="21"/>
                      <w:szCs w:val="21"/>
                    </w:rPr>
                  </w:pPr>
                  <w:r>
                    <w:rPr>
                      <w:rFonts w:cs="Times New Roman"/>
                      <w:sz w:val="21"/>
                      <w:szCs w:val="21"/>
                    </w:rPr>
                    <w:t>3</w:t>
                  </w:r>
                </w:p>
              </w:tc>
              <w:tc>
                <w:tcPr>
                  <w:tcW w:w="993" w:type="dxa"/>
                </w:tcPr>
                <w:p w14:paraId="1A99BB59">
                  <w:pPr>
                    <w:pStyle w:val="154"/>
                    <w:rPr>
                      <w:rFonts w:cs="Times New Roman"/>
                      <w:sz w:val="21"/>
                      <w:szCs w:val="21"/>
                    </w:rPr>
                  </w:pPr>
                  <w:r>
                    <w:rPr>
                      <w:rFonts w:cs="Times New Roman"/>
                      <w:sz w:val="21"/>
                      <w:szCs w:val="21"/>
                    </w:rPr>
                    <w:t>鞋面布切割废气</w:t>
                  </w:r>
                </w:p>
              </w:tc>
              <w:tc>
                <w:tcPr>
                  <w:tcW w:w="850" w:type="dxa"/>
                </w:tcPr>
                <w:p w14:paraId="60C49E11">
                  <w:pPr>
                    <w:pStyle w:val="154"/>
                    <w:rPr>
                      <w:rFonts w:cs="Times New Roman"/>
                      <w:sz w:val="21"/>
                      <w:szCs w:val="21"/>
                    </w:rPr>
                  </w:pPr>
                  <w:r>
                    <w:rPr>
                      <w:rFonts w:cs="Times New Roman"/>
                      <w:sz w:val="21"/>
                      <w:szCs w:val="21"/>
                    </w:rPr>
                    <w:t>废气治理设施失效</w:t>
                  </w:r>
                </w:p>
              </w:tc>
              <w:tc>
                <w:tcPr>
                  <w:tcW w:w="1266" w:type="dxa"/>
                </w:tcPr>
                <w:p w14:paraId="42261564">
                  <w:pPr>
                    <w:pStyle w:val="154"/>
                    <w:spacing w:beforeLines="50" w:line="320" w:lineRule="exact"/>
                    <w:ind w:left="120" w:leftChars="50"/>
                    <w:rPr>
                      <w:rFonts w:cs="Times New Roman"/>
                      <w:sz w:val="21"/>
                      <w:szCs w:val="21"/>
                    </w:rPr>
                  </w:pPr>
                  <w:r>
                    <w:rPr>
                      <w:rFonts w:cs="Times New Roman"/>
                      <w:sz w:val="21"/>
                      <w:szCs w:val="21"/>
                    </w:rPr>
                    <w:t>非甲烷</w:t>
                  </w:r>
                </w:p>
                <w:p w14:paraId="7831E7EA">
                  <w:pPr>
                    <w:pStyle w:val="154"/>
                    <w:spacing w:beforeLines="50" w:line="320" w:lineRule="exact"/>
                    <w:ind w:left="120" w:leftChars="50"/>
                    <w:rPr>
                      <w:rFonts w:cs="Times New Roman"/>
                      <w:sz w:val="21"/>
                      <w:szCs w:val="21"/>
                    </w:rPr>
                  </w:pPr>
                  <w:r>
                    <w:rPr>
                      <w:rFonts w:cs="Times New Roman"/>
                      <w:sz w:val="21"/>
                      <w:szCs w:val="21"/>
                    </w:rPr>
                    <w:t>总烃</w:t>
                  </w:r>
                </w:p>
              </w:tc>
              <w:tc>
                <w:tcPr>
                  <w:tcW w:w="992" w:type="dxa"/>
                  <w:vAlign w:val="center"/>
                </w:tcPr>
                <w:p w14:paraId="7D7AC614">
                  <w:pPr>
                    <w:pStyle w:val="154"/>
                    <w:rPr>
                      <w:rFonts w:cs="Times New Roman"/>
                      <w:sz w:val="21"/>
                      <w:szCs w:val="21"/>
                    </w:rPr>
                  </w:pPr>
                  <w:r>
                    <w:rPr>
                      <w:rFonts w:cs="Times New Roman"/>
                      <w:sz w:val="21"/>
                      <w:szCs w:val="21"/>
                    </w:rPr>
                    <w:t>0.126</w:t>
                  </w:r>
                </w:p>
              </w:tc>
              <w:tc>
                <w:tcPr>
                  <w:tcW w:w="992" w:type="dxa"/>
                  <w:vAlign w:val="center"/>
                </w:tcPr>
                <w:p w14:paraId="7A0BE39B">
                  <w:pPr>
                    <w:pStyle w:val="154"/>
                    <w:rPr>
                      <w:rFonts w:cs="Times New Roman"/>
                      <w:b/>
                      <w:sz w:val="21"/>
                      <w:szCs w:val="21"/>
                      <w:u w:val="single"/>
                    </w:rPr>
                  </w:pPr>
                  <w:r>
                    <w:rPr>
                      <w:rFonts w:hint="eastAsia" w:cs="Times New Roman"/>
                      <w:b/>
                      <w:sz w:val="21"/>
                      <w:szCs w:val="21"/>
                      <w:u w:val="single"/>
                    </w:rPr>
                    <w:t>21.00</w:t>
                  </w:r>
                </w:p>
              </w:tc>
              <w:tc>
                <w:tcPr>
                  <w:tcW w:w="709" w:type="dxa"/>
                  <w:vAlign w:val="center"/>
                </w:tcPr>
                <w:p w14:paraId="00EFFCEA">
                  <w:pPr>
                    <w:pStyle w:val="154"/>
                    <w:rPr>
                      <w:rFonts w:cs="Times New Roman"/>
                      <w:sz w:val="21"/>
                      <w:szCs w:val="21"/>
                    </w:rPr>
                  </w:pPr>
                  <w:r>
                    <w:rPr>
                      <w:rFonts w:cs="Times New Roman"/>
                      <w:sz w:val="21"/>
                      <w:szCs w:val="21"/>
                    </w:rPr>
                    <w:t>0.5h</w:t>
                  </w:r>
                </w:p>
              </w:tc>
              <w:tc>
                <w:tcPr>
                  <w:tcW w:w="851" w:type="dxa"/>
                  <w:vAlign w:val="center"/>
                </w:tcPr>
                <w:p w14:paraId="3C55E5A0">
                  <w:pPr>
                    <w:pStyle w:val="154"/>
                    <w:rPr>
                      <w:rFonts w:cs="Times New Roman"/>
                      <w:sz w:val="21"/>
                      <w:szCs w:val="21"/>
                    </w:rPr>
                  </w:pPr>
                  <w:r>
                    <w:rPr>
                      <w:rFonts w:cs="Times New Roman"/>
                      <w:sz w:val="21"/>
                      <w:szCs w:val="21"/>
                    </w:rPr>
                    <w:t>1次</w:t>
                  </w:r>
                </w:p>
              </w:tc>
              <w:tc>
                <w:tcPr>
                  <w:tcW w:w="1002" w:type="dxa"/>
                  <w:vAlign w:val="center"/>
                </w:tcPr>
                <w:p w14:paraId="7F41F75B">
                  <w:pPr>
                    <w:pStyle w:val="154"/>
                    <w:rPr>
                      <w:rFonts w:cs="Times New Roman"/>
                      <w:sz w:val="21"/>
                      <w:szCs w:val="21"/>
                    </w:rPr>
                  </w:pPr>
                  <w:r>
                    <w:rPr>
                      <w:rFonts w:cs="Times New Roman"/>
                      <w:sz w:val="21"/>
                      <w:szCs w:val="21"/>
                    </w:rPr>
                    <w:t>0.063</w:t>
                  </w:r>
                  <w:r>
                    <w:rPr>
                      <w:rFonts w:hint="eastAsia" w:cs="Times New Roman"/>
                      <w:sz w:val="21"/>
                      <w:szCs w:val="21"/>
                    </w:rPr>
                    <w:t>0</w:t>
                  </w:r>
                </w:p>
              </w:tc>
              <w:tc>
                <w:tcPr>
                  <w:tcW w:w="708" w:type="dxa"/>
                  <w:vMerge w:val="continue"/>
                </w:tcPr>
                <w:p w14:paraId="4FBD40DD">
                  <w:pPr>
                    <w:pStyle w:val="154"/>
                  </w:pPr>
                </w:p>
              </w:tc>
            </w:tr>
          </w:tbl>
          <w:p w14:paraId="49B4A599">
            <w:pPr>
              <w:pStyle w:val="179"/>
            </w:pPr>
            <w:r>
              <w:t>1.</w:t>
            </w:r>
            <w:r>
              <w:rPr>
                <w:rFonts w:hint="eastAsia"/>
              </w:rPr>
              <w:t xml:space="preserve">6 </w:t>
            </w:r>
            <w:r>
              <w:t>废气监测计划</w:t>
            </w:r>
          </w:p>
          <w:p w14:paraId="33898BAE">
            <w:pPr>
              <w:pStyle w:val="156"/>
              <w:ind w:firstLine="480"/>
              <w:rPr>
                <w:rFonts w:eastAsia="宋体" w:cs="Times New Roman"/>
              </w:rPr>
            </w:pPr>
            <w:r>
              <w:rPr>
                <w:rFonts w:eastAsia="宋体" w:cs="Times New Roman"/>
              </w:rPr>
              <w:t>根据《排污单位自行监测技术指南 总则》（HJ819-2017）和《排污许可证申请与核发技术规范  制鞋工业》（HJ1123—2020），结合本项目运行期产污特征，制定出本项目运行期废气监测计划，详见下表。</w:t>
            </w:r>
          </w:p>
          <w:p w14:paraId="7A23E373">
            <w:pPr>
              <w:pStyle w:val="182"/>
              <w:ind w:firstLine="480"/>
            </w:pPr>
            <w:r>
              <w:t>表4-</w:t>
            </w:r>
            <w:r>
              <w:rPr>
                <w:rFonts w:hint="eastAsia"/>
              </w:rPr>
              <w:t>10</w:t>
            </w:r>
            <w:r>
              <w:t xml:space="preserve">                    运营期废气监测计划</w:t>
            </w:r>
          </w:p>
          <w:tbl>
            <w:tblPr>
              <w:tblStyle w:val="88"/>
              <w:tblW w:w="88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82"/>
              <w:gridCol w:w="1141"/>
              <w:gridCol w:w="893"/>
              <w:gridCol w:w="5932"/>
            </w:tblGrid>
            <w:tr w14:paraId="1876E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82" w:type="dxa"/>
                  <w:vAlign w:val="center"/>
                </w:tcPr>
                <w:p w14:paraId="6E518981">
                  <w:pPr>
                    <w:pStyle w:val="154"/>
                    <w:rPr>
                      <w:b/>
                      <w:sz w:val="21"/>
                      <w:szCs w:val="21"/>
                      <w:u w:val="single"/>
                    </w:rPr>
                  </w:pPr>
                  <w:r>
                    <w:rPr>
                      <w:b/>
                      <w:sz w:val="21"/>
                      <w:szCs w:val="21"/>
                      <w:u w:val="single"/>
                    </w:rPr>
                    <w:t>监测点位</w:t>
                  </w:r>
                </w:p>
              </w:tc>
              <w:tc>
                <w:tcPr>
                  <w:tcW w:w="1141" w:type="dxa"/>
                  <w:vAlign w:val="center"/>
                </w:tcPr>
                <w:p w14:paraId="11604E8A">
                  <w:pPr>
                    <w:pStyle w:val="154"/>
                    <w:rPr>
                      <w:b/>
                      <w:sz w:val="21"/>
                      <w:szCs w:val="21"/>
                      <w:u w:val="single"/>
                    </w:rPr>
                  </w:pPr>
                  <w:r>
                    <w:rPr>
                      <w:b/>
                      <w:sz w:val="21"/>
                      <w:szCs w:val="21"/>
                      <w:u w:val="single"/>
                    </w:rPr>
                    <w:t>监测因子</w:t>
                  </w:r>
                </w:p>
              </w:tc>
              <w:tc>
                <w:tcPr>
                  <w:tcW w:w="893" w:type="dxa"/>
                  <w:vAlign w:val="center"/>
                </w:tcPr>
                <w:p w14:paraId="0BFF3443">
                  <w:pPr>
                    <w:pStyle w:val="154"/>
                    <w:rPr>
                      <w:b/>
                      <w:sz w:val="21"/>
                      <w:szCs w:val="21"/>
                      <w:u w:val="single"/>
                    </w:rPr>
                  </w:pPr>
                  <w:r>
                    <w:rPr>
                      <w:b/>
                      <w:sz w:val="21"/>
                      <w:szCs w:val="21"/>
                      <w:u w:val="single"/>
                    </w:rPr>
                    <w:t>监测频率</w:t>
                  </w:r>
                </w:p>
              </w:tc>
              <w:tc>
                <w:tcPr>
                  <w:tcW w:w="5932" w:type="dxa"/>
                  <w:vAlign w:val="center"/>
                </w:tcPr>
                <w:p w14:paraId="026CE535">
                  <w:pPr>
                    <w:pStyle w:val="154"/>
                    <w:rPr>
                      <w:b/>
                      <w:sz w:val="21"/>
                      <w:szCs w:val="21"/>
                      <w:u w:val="single"/>
                    </w:rPr>
                  </w:pPr>
                  <w:r>
                    <w:rPr>
                      <w:b/>
                      <w:sz w:val="21"/>
                      <w:szCs w:val="21"/>
                      <w:u w:val="single"/>
                    </w:rPr>
                    <w:t>执行标准</w:t>
                  </w:r>
                </w:p>
              </w:tc>
            </w:tr>
            <w:tr w14:paraId="21859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7" w:hRule="atLeast"/>
                <w:jc w:val="center"/>
              </w:trPr>
              <w:tc>
                <w:tcPr>
                  <w:tcW w:w="882" w:type="dxa"/>
                  <w:vMerge w:val="restart"/>
                  <w:vAlign w:val="center"/>
                </w:tcPr>
                <w:p w14:paraId="37F5D7E9">
                  <w:pPr>
                    <w:pStyle w:val="154"/>
                    <w:rPr>
                      <w:b/>
                      <w:sz w:val="21"/>
                      <w:szCs w:val="21"/>
                      <w:u w:val="single"/>
                    </w:rPr>
                  </w:pPr>
                  <w:r>
                    <w:rPr>
                      <w:rFonts w:hint="eastAsia"/>
                      <w:b/>
                      <w:sz w:val="21"/>
                      <w:szCs w:val="21"/>
                      <w:u w:val="single"/>
                    </w:rPr>
                    <w:t>DA001</w:t>
                  </w:r>
                </w:p>
                <w:p w14:paraId="04BAF8BC">
                  <w:pPr>
                    <w:pStyle w:val="154"/>
                    <w:rPr>
                      <w:b/>
                      <w:sz w:val="21"/>
                      <w:szCs w:val="21"/>
                      <w:u w:val="single"/>
                    </w:rPr>
                  </w:pPr>
                  <w:r>
                    <w:rPr>
                      <w:rFonts w:hint="eastAsia"/>
                      <w:b/>
                      <w:sz w:val="21"/>
                      <w:szCs w:val="21"/>
                      <w:u w:val="single"/>
                    </w:rPr>
                    <w:t>排气筒</w:t>
                  </w:r>
                </w:p>
              </w:tc>
              <w:tc>
                <w:tcPr>
                  <w:tcW w:w="1141" w:type="dxa"/>
                  <w:vAlign w:val="center"/>
                </w:tcPr>
                <w:p w14:paraId="52FC366A">
                  <w:pPr>
                    <w:pStyle w:val="154"/>
                    <w:rPr>
                      <w:b/>
                      <w:sz w:val="21"/>
                      <w:szCs w:val="21"/>
                      <w:u w:val="single"/>
                    </w:rPr>
                  </w:pPr>
                  <w:r>
                    <w:rPr>
                      <w:b/>
                      <w:sz w:val="21"/>
                      <w:szCs w:val="21"/>
                      <w:u w:val="single"/>
                    </w:rPr>
                    <w:t>颗粒物</w:t>
                  </w:r>
                </w:p>
              </w:tc>
              <w:tc>
                <w:tcPr>
                  <w:tcW w:w="893" w:type="dxa"/>
                  <w:vAlign w:val="center"/>
                </w:tcPr>
                <w:p w14:paraId="70166590">
                  <w:pPr>
                    <w:pStyle w:val="154"/>
                    <w:rPr>
                      <w:b/>
                      <w:sz w:val="21"/>
                      <w:szCs w:val="21"/>
                      <w:u w:val="single"/>
                    </w:rPr>
                  </w:pPr>
                  <w:r>
                    <w:rPr>
                      <w:b/>
                      <w:sz w:val="21"/>
                      <w:szCs w:val="21"/>
                      <w:u w:val="single"/>
                    </w:rPr>
                    <w:t>1次/年</w:t>
                  </w:r>
                </w:p>
              </w:tc>
              <w:tc>
                <w:tcPr>
                  <w:tcW w:w="5932" w:type="dxa"/>
                  <w:vMerge w:val="restart"/>
                  <w:vAlign w:val="center"/>
                </w:tcPr>
                <w:p w14:paraId="69B09AB7">
                  <w:pPr>
                    <w:pStyle w:val="154"/>
                    <w:rPr>
                      <w:b/>
                      <w:sz w:val="21"/>
                      <w:szCs w:val="21"/>
                      <w:u w:val="single"/>
                    </w:rPr>
                  </w:pPr>
                  <w:r>
                    <w:rPr>
                      <w:b/>
                      <w:sz w:val="21"/>
                      <w:szCs w:val="21"/>
                      <w:u w:val="single"/>
                    </w:rPr>
                    <w:t>《大气污染物综合排放标准》（GB16297-1996）表2二级；《重污染天气重点行业应急减排措施制定技术指南（2020年修订版）》（环办大气函</w:t>
                  </w:r>
                  <w:r>
                    <w:rPr>
                      <w:rFonts w:hint="eastAsia"/>
                      <w:b/>
                      <w:sz w:val="21"/>
                      <w:szCs w:val="21"/>
                      <w:u w:val="single"/>
                    </w:rPr>
                    <w:t>〔2020〕</w:t>
                  </w:r>
                  <w:r>
                    <w:rPr>
                      <w:b/>
                      <w:sz w:val="21"/>
                      <w:szCs w:val="21"/>
                      <w:u w:val="single"/>
                    </w:rPr>
                    <w:t>340号）中制鞋工业绩效引领性指标排放限值</w:t>
                  </w:r>
                  <w:r>
                    <w:rPr>
                      <w:rFonts w:hint="eastAsia"/>
                      <w:b/>
                      <w:sz w:val="21"/>
                      <w:szCs w:val="21"/>
                      <w:u w:val="single"/>
                    </w:rPr>
                    <w:t>。</w:t>
                  </w:r>
                </w:p>
              </w:tc>
            </w:tr>
            <w:tr w14:paraId="1AB59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5" w:hRule="atLeast"/>
                <w:jc w:val="center"/>
              </w:trPr>
              <w:tc>
                <w:tcPr>
                  <w:tcW w:w="882" w:type="dxa"/>
                  <w:vMerge w:val="continue"/>
                  <w:vAlign w:val="center"/>
                </w:tcPr>
                <w:p w14:paraId="16A39053">
                  <w:pPr>
                    <w:pStyle w:val="154"/>
                    <w:rPr>
                      <w:b/>
                      <w:sz w:val="21"/>
                      <w:szCs w:val="21"/>
                      <w:u w:val="single"/>
                    </w:rPr>
                  </w:pPr>
                </w:p>
              </w:tc>
              <w:tc>
                <w:tcPr>
                  <w:tcW w:w="1141" w:type="dxa"/>
                  <w:vMerge w:val="restart"/>
                  <w:vAlign w:val="center"/>
                </w:tcPr>
                <w:p w14:paraId="0B238B86">
                  <w:pPr>
                    <w:pStyle w:val="154"/>
                    <w:rPr>
                      <w:b/>
                      <w:sz w:val="21"/>
                      <w:szCs w:val="21"/>
                      <w:u w:val="single"/>
                    </w:rPr>
                  </w:pPr>
                  <w:r>
                    <w:rPr>
                      <w:b/>
                      <w:sz w:val="21"/>
                      <w:szCs w:val="21"/>
                      <w:u w:val="single"/>
                    </w:rPr>
                    <w:t>非甲烷</w:t>
                  </w:r>
                </w:p>
                <w:p w14:paraId="48CC2195">
                  <w:pPr>
                    <w:pStyle w:val="154"/>
                    <w:rPr>
                      <w:b/>
                      <w:sz w:val="21"/>
                      <w:szCs w:val="21"/>
                      <w:u w:val="single"/>
                    </w:rPr>
                  </w:pPr>
                  <w:r>
                    <w:rPr>
                      <w:b/>
                      <w:sz w:val="21"/>
                      <w:szCs w:val="21"/>
                      <w:u w:val="single"/>
                    </w:rPr>
                    <w:t>总烃</w:t>
                  </w:r>
                </w:p>
              </w:tc>
              <w:tc>
                <w:tcPr>
                  <w:tcW w:w="893" w:type="dxa"/>
                  <w:vAlign w:val="center"/>
                </w:tcPr>
                <w:p w14:paraId="769AF2E8">
                  <w:pPr>
                    <w:pStyle w:val="154"/>
                    <w:rPr>
                      <w:b/>
                      <w:sz w:val="21"/>
                      <w:szCs w:val="21"/>
                      <w:u w:val="single"/>
                    </w:rPr>
                  </w:pPr>
                  <w:r>
                    <w:rPr>
                      <w:b/>
                      <w:sz w:val="21"/>
                      <w:szCs w:val="21"/>
                      <w:u w:val="single"/>
                    </w:rPr>
                    <w:t>1次/年</w:t>
                  </w:r>
                </w:p>
              </w:tc>
              <w:tc>
                <w:tcPr>
                  <w:tcW w:w="5932" w:type="dxa"/>
                  <w:vMerge w:val="continue"/>
                  <w:vAlign w:val="center"/>
                </w:tcPr>
                <w:p w14:paraId="626AECD7">
                  <w:pPr>
                    <w:pStyle w:val="154"/>
                    <w:rPr>
                      <w:b/>
                      <w:sz w:val="21"/>
                      <w:szCs w:val="21"/>
                      <w:u w:val="single"/>
                    </w:rPr>
                  </w:pPr>
                </w:p>
              </w:tc>
            </w:tr>
            <w:tr w14:paraId="59D8B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5" w:hRule="atLeast"/>
                <w:jc w:val="center"/>
              </w:trPr>
              <w:tc>
                <w:tcPr>
                  <w:tcW w:w="882" w:type="dxa"/>
                  <w:vMerge w:val="continue"/>
                  <w:vAlign w:val="center"/>
                </w:tcPr>
                <w:p w14:paraId="03D08CFF">
                  <w:pPr>
                    <w:pStyle w:val="154"/>
                    <w:rPr>
                      <w:b/>
                      <w:sz w:val="21"/>
                      <w:szCs w:val="21"/>
                      <w:u w:val="single"/>
                    </w:rPr>
                  </w:pPr>
                </w:p>
              </w:tc>
              <w:tc>
                <w:tcPr>
                  <w:tcW w:w="1141" w:type="dxa"/>
                  <w:vMerge w:val="continue"/>
                  <w:vAlign w:val="center"/>
                </w:tcPr>
                <w:p w14:paraId="34FD3BFE">
                  <w:pPr>
                    <w:pStyle w:val="154"/>
                    <w:rPr>
                      <w:b/>
                      <w:sz w:val="21"/>
                      <w:szCs w:val="21"/>
                      <w:u w:val="single"/>
                    </w:rPr>
                  </w:pPr>
                </w:p>
              </w:tc>
              <w:tc>
                <w:tcPr>
                  <w:tcW w:w="893" w:type="dxa"/>
                  <w:vAlign w:val="center"/>
                </w:tcPr>
                <w:p w14:paraId="201E1CEE">
                  <w:pPr>
                    <w:pStyle w:val="154"/>
                    <w:rPr>
                      <w:b/>
                      <w:sz w:val="21"/>
                      <w:szCs w:val="21"/>
                      <w:u w:val="single"/>
                    </w:rPr>
                  </w:pPr>
                  <w:r>
                    <w:rPr>
                      <w:b/>
                      <w:sz w:val="21"/>
                      <w:szCs w:val="21"/>
                      <w:u w:val="single"/>
                    </w:rPr>
                    <w:t>1次/年</w:t>
                  </w:r>
                </w:p>
              </w:tc>
              <w:tc>
                <w:tcPr>
                  <w:tcW w:w="5932" w:type="dxa"/>
                  <w:vAlign w:val="center"/>
                </w:tcPr>
                <w:p w14:paraId="6CC62462">
                  <w:pPr>
                    <w:pStyle w:val="154"/>
                    <w:rPr>
                      <w:b/>
                      <w:sz w:val="21"/>
                      <w:szCs w:val="21"/>
                      <w:u w:val="single"/>
                    </w:rPr>
                  </w:pPr>
                  <w:r>
                    <w:rPr>
                      <w:b/>
                      <w:sz w:val="21"/>
                      <w:szCs w:val="21"/>
                      <w:u w:val="single"/>
                    </w:rPr>
                    <w:t>《</w:t>
                  </w:r>
                  <w:r>
                    <w:rPr>
                      <w:rFonts w:hint="eastAsia"/>
                      <w:b/>
                      <w:sz w:val="21"/>
                      <w:szCs w:val="21"/>
                      <w:u w:val="single"/>
                    </w:rPr>
                    <w:t>合成树脂工业污染物排放标准》(GB31572-2015 含2024年修改单)表5大气污染物特别排放限值。</w:t>
                  </w:r>
                </w:p>
              </w:tc>
            </w:tr>
            <w:tr w14:paraId="71FB8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3" w:hRule="atLeast"/>
                <w:jc w:val="center"/>
              </w:trPr>
              <w:tc>
                <w:tcPr>
                  <w:tcW w:w="882" w:type="dxa"/>
                  <w:vMerge w:val="continue"/>
                  <w:vAlign w:val="center"/>
                </w:tcPr>
                <w:p w14:paraId="2F580B92">
                  <w:pPr>
                    <w:pStyle w:val="154"/>
                    <w:rPr>
                      <w:b/>
                      <w:sz w:val="21"/>
                      <w:szCs w:val="21"/>
                      <w:u w:val="single"/>
                    </w:rPr>
                  </w:pPr>
                </w:p>
              </w:tc>
              <w:tc>
                <w:tcPr>
                  <w:tcW w:w="1141" w:type="dxa"/>
                  <w:vAlign w:val="center"/>
                </w:tcPr>
                <w:p w14:paraId="67FCE542">
                  <w:pPr>
                    <w:pStyle w:val="154"/>
                    <w:rPr>
                      <w:b/>
                      <w:sz w:val="21"/>
                      <w:szCs w:val="21"/>
                      <w:u w:val="single"/>
                    </w:rPr>
                  </w:pPr>
                  <w:r>
                    <w:rPr>
                      <w:b/>
                      <w:sz w:val="21"/>
                      <w:szCs w:val="21"/>
                      <w:u w:val="single"/>
                    </w:rPr>
                    <w:t>氯化氢</w:t>
                  </w:r>
                </w:p>
              </w:tc>
              <w:tc>
                <w:tcPr>
                  <w:tcW w:w="893" w:type="dxa"/>
                  <w:vAlign w:val="center"/>
                </w:tcPr>
                <w:p w14:paraId="08978484">
                  <w:pPr>
                    <w:pStyle w:val="154"/>
                    <w:rPr>
                      <w:b/>
                      <w:sz w:val="21"/>
                      <w:szCs w:val="21"/>
                      <w:u w:val="single"/>
                    </w:rPr>
                  </w:pPr>
                  <w:r>
                    <w:rPr>
                      <w:b/>
                      <w:sz w:val="21"/>
                      <w:szCs w:val="21"/>
                      <w:u w:val="single"/>
                    </w:rPr>
                    <w:t>1次/年</w:t>
                  </w:r>
                </w:p>
              </w:tc>
              <w:tc>
                <w:tcPr>
                  <w:tcW w:w="5932" w:type="dxa"/>
                  <w:vAlign w:val="center"/>
                </w:tcPr>
                <w:p w14:paraId="09DBDBE8">
                  <w:pPr>
                    <w:pStyle w:val="154"/>
                    <w:rPr>
                      <w:b/>
                      <w:sz w:val="21"/>
                      <w:szCs w:val="21"/>
                      <w:u w:val="single"/>
                    </w:rPr>
                  </w:pPr>
                  <w:r>
                    <w:rPr>
                      <w:b/>
                      <w:sz w:val="21"/>
                      <w:szCs w:val="21"/>
                      <w:u w:val="single"/>
                    </w:rPr>
                    <w:t>《大气污染物综合排放标准》（GB16297-1996）表2二级</w:t>
                  </w:r>
                </w:p>
              </w:tc>
            </w:tr>
            <w:tr w14:paraId="3E724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82" w:type="dxa"/>
                  <w:vMerge w:val="restart"/>
                  <w:vAlign w:val="center"/>
                </w:tcPr>
                <w:p w14:paraId="1474253B">
                  <w:pPr>
                    <w:pStyle w:val="154"/>
                    <w:rPr>
                      <w:sz w:val="21"/>
                      <w:szCs w:val="21"/>
                    </w:rPr>
                  </w:pPr>
                  <w:r>
                    <w:rPr>
                      <w:sz w:val="21"/>
                      <w:szCs w:val="21"/>
                    </w:rPr>
                    <w:t>厂界外</w:t>
                  </w:r>
                </w:p>
                <w:p w14:paraId="7B30D055">
                  <w:pPr>
                    <w:pStyle w:val="154"/>
                    <w:rPr>
                      <w:sz w:val="21"/>
                      <w:szCs w:val="21"/>
                    </w:rPr>
                  </w:pPr>
                  <w:r>
                    <w:rPr>
                      <w:sz w:val="21"/>
                      <w:szCs w:val="21"/>
                    </w:rPr>
                    <w:t>无组织</w:t>
                  </w:r>
                </w:p>
              </w:tc>
              <w:tc>
                <w:tcPr>
                  <w:tcW w:w="1141" w:type="dxa"/>
                  <w:vAlign w:val="center"/>
                </w:tcPr>
                <w:p w14:paraId="68DC0FFB">
                  <w:pPr>
                    <w:pStyle w:val="154"/>
                    <w:rPr>
                      <w:sz w:val="21"/>
                      <w:szCs w:val="21"/>
                    </w:rPr>
                  </w:pPr>
                  <w:r>
                    <w:rPr>
                      <w:sz w:val="21"/>
                      <w:szCs w:val="21"/>
                    </w:rPr>
                    <w:t>非甲烷总烃</w:t>
                  </w:r>
                </w:p>
              </w:tc>
              <w:tc>
                <w:tcPr>
                  <w:tcW w:w="893" w:type="dxa"/>
                  <w:vAlign w:val="center"/>
                </w:tcPr>
                <w:p w14:paraId="7F3587A3">
                  <w:pPr>
                    <w:pStyle w:val="154"/>
                    <w:rPr>
                      <w:sz w:val="21"/>
                      <w:szCs w:val="21"/>
                    </w:rPr>
                  </w:pPr>
                  <w:r>
                    <w:rPr>
                      <w:sz w:val="21"/>
                      <w:szCs w:val="21"/>
                    </w:rPr>
                    <w:t>1次/年</w:t>
                  </w:r>
                </w:p>
              </w:tc>
              <w:tc>
                <w:tcPr>
                  <w:tcW w:w="5932" w:type="dxa"/>
                  <w:vAlign w:val="center"/>
                </w:tcPr>
                <w:p w14:paraId="611CB700">
                  <w:pPr>
                    <w:pStyle w:val="154"/>
                    <w:rPr>
                      <w:sz w:val="21"/>
                      <w:szCs w:val="21"/>
                    </w:rPr>
                  </w:pPr>
                  <w:r>
                    <w:rPr>
                      <w:sz w:val="21"/>
                      <w:szCs w:val="21"/>
                    </w:rPr>
                    <w:t>《关于全省开展工业企业挥发性有机物专项治理工作中排放建议值的通知》（豫环攻坚办</w:t>
                  </w:r>
                  <w:r>
                    <w:rPr>
                      <w:rFonts w:hint="eastAsia"/>
                      <w:sz w:val="21"/>
                      <w:szCs w:val="21"/>
                    </w:rPr>
                    <w:t>〔2017〕</w:t>
                  </w:r>
                  <w:r>
                    <w:rPr>
                      <w:sz w:val="21"/>
                      <w:szCs w:val="21"/>
                    </w:rPr>
                    <w:t>162号）其他行业要求。</w:t>
                  </w:r>
                </w:p>
              </w:tc>
            </w:tr>
            <w:tr w14:paraId="2F655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82" w:type="dxa"/>
                  <w:vMerge w:val="continue"/>
                  <w:vAlign w:val="center"/>
                </w:tcPr>
                <w:p w14:paraId="1F1BC933">
                  <w:pPr>
                    <w:pStyle w:val="154"/>
                    <w:rPr>
                      <w:sz w:val="21"/>
                      <w:szCs w:val="21"/>
                    </w:rPr>
                  </w:pPr>
                </w:p>
              </w:tc>
              <w:tc>
                <w:tcPr>
                  <w:tcW w:w="1141" w:type="dxa"/>
                  <w:vAlign w:val="center"/>
                </w:tcPr>
                <w:p w14:paraId="15BB79B4">
                  <w:pPr>
                    <w:pStyle w:val="154"/>
                    <w:rPr>
                      <w:sz w:val="21"/>
                      <w:szCs w:val="21"/>
                    </w:rPr>
                  </w:pPr>
                  <w:r>
                    <w:rPr>
                      <w:sz w:val="21"/>
                      <w:szCs w:val="21"/>
                    </w:rPr>
                    <w:t>氯化氢</w:t>
                  </w:r>
                </w:p>
              </w:tc>
              <w:tc>
                <w:tcPr>
                  <w:tcW w:w="893" w:type="dxa"/>
                  <w:vAlign w:val="center"/>
                </w:tcPr>
                <w:p w14:paraId="53605EE8">
                  <w:pPr>
                    <w:pStyle w:val="154"/>
                    <w:rPr>
                      <w:sz w:val="21"/>
                      <w:szCs w:val="21"/>
                    </w:rPr>
                  </w:pPr>
                  <w:r>
                    <w:rPr>
                      <w:sz w:val="21"/>
                      <w:szCs w:val="21"/>
                    </w:rPr>
                    <w:t>1次/年</w:t>
                  </w:r>
                </w:p>
              </w:tc>
              <w:tc>
                <w:tcPr>
                  <w:tcW w:w="5932" w:type="dxa"/>
                  <w:vMerge w:val="restart"/>
                  <w:vAlign w:val="center"/>
                </w:tcPr>
                <w:p w14:paraId="725C783C">
                  <w:pPr>
                    <w:pStyle w:val="154"/>
                    <w:rPr>
                      <w:spacing w:val="-4"/>
                      <w:sz w:val="21"/>
                      <w:szCs w:val="21"/>
                    </w:rPr>
                  </w:pPr>
                  <w:r>
                    <w:rPr>
                      <w:sz w:val="21"/>
                      <w:szCs w:val="21"/>
                    </w:rPr>
                    <w:t>《大气污染物综合排放标准》（GB16297-1996）表2无组织排放监控浓度限值要求</w:t>
                  </w:r>
                </w:p>
              </w:tc>
            </w:tr>
            <w:tr w14:paraId="254F9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82" w:type="dxa"/>
                  <w:vMerge w:val="continue"/>
                  <w:vAlign w:val="center"/>
                </w:tcPr>
                <w:p w14:paraId="48000F2E">
                  <w:pPr>
                    <w:pStyle w:val="154"/>
                    <w:rPr>
                      <w:sz w:val="21"/>
                      <w:szCs w:val="21"/>
                    </w:rPr>
                  </w:pPr>
                </w:p>
              </w:tc>
              <w:tc>
                <w:tcPr>
                  <w:tcW w:w="1141" w:type="dxa"/>
                  <w:vAlign w:val="center"/>
                </w:tcPr>
                <w:p w14:paraId="2536ED04">
                  <w:pPr>
                    <w:pStyle w:val="154"/>
                    <w:rPr>
                      <w:sz w:val="21"/>
                      <w:szCs w:val="21"/>
                    </w:rPr>
                  </w:pPr>
                  <w:r>
                    <w:rPr>
                      <w:sz w:val="21"/>
                      <w:szCs w:val="21"/>
                    </w:rPr>
                    <w:t>颗粒物</w:t>
                  </w:r>
                </w:p>
              </w:tc>
              <w:tc>
                <w:tcPr>
                  <w:tcW w:w="893" w:type="dxa"/>
                  <w:vAlign w:val="center"/>
                </w:tcPr>
                <w:p w14:paraId="625D949C">
                  <w:pPr>
                    <w:pStyle w:val="154"/>
                    <w:rPr>
                      <w:sz w:val="21"/>
                      <w:szCs w:val="21"/>
                    </w:rPr>
                  </w:pPr>
                  <w:r>
                    <w:rPr>
                      <w:sz w:val="21"/>
                      <w:szCs w:val="21"/>
                    </w:rPr>
                    <w:t>1次/年</w:t>
                  </w:r>
                </w:p>
              </w:tc>
              <w:tc>
                <w:tcPr>
                  <w:tcW w:w="5932" w:type="dxa"/>
                  <w:vMerge w:val="continue"/>
                  <w:vAlign w:val="center"/>
                </w:tcPr>
                <w:p w14:paraId="1FF52D9B">
                  <w:pPr>
                    <w:pStyle w:val="154"/>
                    <w:rPr>
                      <w:sz w:val="21"/>
                      <w:szCs w:val="21"/>
                    </w:rPr>
                  </w:pPr>
                </w:p>
              </w:tc>
            </w:tr>
            <w:tr w14:paraId="2510C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82" w:type="dxa"/>
                  <w:vAlign w:val="center"/>
                </w:tcPr>
                <w:p w14:paraId="68E0D914">
                  <w:pPr>
                    <w:pStyle w:val="154"/>
                    <w:rPr>
                      <w:sz w:val="21"/>
                      <w:szCs w:val="21"/>
                    </w:rPr>
                  </w:pPr>
                  <w:r>
                    <w:rPr>
                      <w:sz w:val="21"/>
                      <w:szCs w:val="21"/>
                    </w:rPr>
                    <w:t>厂区内</w:t>
                  </w:r>
                </w:p>
                <w:p w14:paraId="7AFFF256">
                  <w:pPr>
                    <w:pStyle w:val="154"/>
                    <w:rPr>
                      <w:sz w:val="21"/>
                      <w:szCs w:val="21"/>
                    </w:rPr>
                  </w:pPr>
                  <w:r>
                    <w:rPr>
                      <w:sz w:val="21"/>
                      <w:szCs w:val="21"/>
                    </w:rPr>
                    <w:t>无组织监控点</w:t>
                  </w:r>
                </w:p>
              </w:tc>
              <w:tc>
                <w:tcPr>
                  <w:tcW w:w="1141" w:type="dxa"/>
                  <w:vAlign w:val="center"/>
                </w:tcPr>
                <w:p w14:paraId="6DDA7334">
                  <w:pPr>
                    <w:pStyle w:val="154"/>
                    <w:rPr>
                      <w:sz w:val="21"/>
                      <w:szCs w:val="21"/>
                    </w:rPr>
                  </w:pPr>
                  <w:r>
                    <w:rPr>
                      <w:sz w:val="21"/>
                      <w:szCs w:val="21"/>
                    </w:rPr>
                    <w:t>非甲烷</w:t>
                  </w:r>
                </w:p>
                <w:p w14:paraId="402720A9">
                  <w:pPr>
                    <w:pStyle w:val="154"/>
                    <w:rPr>
                      <w:sz w:val="21"/>
                      <w:szCs w:val="21"/>
                    </w:rPr>
                  </w:pPr>
                  <w:r>
                    <w:rPr>
                      <w:sz w:val="21"/>
                      <w:szCs w:val="21"/>
                    </w:rPr>
                    <w:t>总烃</w:t>
                  </w:r>
                </w:p>
              </w:tc>
              <w:tc>
                <w:tcPr>
                  <w:tcW w:w="893" w:type="dxa"/>
                  <w:vAlign w:val="center"/>
                </w:tcPr>
                <w:p w14:paraId="49E7479F">
                  <w:pPr>
                    <w:pStyle w:val="154"/>
                    <w:rPr>
                      <w:sz w:val="21"/>
                      <w:szCs w:val="21"/>
                    </w:rPr>
                  </w:pPr>
                  <w:r>
                    <w:rPr>
                      <w:sz w:val="21"/>
                      <w:szCs w:val="21"/>
                    </w:rPr>
                    <w:t>1次/年</w:t>
                  </w:r>
                </w:p>
              </w:tc>
              <w:tc>
                <w:tcPr>
                  <w:tcW w:w="5932" w:type="dxa"/>
                  <w:vAlign w:val="center"/>
                </w:tcPr>
                <w:p w14:paraId="05E4F64B">
                  <w:pPr>
                    <w:pStyle w:val="154"/>
                    <w:rPr>
                      <w:sz w:val="21"/>
                      <w:szCs w:val="21"/>
                    </w:rPr>
                  </w:pPr>
                  <w:r>
                    <w:rPr>
                      <w:sz w:val="21"/>
                      <w:szCs w:val="21"/>
                    </w:rPr>
                    <w:t>《挥发性有机物无组织排放控制标准》（GB37822-2019）</w:t>
                  </w:r>
                  <w:r>
                    <w:rPr>
                      <w:rFonts w:hint="eastAsia"/>
                      <w:sz w:val="21"/>
                      <w:szCs w:val="21"/>
                    </w:rPr>
                    <w:t>特别排放限值</w:t>
                  </w:r>
                </w:p>
              </w:tc>
            </w:tr>
          </w:tbl>
          <w:p w14:paraId="3D401370">
            <w:pPr>
              <w:pStyle w:val="179"/>
            </w:pPr>
            <w:r>
              <w:t>1.</w:t>
            </w:r>
            <w:r>
              <w:rPr>
                <w:rFonts w:hint="eastAsia"/>
              </w:rPr>
              <w:t>7</w:t>
            </w:r>
            <w:r>
              <w:t xml:space="preserve"> 环境影响分析</w:t>
            </w:r>
          </w:p>
          <w:p w14:paraId="4165A84A">
            <w:pPr>
              <w:pStyle w:val="156"/>
              <w:ind w:firstLine="480"/>
            </w:pPr>
            <w:r>
              <w:t>建设项目位于洛阳市偃师区先进制造业开发区，</w:t>
            </w:r>
            <w:r>
              <w:rPr>
                <w:rFonts w:hint="eastAsia"/>
              </w:rPr>
              <w:t>项目区域属于不达标区</w:t>
            </w:r>
            <w:r>
              <w:t>，</w:t>
            </w:r>
            <w:r>
              <w:rPr>
                <w:rFonts w:hint="eastAsia"/>
              </w:rPr>
              <w:t>洛阳市</w:t>
            </w:r>
            <w:r>
              <w:t>出台了</w:t>
            </w:r>
            <w:r>
              <w:rPr>
                <w:rFonts w:hint="eastAsia"/>
              </w:rPr>
              <w:t>《洛阳市</w:t>
            </w:r>
            <w:r>
              <w:t>2025年蓝天保卫战实施方案》等相关大气治理文件，通过治理区域环境质量状况正在逐步好转。</w:t>
            </w:r>
          </w:p>
          <w:p w14:paraId="79A55F5E">
            <w:pPr>
              <w:pStyle w:val="154"/>
              <w:spacing w:line="520" w:lineRule="exact"/>
              <w:ind w:firstLine="482" w:firstLineChars="200"/>
              <w:jc w:val="left"/>
            </w:pPr>
            <w:r>
              <w:rPr>
                <w:b/>
                <w:u w:val="single"/>
              </w:rPr>
              <w:t>本项目运营期针对废气采取的措施为：注</w:t>
            </w:r>
            <w:r>
              <w:rPr>
                <w:rFonts w:hint="eastAsia"/>
                <w:b/>
                <w:u w:val="single"/>
              </w:rPr>
              <w:t>塑工艺生产线混合搅拌、破碎过程中产生的含尘、VOCs废气</w:t>
            </w:r>
            <w:r>
              <w:rPr>
                <w:b/>
                <w:u w:val="single"/>
              </w:rPr>
              <w:t>通过1套</w:t>
            </w:r>
            <w:r>
              <w:rPr>
                <w:rFonts w:hint="eastAsia"/>
                <w:b/>
                <w:u w:val="single"/>
              </w:rPr>
              <w:t>覆膜</w:t>
            </w:r>
            <w:r>
              <w:rPr>
                <w:b/>
                <w:u w:val="single"/>
              </w:rPr>
              <w:t>袋式除尘器</w:t>
            </w:r>
            <w:r>
              <w:rPr>
                <w:rFonts w:hint="eastAsia"/>
                <w:b/>
                <w:u w:val="single"/>
              </w:rPr>
              <w:t>处理后，与注塑过程中产生的废气共同</w:t>
            </w:r>
            <w:r>
              <w:rPr>
                <w:b/>
                <w:u w:val="single"/>
              </w:rPr>
              <w:t>进入</w:t>
            </w:r>
            <w:r>
              <w:rPr>
                <w:rFonts w:hint="eastAsia"/>
                <w:b/>
                <w:u w:val="single"/>
              </w:rPr>
              <w:t>主管道；聚氨酯工艺生产线过程中产生的废气进入主管道；鞋面布激光切割产生废气进入主管道；三者合并后经过1套两级活性炭吸附工艺处理通过18m高排气筒（DA001）排放。</w:t>
            </w:r>
            <w:r>
              <w:t>项目废气污染物经过处理后均可以稳定达标排放，故本项目废气排放对区域环境影响较小，在可接受范围内。</w:t>
            </w:r>
          </w:p>
          <w:p w14:paraId="4C392968">
            <w:pPr>
              <w:pStyle w:val="157"/>
            </w:pPr>
            <w:r>
              <w:t>2、废水</w:t>
            </w:r>
          </w:p>
          <w:p w14:paraId="1C733ED1">
            <w:pPr>
              <w:pStyle w:val="179"/>
              <w:rPr>
                <w:b/>
                <w:u w:val="single"/>
              </w:rPr>
            </w:pPr>
            <w:r>
              <w:rPr>
                <w:b/>
                <w:u w:val="single"/>
              </w:rPr>
              <w:t>2.1 用排水情况</w:t>
            </w:r>
          </w:p>
          <w:p w14:paraId="17807CB4">
            <w:pPr>
              <w:pStyle w:val="156"/>
              <w:ind w:firstLine="482"/>
              <w:rPr>
                <w:rFonts w:eastAsia="宋体" w:cs="Times New Roman"/>
                <w:b/>
                <w:u w:val="single"/>
              </w:rPr>
            </w:pPr>
            <w:r>
              <w:rPr>
                <w:rFonts w:eastAsia="宋体" w:cs="Times New Roman"/>
                <w:b/>
                <w:u w:val="single"/>
              </w:rPr>
              <w:t>（1）循环冷却水</w:t>
            </w:r>
          </w:p>
          <w:p w14:paraId="06E49561">
            <w:pPr>
              <w:pStyle w:val="156"/>
              <w:ind w:firstLine="482"/>
              <w:rPr>
                <w:rFonts w:eastAsia="宋体" w:cs="Times New Roman"/>
                <w:b/>
                <w:u w:val="single"/>
              </w:rPr>
            </w:pPr>
            <w:r>
              <w:rPr>
                <w:rFonts w:eastAsia="宋体" w:cs="Times New Roman"/>
                <w:b/>
                <w:u w:val="single"/>
              </w:rPr>
              <w:t>本项目</w:t>
            </w:r>
            <w:r>
              <w:rPr>
                <w:rFonts w:hint="eastAsia" w:eastAsia="宋体" w:cs="Times New Roman"/>
                <w:b/>
                <w:u w:val="single"/>
              </w:rPr>
              <w:t>注塑工艺布鞋</w:t>
            </w:r>
            <w:r>
              <w:rPr>
                <w:rFonts w:eastAsia="宋体" w:cs="Times New Roman"/>
                <w:b/>
                <w:u w:val="single"/>
              </w:rPr>
              <w:t>生产过程需要少量冷却水（间接冷却），循环使用。本项目设置1台水冷机组，配套设置1个冷却水塔（容积为</w:t>
            </w:r>
            <w:r>
              <w:rPr>
                <w:rFonts w:hint="eastAsia" w:eastAsia="宋体" w:cs="Times New Roman"/>
                <w:b/>
                <w:u w:val="single"/>
              </w:rPr>
              <w:t>3</w:t>
            </w:r>
            <w:r>
              <w:rPr>
                <w:rFonts w:eastAsia="宋体" w:cs="Times New Roman"/>
                <w:b/>
                <w:u w:val="single"/>
              </w:rPr>
              <w:t>m</w:t>
            </w:r>
            <w:r>
              <w:rPr>
                <w:rFonts w:eastAsia="宋体" w:cs="Times New Roman"/>
                <w:b/>
                <w:u w:val="single"/>
                <w:vertAlign w:val="superscript"/>
              </w:rPr>
              <w:t>3</w:t>
            </w:r>
            <w:r>
              <w:rPr>
                <w:rFonts w:eastAsia="宋体" w:cs="Times New Roman"/>
                <w:b/>
                <w:u w:val="single"/>
              </w:rPr>
              <w:t>）。</w:t>
            </w:r>
          </w:p>
          <w:p w14:paraId="6F57A238">
            <w:pPr>
              <w:pStyle w:val="156"/>
              <w:ind w:firstLine="482"/>
              <w:rPr>
                <w:rFonts w:eastAsia="宋体" w:cs="Times New Roman"/>
                <w:b/>
                <w:u w:val="single"/>
              </w:rPr>
            </w:pPr>
            <w:r>
              <w:rPr>
                <w:rFonts w:eastAsia="宋体" w:cs="Times New Roman"/>
                <w:b/>
                <w:u w:val="single"/>
              </w:rPr>
              <w:t>根据企业提供设计资料，冷却过程中蒸发损耗量约为0.1m</w:t>
            </w:r>
            <w:r>
              <w:rPr>
                <w:rFonts w:eastAsia="宋体" w:cs="Times New Roman"/>
                <w:b/>
                <w:u w:val="single"/>
                <w:vertAlign w:val="superscript"/>
              </w:rPr>
              <w:t>3</w:t>
            </w:r>
            <w:r>
              <w:rPr>
                <w:rFonts w:eastAsia="宋体" w:cs="Times New Roman"/>
                <w:b/>
                <w:u w:val="single"/>
              </w:rPr>
              <w:t>/d（30m</w:t>
            </w:r>
            <w:r>
              <w:rPr>
                <w:rFonts w:eastAsia="宋体" w:cs="Times New Roman"/>
                <w:b/>
                <w:u w:val="single"/>
                <w:vertAlign w:val="superscript"/>
              </w:rPr>
              <w:t>3</w:t>
            </w:r>
            <w:r>
              <w:rPr>
                <w:rFonts w:eastAsia="宋体" w:cs="Times New Roman"/>
                <w:b/>
                <w:u w:val="single"/>
              </w:rPr>
              <w:t>/a）；则循环冷却水补充用水水量为0.1m</w:t>
            </w:r>
            <w:r>
              <w:rPr>
                <w:rFonts w:eastAsia="宋体" w:cs="Times New Roman"/>
                <w:b/>
                <w:u w:val="single"/>
                <w:vertAlign w:val="superscript"/>
              </w:rPr>
              <w:t>3</w:t>
            </w:r>
            <w:r>
              <w:rPr>
                <w:rFonts w:eastAsia="宋体" w:cs="Times New Roman"/>
                <w:b/>
                <w:u w:val="single"/>
              </w:rPr>
              <w:t>/d（30m</w:t>
            </w:r>
            <w:r>
              <w:rPr>
                <w:rFonts w:eastAsia="宋体" w:cs="Times New Roman"/>
                <w:b/>
                <w:u w:val="single"/>
                <w:vertAlign w:val="superscript"/>
              </w:rPr>
              <w:t>3</w:t>
            </w:r>
            <w:r>
              <w:rPr>
                <w:rFonts w:eastAsia="宋体" w:cs="Times New Roman"/>
                <w:b/>
                <w:u w:val="single"/>
              </w:rPr>
              <w:t>/a）。</w:t>
            </w:r>
          </w:p>
          <w:p w14:paraId="11145882">
            <w:pPr>
              <w:pStyle w:val="156"/>
              <w:ind w:firstLine="482"/>
              <w:rPr>
                <w:rFonts w:eastAsia="宋体" w:cs="Times New Roman"/>
              </w:rPr>
            </w:pPr>
            <w:r>
              <w:rPr>
                <w:rFonts w:eastAsia="宋体" w:cs="Times New Roman"/>
                <w:b/>
                <w:u w:val="single"/>
              </w:rPr>
              <w:t>项目循环冷却水每日补充，循环使用不外排。</w:t>
            </w:r>
          </w:p>
          <w:p w14:paraId="0E46A13A">
            <w:pPr>
              <w:pStyle w:val="156"/>
              <w:ind w:firstLine="480"/>
              <w:rPr>
                <w:rFonts w:eastAsia="宋体" w:cs="Times New Roman"/>
              </w:rPr>
            </w:pPr>
            <w:r>
              <w:rPr>
                <w:rFonts w:eastAsia="宋体" w:cs="Times New Roman"/>
              </w:rPr>
              <w:t>（2）生活污水</w:t>
            </w:r>
          </w:p>
          <w:p w14:paraId="4229C081">
            <w:pPr>
              <w:pStyle w:val="156"/>
              <w:ind w:firstLine="480"/>
            </w:pPr>
            <w:r>
              <w:t>本项目劳动定员20人，员工为附近村民，就近回家食宿。根据河南省地方标准《工业与城镇生活用水定额》（DB41/T385-2020），不食宿人员生活用水量取40L/(人•d)，则本项目生活用水量0.8m</w:t>
            </w:r>
            <w:r>
              <w:rPr>
                <w:vertAlign w:val="superscript"/>
              </w:rPr>
              <w:t>3</w:t>
            </w:r>
            <w:r>
              <w:t>/d（240m</w:t>
            </w:r>
            <w:r>
              <w:rPr>
                <w:vertAlign w:val="superscript"/>
              </w:rPr>
              <w:t>3</w:t>
            </w:r>
            <w:r>
              <w:t>/a），生活污水排污系数取0.8，则本项目生活污水产生量为0.64m</w:t>
            </w:r>
            <w:r>
              <w:rPr>
                <w:vertAlign w:val="superscript"/>
              </w:rPr>
              <w:t>3</w:t>
            </w:r>
            <w:r>
              <w:t>/d（192m</w:t>
            </w:r>
            <w:r>
              <w:rPr>
                <w:vertAlign w:val="superscript"/>
              </w:rPr>
              <w:t>3</w:t>
            </w:r>
            <w:r>
              <w:t>/a）。本项目生活污水</w:t>
            </w:r>
            <w:r>
              <w:rPr>
                <w:rFonts w:hint="eastAsia"/>
              </w:rPr>
              <w:t>经</w:t>
            </w:r>
            <w:r>
              <w:t>厂区现有化粪池处理，由总排口外排进入市政污水管网。由市政管网进入中州渠人工湿地处理。</w:t>
            </w:r>
          </w:p>
          <w:p w14:paraId="5E58525F">
            <w:pPr>
              <w:pStyle w:val="182"/>
              <w:ind w:firstLine="480"/>
            </w:pPr>
          </w:p>
          <w:p w14:paraId="5665FEAD">
            <w:pPr>
              <w:pStyle w:val="182"/>
              <w:ind w:firstLine="480"/>
            </w:pPr>
            <w:r>
              <w:t>表4-</w:t>
            </w:r>
            <w:r>
              <w:rPr>
                <w:rFonts w:hint="eastAsia"/>
              </w:rPr>
              <w:t>11</w:t>
            </w:r>
            <w:r>
              <w:t xml:space="preserve">       本项目废水污染物产生及排放情况一览表</w:t>
            </w:r>
          </w:p>
          <w:tbl>
            <w:tblPr>
              <w:tblStyle w:val="88"/>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94"/>
              <w:gridCol w:w="2016"/>
              <w:gridCol w:w="1249"/>
              <w:gridCol w:w="1397"/>
              <w:gridCol w:w="1397"/>
              <w:gridCol w:w="1380"/>
            </w:tblGrid>
            <w:tr w14:paraId="7B92E2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929" w:type="pct"/>
                  <w:gridSpan w:val="2"/>
                  <w:vAlign w:val="center"/>
                </w:tcPr>
                <w:p w14:paraId="0397DB3F">
                  <w:pPr>
                    <w:pStyle w:val="154"/>
                    <w:rPr>
                      <w:sz w:val="21"/>
                      <w:szCs w:val="21"/>
                    </w:rPr>
                  </w:pPr>
                  <w:r>
                    <w:rPr>
                      <w:sz w:val="21"/>
                      <w:szCs w:val="21"/>
                    </w:rPr>
                    <w:t>类别</w:t>
                  </w:r>
                </w:p>
              </w:tc>
              <w:tc>
                <w:tcPr>
                  <w:tcW w:w="707" w:type="pct"/>
                  <w:vAlign w:val="center"/>
                </w:tcPr>
                <w:p w14:paraId="1EDD1ECB">
                  <w:pPr>
                    <w:pStyle w:val="154"/>
                    <w:rPr>
                      <w:sz w:val="21"/>
                      <w:szCs w:val="21"/>
                    </w:rPr>
                  </w:pPr>
                  <w:r>
                    <w:rPr>
                      <w:sz w:val="21"/>
                      <w:szCs w:val="21"/>
                    </w:rPr>
                    <w:t>COD</w:t>
                  </w:r>
                </w:p>
              </w:tc>
              <w:tc>
                <w:tcPr>
                  <w:tcW w:w="791" w:type="pct"/>
                  <w:vAlign w:val="center"/>
                </w:tcPr>
                <w:p w14:paraId="049A03C1">
                  <w:pPr>
                    <w:pStyle w:val="154"/>
                    <w:rPr>
                      <w:sz w:val="21"/>
                      <w:szCs w:val="21"/>
                    </w:rPr>
                  </w:pPr>
                  <w:r>
                    <w:rPr>
                      <w:sz w:val="21"/>
                      <w:szCs w:val="21"/>
                    </w:rPr>
                    <w:t>BOD</w:t>
                  </w:r>
                  <w:r>
                    <w:rPr>
                      <w:sz w:val="21"/>
                      <w:szCs w:val="21"/>
                      <w:vertAlign w:val="subscript"/>
                    </w:rPr>
                    <w:t>5</w:t>
                  </w:r>
                </w:p>
              </w:tc>
              <w:tc>
                <w:tcPr>
                  <w:tcW w:w="791" w:type="pct"/>
                  <w:vAlign w:val="center"/>
                </w:tcPr>
                <w:p w14:paraId="27D3CBD8">
                  <w:pPr>
                    <w:pStyle w:val="154"/>
                    <w:rPr>
                      <w:sz w:val="21"/>
                      <w:szCs w:val="21"/>
                    </w:rPr>
                  </w:pPr>
                  <w:r>
                    <w:rPr>
                      <w:sz w:val="21"/>
                      <w:szCs w:val="21"/>
                    </w:rPr>
                    <w:t>NH</w:t>
                  </w:r>
                  <w:r>
                    <w:rPr>
                      <w:sz w:val="21"/>
                      <w:szCs w:val="21"/>
                      <w:vertAlign w:val="subscript"/>
                    </w:rPr>
                    <w:t>3</w:t>
                  </w:r>
                  <w:r>
                    <w:rPr>
                      <w:sz w:val="21"/>
                      <w:szCs w:val="21"/>
                    </w:rPr>
                    <w:t>-N</w:t>
                  </w:r>
                </w:p>
              </w:tc>
              <w:tc>
                <w:tcPr>
                  <w:tcW w:w="782" w:type="pct"/>
                  <w:vAlign w:val="center"/>
                </w:tcPr>
                <w:p w14:paraId="0DEE6147">
                  <w:pPr>
                    <w:pStyle w:val="154"/>
                    <w:rPr>
                      <w:sz w:val="21"/>
                      <w:szCs w:val="21"/>
                    </w:rPr>
                  </w:pPr>
                  <w:r>
                    <w:rPr>
                      <w:sz w:val="21"/>
                      <w:szCs w:val="21"/>
                    </w:rPr>
                    <w:t>SS</w:t>
                  </w:r>
                </w:p>
              </w:tc>
            </w:tr>
            <w:tr w14:paraId="7076B9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789" w:type="pct"/>
                  <w:vMerge w:val="restart"/>
                  <w:vAlign w:val="center"/>
                </w:tcPr>
                <w:p w14:paraId="49B186F4">
                  <w:pPr>
                    <w:pStyle w:val="154"/>
                    <w:rPr>
                      <w:sz w:val="21"/>
                      <w:szCs w:val="21"/>
                    </w:rPr>
                  </w:pPr>
                  <w:r>
                    <w:rPr>
                      <w:sz w:val="21"/>
                      <w:szCs w:val="21"/>
                    </w:rPr>
                    <w:t>生活污水</w:t>
                  </w:r>
                </w:p>
                <w:p w14:paraId="3D4B5483">
                  <w:pPr>
                    <w:pStyle w:val="154"/>
                  </w:pPr>
                  <w:r>
                    <w:rPr>
                      <w:sz w:val="21"/>
                      <w:szCs w:val="21"/>
                    </w:rPr>
                    <w:t>0.64m</w:t>
                  </w:r>
                  <w:r>
                    <w:rPr>
                      <w:sz w:val="21"/>
                      <w:szCs w:val="21"/>
                      <w:vertAlign w:val="superscript"/>
                    </w:rPr>
                    <w:t>3</w:t>
                  </w:r>
                  <w:r>
                    <w:rPr>
                      <w:sz w:val="21"/>
                      <w:szCs w:val="21"/>
                    </w:rPr>
                    <w:t>/d（192m</w:t>
                  </w:r>
                  <w:r>
                    <w:rPr>
                      <w:sz w:val="21"/>
                      <w:szCs w:val="21"/>
                      <w:vertAlign w:val="superscript"/>
                    </w:rPr>
                    <w:t>3</w:t>
                  </w:r>
                  <w:r>
                    <w:rPr>
                      <w:sz w:val="21"/>
                      <w:szCs w:val="21"/>
                    </w:rPr>
                    <w:t>/a）</w:t>
                  </w:r>
                </w:p>
              </w:tc>
              <w:tc>
                <w:tcPr>
                  <w:tcW w:w="1141" w:type="pct"/>
                  <w:vAlign w:val="center"/>
                </w:tcPr>
                <w:p w14:paraId="36C57385">
                  <w:pPr>
                    <w:pStyle w:val="154"/>
                    <w:rPr>
                      <w:sz w:val="21"/>
                      <w:szCs w:val="21"/>
                    </w:rPr>
                  </w:pPr>
                  <w:r>
                    <w:rPr>
                      <w:sz w:val="21"/>
                      <w:szCs w:val="21"/>
                    </w:rPr>
                    <w:t>浓度（mg/L）</w:t>
                  </w:r>
                </w:p>
              </w:tc>
              <w:tc>
                <w:tcPr>
                  <w:tcW w:w="707" w:type="pct"/>
                  <w:vAlign w:val="center"/>
                </w:tcPr>
                <w:p w14:paraId="214BDA92">
                  <w:pPr>
                    <w:pStyle w:val="154"/>
                    <w:rPr>
                      <w:sz w:val="21"/>
                      <w:szCs w:val="21"/>
                    </w:rPr>
                  </w:pPr>
                  <w:r>
                    <w:rPr>
                      <w:sz w:val="21"/>
                      <w:szCs w:val="21"/>
                    </w:rPr>
                    <w:t>350</w:t>
                  </w:r>
                </w:p>
              </w:tc>
              <w:tc>
                <w:tcPr>
                  <w:tcW w:w="791" w:type="pct"/>
                  <w:vAlign w:val="center"/>
                </w:tcPr>
                <w:p w14:paraId="4B3E0F57">
                  <w:pPr>
                    <w:pStyle w:val="154"/>
                    <w:rPr>
                      <w:sz w:val="21"/>
                      <w:szCs w:val="21"/>
                    </w:rPr>
                  </w:pPr>
                  <w:r>
                    <w:rPr>
                      <w:sz w:val="21"/>
                      <w:szCs w:val="21"/>
                    </w:rPr>
                    <w:t>180</w:t>
                  </w:r>
                </w:p>
              </w:tc>
              <w:tc>
                <w:tcPr>
                  <w:tcW w:w="791" w:type="pct"/>
                  <w:vAlign w:val="center"/>
                </w:tcPr>
                <w:p w14:paraId="16A92E16">
                  <w:pPr>
                    <w:pStyle w:val="154"/>
                    <w:rPr>
                      <w:sz w:val="21"/>
                      <w:szCs w:val="21"/>
                    </w:rPr>
                  </w:pPr>
                  <w:r>
                    <w:rPr>
                      <w:sz w:val="21"/>
                      <w:szCs w:val="21"/>
                    </w:rPr>
                    <w:t>30</w:t>
                  </w:r>
                </w:p>
              </w:tc>
              <w:tc>
                <w:tcPr>
                  <w:tcW w:w="782" w:type="pct"/>
                  <w:vAlign w:val="center"/>
                </w:tcPr>
                <w:p w14:paraId="5B86FBBE">
                  <w:pPr>
                    <w:pStyle w:val="154"/>
                    <w:rPr>
                      <w:sz w:val="21"/>
                      <w:szCs w:val="21"/>
                    </w:rPr>
                  </w:pPr>
                  <w:r>
                    <w:rPr>
                      <w:sz w:val="21"/>
                      <w:szCs w:val="21"/>
                    </w:rPr>
                    <w:t>200</w:t>
                  </w:r>
                </w:p>
              </w:tc>
            </w:tr>
            <w:tr w14:paraId="347D67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789" w:type="pct"/>
                  <w:vMerge w:val="continue"/>
                  <w:vAlign w:val="center"/>
                </w:tcPr>
                <w:p w14:paraId="62841E70">
                  <w:pPr>
                    <w:pStyle w:val="154"/>
                  </w:pPr>
                </w:p>
              </w:tc>
              <w:tc>
                <w:tcPr>
                  <w:tcW w:w="1141" w:type="pct"/>
                  <w:vAlign w:val="center"/>
                </w:tcPr>
                <w:p w14:paraId="2B90273E">
                  <w:pPr>
                    <w:pStyle w:val="154"/>
                    <w:rPr>
                      <w:sz w:val="21"/>
                      <w:szCs w:val="21"/>
                    </w:rPr>
                  </w:pPr>
                  <w:r>
                    <w:rPr>
                      <w:sz w:val="21"/>
                      <w:szCs w:val="21"/>
                    </w:rPr>
                    <w:t>产生量（t/a）</w:t>
                  </w:r>
                </w:p>
              </w:tc>
              <w:tc>
                <w:tcPr>
                  <w:tcW w:w="707" w:type="pct"/>
                  <w:vAlign w:val="center"/>
                </w:tcPr>
                <w:p w14:paraId="3B73D2C1">
                  <w:pPr>
                    <w:pStyle w:val="154"/>
                    <w:rPr>
                      <w:sz w:val="21"/>
                      <w:szCs w:val="21"/>
                    </w:rPr>
                  </w:pPr>
                  <w:r>
                    <w:rPr>
                      <w:sz w:val="21"/>
                      <w:szCs w:val="21"/>
                    </w:rPr>
                    <w:t>0.067</w:t>
                  </w:r>
                </w:p>
              </w:tc>
              <w:tc>
                <w:tcPr>
                  <w:tcW w:w="791" w:type="pct"/>
                  <w:vAlign w:val="center"/>
                </w:tcPr>
                <w:p w14:paraId="49875CDB">
                  <w:pPr>
                    <w:pStyle w:val="154"/>
                    <w:rPr>
                      <w:sz w:val="21"/>
                      <w:szCs w:val="21"/>
                    </w:rPr>
                  </w:pPr>
                  <w:r>
                    <w:rPr>
                      <w:sz w:val="21"/>
                      <w:szCs w:val="21"/>
                    </w:rPr>
                    <w:t>0.03</w:t>
                  </w:r>
                  <w:r>
                    <w:rPr>
                      <w:rFonts w:hint="eastAsia"/>
                      <w:sz w:val="21"/>
                      <w:szCs w:val="21"/>
                    </w:rPr>
                    <w:t>5</w:t>
                  </w:r>
                </w:p>
              </w:tc>
              <w:tc>
                <w:tcPr>
                  <w:tcW w:w="791" w:type="pct"/>
                  <w:vAlign w:val="center"/>
                </w:tcPr>
                <w:p w14:paraId="6B7870F7">
                  <w:pPr>
                    <w:pStyle w:val="154"/>
                    <w:rPr>
                      <w:sz w:val="21"/>
                      <w:szCs w:val="21"/>
                    </w:rPr>
                  </w:pPr>
                  <w:r>
                    <w:rPr>
                      <w:sz w:val="21"/>
                      <w:szCs w:val="21"/>
                    </w:rPr>
                    <w:t>0.0058</w:t>
                  </w:r>
                </w:p>
              </w:tc>
              <w:tc>
                <w:tcPr>
                  <w:tcW w:w="782" w:type="pct"/>
                  <w:vAlign w:val="center"/>
                </w:tcPr>
                <w:p w14:paraId="41F27E28">
                  <w:pPr>
                    <w:pStyle w:val="154"/>
                    <w:rPr>
                      <w:sz w:val="21"/>
                      <w:szCs w:val="21"/>
                    </w:rPr>
                  </w:pPr>
                  <w:r>
                    <w:rPr>
                      <w:sz w:val="21"/>
                      <w:szCs w:val="21"/>
                    </w:rPr>
                    <w:t>0.038</w:t>
                  </w:r>
                </w:p>
              </w:tc>
            </w:tr>
            <w:tr w14:paraId="7F11FD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789" w:type="pct"/>
                  <w:vMerge w:val="continue"/>
                  <w:vAlign w:val="center"/>
                </w:tcPr>
                <w:p w14:paraId="6B3CAA33">
                  <w:pPr>
                    <w:pStyle w:val="154"/>
                  </w:pPr>
                </w:p>
              </w:tc>
              <w:tc>
                <w:tcPr>
                  <w:tcW w:w="1141" w:type="pct"/>
                  <w:vAlign w:val="center"/>
                </w:tcPr>
                <w:p w14:paraId="11AC93A3">
                  <w:pPr>
                    <w:pStyle w:val="154"/>
                    <w:rPr>
                      <w:sz w:val="21"/>
                      <w:szCs w:val="21"/>
                    </w:rPr>
                  </w:pPr>
                  <w:r>
                    <w:rPr>
                      <w:sz w:val="21"/>
                      <w:szCs w:val="21"/>
                    </w:rPr>
                    <w:t>处理效率（%）</w:t>
                  </w:r>
                </w:p>
              </w:tc>
              <w:tc>
                <w:tcPr>
                  <w:tcW w:w="707" w:type="pct"/>
                  <w:vAlign w:val="center"/>
                </w:tcPr>
                <w:p w14:paraId="47B475AA">
                  <w:pPr>
                    <w:pStyle w:val="154"/>
                    <w:rPr>
                      <w:sz w:val="21"/>
                      <w:szCs w:val="21"/>
                    </w:rPr>
                  </w:pPr>
                  <w:r>
                    <w:rPr>
                      <w:sz w:val="21"/>
                      <w:szCs w:val="21"/>
                    </w:rPr>
                    <w:t>20</w:t>
                  </w:r>
                </w:p>
              </w:tc>
              <w:tc>
                <w:tcPr>
                  <w:tcW w:w="791" w:type="pct"/>
                  <w:vAlign w:val="center"/>
                </w:tcPr>
                <w:p w14:paraId="215A42E0">
                  <w:pPr>
                    <w:pStyle w:val="154"/>
                    <w:rPr>
                      <w:sz w:val="21"/>
                      <w:szCs w:val="21"/>
                    </w:rPr>
                  </w:pPr>
                  <w:r>
                    <w:rPr>
                      <w:sz w:val="21"/>
                      <w:szCs w:val="21"/>
                    </w:rPr>
                    <w:t>20</w:t>
                  </w:r>
                </w:p>
              </w:tc>
              <w:tc>
                <w:tcPr>
                  <w:tcW w:w="791" w:type="pct"/>
                  <w:vAlign w:val="center"/>
                </w:tcPr>
                <w:p w14:paraId="203ACC8B">
                  <w:pPr>
                    <w:pStyle w:val="154"/>
                    <w:rPr>
                      <w:sz w:val="21"/>
                      <w:szCs w:val="21"/>
                    </w:rPr>
                  </w:pPr>
                  <w:r>
                    <w:rPr>
                      <w:sz w:val="21"/>
                      <w:szCs w:val="21"/>
                    </w:rPr>
                    <w:t>3</w:t>
                  </w:r>
                </w:p>
              </w:tc>
              <w:tc>
                <w:tcPr>
                  <w:tcW w:w="782" w:type="pct"/>
                  <w:vAlign w:val="center"/>
                </w:tcPr>
                <w:p w14:paraId="04E8D99A">
                  <w:pPr>
                    <w:pStyle w:val="154"/>
                    <w:rPr>
                      <w:sz w:val="21"/>
                      <w:szCs w:val="21"/>
                    </w:rPr>
                  </w:pPr>
                  <w:r>
                    <w:rPr>
                      <w:sz w:val="21"/>
                      <w:szCs w:val="21"/>
                    </w:rPr>
                    <w:t>50</w:t>
                  </w:r>
                </w:p>
              </w:tc>
            </w:tr>
            <w:tr w14:paraId="4A7AA6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789" w:type="pct"/>
                  <w:vMerge w:val="continue"/>
                  <w:vAlign w:val="center"/>
                </w:tcPr>
                <w:p w14:paraId="25C16B41">
                  <w:pPr>
                    <w:pStyle w:val="154"/>
                  </w:pPr>
                </w:p>
              </w:tc>
              <w:tc>
                <w:tcPr>
                  <w:tcW w:w="1141" w:type="pct"/>
                  <w:vAlign w:val="center"/>
                </w:tcPr>
                <w:p w14:paraId="3FC7A9C7">
                  <w:pPr>
                    <w:pStyle w:val="154"/>
                    <w:rPr>
                      <w:sz w:val="21"/>
                      <w:szCs w:val="21"/>
                    </w:rPr>
                  </w:pPr>
                  <w:r>
                    <w:rPr>
                      <w:sz w:val="21"/>
                      <w:szCs w:val="21"/>
                    </w:rPr>
                    <w:t>浓度（mg/L）</w:t>
                  </w:r>
                </w:p>
              </w:tc>
              <w:tc>
                <w:tcPr>
                  <w:tcW w:w="707" w:type="pct"/>
                  <w:vAlign w:val="center"/>
                </w:tcPr>
                <w:p w14:paraId="274E2232">
                  <w:pPr>
                    <w:pStyle w:val="154"/>
                    <w:rPr>
                      <w:sz w:val="21"/>
                      <w:szCs w:val="21"/>
                    </w:rPr>
                  </w:pPr>
                  <w:r>
                    <w:rPr>
                      <w:sz w:val="21"/>
                      <w:szCs w:val="21"/>
                    </w:rPr>
                    <w:t>280</w:t>
                  </w:r>
                </w:p>
              </w:tc>
              <w:tc>
                <w:tcPr>
                  <w:tcW w:w="791" w:type="pct"/>
                  <w:vAlign w:val="center"/>
                </w:tcPr>
                <w:p w14:paraId="51CE517E">
                  <w:pPr>
                    <w:pStyle w:val="154"/>
                    <w:rPr>
                      <w:sz w:val="21"/>
                      <w:szCs w:val="21"/>
                    </w:rPr>
                  </w:pPr>
                  <w:r>
                    <w:rPr>
                      <w:sz w:val="21"/>
                      <w:szCs w:val="21"/>
                    </w:rPr>
                    <w:t>144</w:t>
                  </w:r>
                </w:p>
              </w:tc>
              <w:tc>
                <w:tcPr>
                  <w:tcW w:w="791" w:type="pct"/>
                  <w:vAlign w:val="center"/>
                </w:tcPr>
                <w:p w14:paraId="4DD4C159">
                  <w:pPr>
                    <w:pStyle w:val="154"/>
                    <w:rPr>
                      <w:sz w:val="21"/>
                      <w:szCs w:val="21"/>
                    </w:rPr>
                  </w:pPr>
                  <w:r>
                    <w:rPr>
                      <w:sz w:val="21"/>
                      <w:szCs w:val="21"/>
                    </w:rPr>
                    <w:t>29.1</w:t>
                  </w:r>
                </w:p>
              </w:tc>
              <w:tc>
                <w:tcPr>
                  <w:tcW w:w="782" w:type="pct"/>
                  <w:vAlign w:val="center"/>
                </w:tcPr>
                <w:p w14:paraId="52F9E8F2">
                  <w:pPr>
                    <w:pStyle w:val="154"/>
                    <w:rPr>
                      <w:sz w:val="21"/>
                      <w:szCs w:val="21"/>
                    </w:rPr>
                  </w:pPr>
                  <w:r>
                    <w:rPr>
                      <w:sz w:val="21"/>
                      <w:szCs w:val="21"/>
                    </w:rPr>
                    <w:t>100</w:t>
                  </w:r>
                </w:p>
              </w:tc>
            </w:tr>
            <w:tr w14:paraId="2144E7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789" w:type="pct"/>
                  <w:vMerge w:val="continue"/>
                  <w:vAlign w:val="center"/>
                </w:tcPr>
                <w:p w14:paraId="00908763">
                  <w:pPr>
                    <w:pStyle w:val="154"/>
                  </w:pPr>
                </w:p>
              </w:tc>
              <w:tc>
                <w:tcPr>
                  <w:tcW w:w="1141" w:type="pct"/>
                  <w:vAlign w:val="center"/>
                </w:tcPr>
                <w:p w14:paraId="385241F7">
                  <w:pPr>
                    <w:pStyle w:val="154"/>
                    <w:rPr>
                      <w:sz w:val="21"/>
                      <w:szCs w:val="21"/>
                    </w:rPr>
                  </w:pPr>
                  <w:r>
                    <w:rPr>
                      <w:sz w:val="21"/>
                      <w:szCs w:val="21"/>
                    </w:rPr>
                    <w:t>排放量（t/a）</w:t>
                  </w:r>
                </w:p>
              </w:tc>
              <w:tc>
                <w:tcPr>
                  <w:tcW w:w="707" w:type="pct"/>
                  <w:vAlign w:val="center"/>
                </w:tcPr>
                <w:p w14:paraId="35BB6303">
                  <w:pPr>
                    <w:pStyle w:val="154"/>
                    <w:rPr>
                      <w:sz w:val="21"/>
                      <w:szCs w:val="21"/>
                    </w:rPr>
                  </w:pPr>
                  <w:r>
                    <w:rPr>
                      <w:sz w:val="21"/>
                      <w:szCs w:val="21"/>
                    </w:rPr>
                    <w:t>0.05</w:t>
                  </w:r>
                  <w:r>
                    <w:rPr>
                      <w:rFonts w:hint="eastAsia"/>
                      <w:sz w:val="21"/>
                      <w:szCs w:val="21"/>
                    </w:rPr>
                    <w:t>4</w:t>
                  </w:r>
                </w:p>
              </w:tc>
              <w:tc>
                <w:tcPr>
                  <w:tcW w:w="791" w:type="pct"/>
                  <w:vAlign w:val="center"/>
                </w:tcPr>
                <w:p w14:paraId="75830533">
                  <w:pPr>
                    <w:pStyle w:val="154"/>
                    <w:rPr>
                      <w:sz w:val="21"/>
                      <w:szCs w:val="21"/>
                    </w:rPr>
                  </w:pPr>
                  <w:r>
                    <w:rPr>
                      <w:sz w:val="21"/>
                      <w:szCs w:val="21"/>
                    </w:rPr>
                    <w:t>0.02</w:t>
                  </w:r>
                  <w:r>
                    <w:rPr>
                      <w:rFonts w:hint="eastAsia"/>
                      <w:sz w:val="21"/>
                      <w:szCs w:val="21"/>
                    </w:rPr>
                    <w:t>8</w:t>
                  </w:r>
                </w:p>
              </w:tc>
              <w:tc>
                <w:tcPr>
                  <w:tcW w:w="791" w:type="pct"/>
                  <w:vAlign w:val="center"/>
                </w:tcPr>
                <w:p w14:paraId="2CE65F8A">
                  <w:pPr>
                    <w:pStyle w:val="154"/>
                    <w:rPr>
                      <w:sz w:val="21"/>
                      <w:szCs w:val="21"/>
                    </w:rPr>
                  </w:pPr>
                  <w:r>
                    <w:rPr>
                      <w:sz w:val="21"/>
                      <w:szCs w:val="21"/>
                    </w:rPr>
                    <w:t>0.0056</w:t>
                  </w:r>
                </w:p>
              </w:tc>
              <w:tc>
                <w:tcPr>
                  <w:tcW w:w="782" w:type="pct"/>
                  <w:vAlign w:val="center"/>
                </w:tcPr>
                <w:p w14:paraId="4C71725C">
                  <w:pPr>
                    <w:pStyle w:val="154"/>
                    <w:rPr>
                      <w:sz w:val="21"/>
                      <w:szCs w:val="21"/>
                    </w:rPr>
                  </w:pPr>
                  <w:r>
                    <w:rPr>
                      <w:sz w:val="21"/>
                      <w:szCs w:val="21"/>
                    </w:rPr>
                    <w:t>0.019</w:t>
                  </w:r>
                </w:p>
              </w:tc>
            </w:tr>
          </w:tbl>
          <w:p w14:paraId="21393538">
            <w:pPr>
              <w:pStyle w:val="182"/>
              <w:ind w:firstLine="480"/>
            </w:pPr>
            <w:r>
              <w:t>表4-</w:t>
            </w:r>
            <w:r>
              <w:rPr>
                <w:rFonts w:hint="eastAsia"/>
              </w:rPr>
              <w:t>12</w:t>
            </w:r>
            <w:r>
              <w:t xml:space="preserve">      废水类别、污染物及污染治理设施信息表</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4"/>
              <w:gridCol w:w="791"/>
              <w:gridCol w:w="991"/>
              <w:gridCol w:w="763"/>
              <w:gridCol w:w="797"/>
              <w:gridCol w:w="986"/>
              <w:gridCol w:w="920"/>
              <w:gridCol w:w="1486"/>
              <w:gridCol w:w="1645"/>
            </w:tblGrid>
            <w:tr w14:paraId="4476E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257" w:type="pct"/>
                  <w:vAlign w:val="center"/>
                </w:tcPr>
                <w:p w14:paraId="5C7F175D">
                  <w:pPr>
                    <w:pStyle w:val="154"/>
                    <w:rPr>
                      <w:sz w:val="21"/>
                      <w:szCs w:val="21"/>
                    </w:rPr>
                  </w:pPr>
                  <w:r>
                    <w:rPr>
                      <w:sz w:val="21"/>
                      <w:szCs w:val="21"/>
                    </w:rPr>
                    <w:t>序号</w:t>
                  </w:r>
                </w:p>
              </w:tc>
              <w:tc>
                <w:tcPr>
                  <w:tcW w:w="448" w:type="pct"/>
                  <w:vAlign w:val="center"/>
                </w:tcPr>
                <w:p w14:paraId="5FF407CA">
                  <w:pPr>
                    <w:pStyle w:val="154"/>
                    <w:rPr>
                      <w:sz w:val="21"/>
                      <w:szCs w:val="21"/>
                    </w:rPr>
                  </w:pPr>
                  <w:r>
                    <w:rPr>
                      <w:sz w:val="21"/>
                      <w:szCs w:val="21"/>
                    </w:rPr>
                    <w:t>废水类别</w:t>
                  </w:r>
                </w:p>
              </w:tc>
              <w:tc>
                <w:tcPr>
                  <w:tcW w:w="561" w:type="pct"/>
                  <w:vAlign w:val="center"/>
                </w:tcPr>
                <w:p w14:paraId="1D539376">
                  <w:pPr>
                    <w:pStyle w:val="154"/>
                    <w:rPr>
                      <w:sz w:val="21"/>
                      <w:szCs w:val="21"/>
                    </w:rPr>
                  </w:pPr>
                  <w:r>
                    <w:rPr>
                      <w:sz w:val="21"/>
                      <w:szCs w:val="21"/>
                    </w:rPr>
                    <w:t>污染物种类</w:t>
                  </w:r>
                </w:p>
              </w:tc>
              <w:tc>
                <w:tcPr>
                  <w:tcW w:w="432" w:type="pct"/>
                  <w:vAlign w:val="center"/>
                </w:tcPr>
                <w:p w14:paraId="0726114A">
                  <w:pPr>
                    <w:pStyle w:val="154"/>
                    <w:rPr>
                      <w:sz w:val="21"/>
                      <w:szCs w:val="21"/>
                    </w:rPr>
                  </w:pPr>
                  <w:r>
                    <w:rPr>
                      <w:sz w:val="21"/>
                      <w:szCs w:val="21"/>
                    </w:rPr>
                    <w:t>排放去向</w:t>
                  </w:r>
                </w:p>
              </w:tc>
              <w:tc>
                <w:tcPr>
                  <w:tcW w:w="451" w:type="pct"/>
                  <w:vAlign w:val="center"/>
                </w:tcPr>
                <w:p w14:paraId="3701D43B">
                  <w:pPr>
                    <w:pStyle w:val="154"/>
                    <w:rPr>
                      <w:sz w:val="21"/>
                      <w:szCs w:val="21"/>
                    </w:rPr>
                  </w:pPr>
                  <w:r>
                    <w:rPr>
                      <w:sz w:val="21"/>
                      <w:szCs w:val="21"/>
                    </w:rPr>
                    <w:t>排放</w:t>
                  </w:r>
                  <w:r>
                    <w:rPr>
                      <w:rFonts w:hint="eastAsia"/>
                      <w:sz w:val="21"/>
                      <w:szCs w:val="21"/>
                    </w:rPr>
                    <w:t>规律</w:t>
                  </w:r>
                </w:p>
              </w:tc>
              <w:tc>
                <w:tcPr>
                  <w:tcW w:w="558" w:type="pct"/>
                  <w:vAlign w:val="center"/>
                </w:tcPr>
                <w:p w14:paraId="4F1E178A">
                  <w:pPr>
                    <w:pStyle w:val="154"/>
                    <w:rPr>
                      <w:sz w:val="21"/>
                      <w:szCs w:val="21"/>
                    </w:rPr>
                  </w:pPr>
                  <w:r>
                    <w:rPr>
                      <w:sz w:val="21"/>
                      <w:szCs w:val="21"/>
                    </w:rPr>
                    <w:t>污染防治设施</w:t>
                  </w:r>
                </w:p>
              </w:tc>
              <w:tc>
                <w:tcPr>
                  <w:tcW w:w="521" w:type="pct"/>
                  <w:vAlign w:val="center"/>
                </w:tcPr>
                <w:p w14:paraId="390F8DF0">
                  <w:pPr>
                    <w:pStyle w:val="154"/>
                    <w:rPr>
                      <w:sz w:val="21"/>
                      <w:szCs w:val="21"/>
                    </w:rPr>
                  </w:pPr>
                  <w:r>
                    <w:rPr>
                      <w:sz w:val="21"/>
                      <w:szCs w:val="21"/>
                    </w:rPr>
                    <w:t>排放口编号</w:t>
                  </w:r>
                </w:p>
              </w:tc>
              <w:tc>
                <w:tcPr>
                  <w:tcW w:w="841" w:type="pct"/>
                  <w:vAlign w:val="center"/>
                </w:tcPr>
                <w:p w14:paraId="581B0858">
                  <w:pPr>
                    <w:pStyle w:val="154"/>
                    <w:rPr>
                      <w:sz w:val="21"/>
                      <w:szCs w:val="21"/>
                    </w:rPr>
                  </w:pPr>
                  <w:r>
                    <w:rPr>
                      <w:sz w:val="21"/>
                      <w:szCs w:val="21"/>
                    </w:rPr>
                    <w:t>排放口设置是否符合要求</w:t>
                  </w:r>
                </w:p>
              </w:tc>
              <w:tc>
                <w:tcPr>
                  <w:tcW w:w="931" w:type="pct"/>
                  <w:vAlign w:val="center"/>
                </w:tcPr>
                <w:p w14:paraId="29AF4FD3">
                  <w:pPr>
                    <w:pStyle w:val="154"/>
                    <w:rPr>
                      <w:sz w:val="21"/>
                      <w:szCs w:val="21"/>
                    </w:rPr>
                  </w:pPr>
                  <w:r>
                    <w:rPr>
                      <w:sz w:val="21"/>
                      <w:szCs w:val="21"/>
                    </w:rPr>
                    <w:t xml:space="preserve">排放口类型 </w:t>
                  </w:r>
                </w:p>
              </w:tc>
            </w:tr>
            <w:tr w14:paraId="70F45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257" w:type="pct"/>
                  <w:vMerge w:val="restart"/>
                  <w:vAlign w:val="center"/>
                </w:tcPr>
                <w:p w14:paraId="27F735FB">
                  <w:pPr>
                    <w:pStyle w:val="154"/>
                    <w:rPr>
                      <w:sz w:val="21"/>
                      <w:szCs w:val="21"/>
                    </w:rPr>
                  </w:pPr>
                  <w:r>
                    <w:rPr>
                      <w:sz w:val="21"/>
                      <w:szCs w:val="21"/>
                    </w:rPr>
                    <w:t>1</w:t>
                  </w:r>
                </w:p>
              </w:tc>
              <w:tc>
                <w:tcPr>
                  <w:tcW w:w="448" w:type="pct"/>
                  <w:vMerge w:val="restart"/>
                  <w:vAlign w:val="center"/>
                </w:tcPr>
                <w:p w14:paraId="27888B9E">
                  <w:pPr>
                    <w:pStyle w:val="154"/>
                    <w:rPr>
                      <w:sz w:val="21"/>
                      <w:szCs w:val="21"/>
                    </w:rPr>
                  </w:pPr>
                  <w:r>
                    <w:rPr>
                      <w:sz w:val="21"/>
                      <w:szCs w:val="21"/>
                    </w:rPr>
                    <w:t>生活污水</w:t>
                  </w:r>
                </w:p>
              </w:tc>
              <w:tc>
                <w:tcPr>
                  <w:tcW w:w="561" w:type="pct"/>
                  <w:vAlign w:val="center"/>
                </w:tcPr>
                <w:p w14:paraId="1CD6B9CB">
                  <w:pPr>
                    <w:pStyle w:val="154"/>
                    <w:rPr>
                      <w:sz w:val="21"/>
                      <w:szCs w:val="21"/>
                    </w:rPr>
                  </w:pPr>
                  <w:r>
                    <w:rPr>
                      <w:sz w:val="21"/>
                      <w:szCs w:val="21"/>
                    </w:rPr>
                    <w:t>COD</w:t>
                  </w:r>
                </w:p>
              </w:tc>
              <w:tc>
                <w:tcPr>
                  <w:tcW w:w="432" w:type="pct"/>
                  <w:vMerge w:val="restart"/>
                  <w:vAlign w:val="center"/>
                </w:tcPr>
                <w:p w14:paraId="1A7F8BAE">
                  <w:pPr>
                    <w:pStyle w:val="154"/>
                    <w:rPr>
                      <w:sz w:val="21"/>
                      <w:szCs w:val="21"/>
                    </w:rPr>
                  </w:pPr>
                  <w:r>
                    <w:rPr>
                      <w:sz w:val="21"/>
                      <w:szCs w:val="21"/>
                    </w:rPr>
                    <w:t>市政管网</w:t>
                  </w:r>
                </w:p>
              </w:tc>
              <w:tc>
                <w:tcPr>
                  <w:tcW w:w="451" w:type="pct"/>
                  <w:vMerge w:val="restart"/>
                  <w:vAlign w:val="center"/>
                </w:tcPr>
                <w:p w14:paraId="66B5B915">
                  <w:pPr>
                    <w:pStyle w:val="154"/>
                    <w:rPr>
                      <w:sz w:val="21"/>
                      <w:szCs w:val="21"/>
                    </w:rPr>
                  </w:pPr>
                  <w:r>
                    <w:rPr>
                      <w:sz w:val="21"/>
                      <w:szCs w:val="21"/>
                    </w:rPr>
                    <w:t>间</w:t>
                  </w:r>
                  <w:r>
                    <w:rPr>
                      <w:rFonts w:hint="eastAsia"/>
                      <w:sz w:val="21"/>
                      <w:szCs w:val="21"/>
                    </w:rPr>
                    <w:t>断</w:t>
                  </w:r>
                  <w:r>
                    <w:rPr>
                      <w:sz w:val="21"/>
                      <w:szCs w:val="21"/>
                    </w:rPr>
                    <w:t>排放</w:t>
                  </w:r>
                </w:p>
              </w:tc>
              <w:tc>
                <w:tcPr>
                  <w:tcW w:w="558" w:type="pct"/>
                  <w:vMerge w:val="restart"/>
                  <w:vAlign w:val="center"/>
                </w:tcPr>
                <w:p w14:paraId="134E51AE">
                  <w:pPr>
                    <w:pStyle w:val="154"/>
                    <w:rPr>
                      <w:sz w:val="21"/>
                      <w:szCs w:val="21"/>
                    </w:rPr>
                  </w:pPr>
                  <w:r>
                    <w:rPr>
                      <w:sz w:val="21"/>
                      <w:szCs w:val="21"/>
                    </w:rPr>
                    <w:t>化粪池</w:t>
                  </w:r>
                </w:p>
              </w:tc>
              <w:tc>
                <w:tcPr>
                  <w:tcW w:w="521" w:type="pct"/>
                  <w:vMerge w:val="restart"/>
                  <w:vAlign w:val="center"/>
                </w:tcPr>
                <w:p w14:paraId="51ED198A">
                  <w:pPr>
                    <w:pStyle w:val="154"/>
                    <w:rPr>
                      <w:sz w:val="21"/>
                      <w:szCs w:val="21"/>
                    </w:rPr>
                  </w:pPr>
                  <w:r>
                    <w:rPr>
                      <w:sz w:val="21"/>
                      <w:szCs w:val="21"/>
                    </w:rPr>
                    <w:t>DW001</w:t>
                  </w:r>
                </w:p>
              </w:tc>
              <w:tc>
                <w:tcPr>
                  <w:tcW w:w="841" w:type="pct"/>
                  <w:vMerge w:val="restart"/>
                  <w:vAlign w:val="center"/>
                </w:tcPr>
                <w:p w14:paraId="1EB4DCFC">
                  <w:pPr>
                    <w:pStyle w:val="154"/>
                    <w:rPr>
                      <w:sz w:val="21"/>
                      <w:szCs w:val="21"/>
                    </w:rPr>
                  </w:pPr>
                  <w:r>
                    <w:rPr>
                      <w:sz w:val="21"/>
                      <w:szCs w:val="21"/>
                    </w:rPr>
                    <w:fldChar w:fldCharType="begin"/>
                  </w:r>
                  <w:r>
                    <w:rPr>
                      <w:sz w:val="21"/>
                      <w:szCs w:val="21"/>
                    </w:rPr>
                    <w:instrText xml:space="preserve"> eq \o\ac(□,√)</w:instrText>
                  </w:r>
                  <w:r>
                    <w:rPr>
                      <w:sz w:val="21"/>
                      <w:szCs w:val="21"/>
                    </w:rPr>
                    <w:fldChar w:fldCharType="end"/>
                  </w:r>
                  <w:r>
                    <w:rPr>
                      <w:sz w:val="21"/>
                      <w:szCs w:val="21"/>
                    </w:rPr>
                    <w:t>是</w:t>
                  </w:r>
                </w:p>
                <w:p w14:paraId="085FF709">
                  <w:pPr>
                    <w:pStyle w:val="154"/>
                    <w:rPr>
                      <w:sz w:val="21"/>
                      <w:szCs w:val="21"/>
                    </w:rPr>
                  </w:pPr>
                  <w:r>
                    <w:rPr>
                      <w:sz w:val="21"/>
                      <w:szCs w:val="21"/>
                    </w:rPr>
                    <w:t>□否</w:t>
                  </w:r>
                </w:p>
              </w:tc>
              <w:tc>
                <w:tcPr>
                  <w:tcW w:w="931" w:type="pct"/>
                  <w:vMerge w:val="restart"/>
                  <w:vAlign w:val="center"/>
                </w:tcPr>
                <w:p w14:paraId="3979109B">
                  <w:pPr>
                    <w:pStyle w:val="154"/>
                    <w:rPr>
                      <w:sz w:val="21"/>
                      <w:szCs w:val="21"/>
                    </w:rPr>
                  </w:pPr>
                  <w:r>
                    <w:rPr>
                      <w:sz w:val="21"/>
                      <w:szCs w:val="21"/>
                    </w:rPr>
                    <w:fldChar w:fldCharType="begin"/>
                  </w:r>
                  <w:r>
                    <w:rPr>
                      <w:sz w:val="21"/>
                      <w:szCs w:val="21"/>
                    </w:rPr>
                    <w:instrText xml:space="preserve"> eq \o\ac(□,√)</w:instrText>
                  </w:r>
                  <w:r>
                    <w:rPr>
                      <w:sz w:val="21"/>
                      <w:szCs w:val="21"/>
                    </w:rPr>
                    <w:fldChar w:fldCharType="end"/>
                  </w:r>
                  <w:r>
                    <w:rPr>
                      <w:sz w:val="21"/>
                      <w:szCs w:val="21"/>
                    </w:rPr>
                    <w:t>企业总排</w:t>
                  </w:r>
                </w:p>
                <w:p w14:paraId="76AE4A0A">
                  <w:pPr>
                    <w:pStyle w:val="154"/>
                    <w:rPr>
                      <w:sz w:val="21"/>
                      <w:szCs w:val="21"/>
                    </w:rPr>
                  </w:pPr>
                  <w:r>
                    <w:rPr>
                      <w:sz w:val="21"/>
                      <w:szCs w:val="21"/>
                    </w:rPr>
                    <w:t>□雨水排放</w:t>
                  </w:r>
                </w:p>
                <w:p w14:paraId="0FAD1CB9">
                  <w:pPr>
                    <w:pStyle w:val="154"/>
                    <w:rPr>
                      <w:sz w:val="21"/>
                      <w:szCs w:val="21"/>
                    </w:rPr>
                  </w:pPr>
                  <w:r>
                    <w:rPr>
                      <w:sz w:val="21"/>
                      <w:szCs w:val="21"/>
                    </w:rPr>
                    <w:t>□温水排放</w:t>
                  </w:r>
                </w:p>
                <w:p w14:paraId="12F53D2B">
                  <w:pPr>
                    <w:pStyle w:val="154"/>
                    <w:rPr>
                      <w:sz w:val="21"/>
                      <w:szCs w:val="21"/>
                    </w:rPr>
                  </w:pPr>
                  <w:r>
                    <w:rPr>
                      <w:sz w:val="21"/>
                      <w:szCs w:val="21"/>
                    </w:rPr>
                    <w:t>□车间或车间处理设施排放</w:t>
                  </w:r>
                </w:p>
              </w:tc>
            </w:tr>
            <w:tr w14:paraId="78B05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257" w:type="pct"/>
                  <w:vMerge w:val="continue"/>
                  <w:vAlign w:val="center"/>
                </w:tcPr>
                <w:p w14:paraId="056F15FE">
                  <w:pPr>
                    <w:pStyle w:val="154"/>
                  </w:pPr>
                </w:p>
              </w:tc>
              <w:tc>
                <w:tcPr>
                  <w:tcW w:w="448" w:type="pct"/>
                  <w:vMerge w:val="continue"/>
                  <w:vAlign w:val="center"/>
                </w:tcPr>
                <w:p w14:paraId="0918E187">
                  <w:pPr>
                    <w:pStyle w:val="154"/>
                  </w:pPr>
                </w:p>
              </w:tc>
              <w:tc>
                <w:tcPr>
                  <w:tcW w:w="561" w:type="pct"/>
                  <w:vAlign w:val="center"/>
                </w:tcPr>
                <w:p w14:paraId="63E608A6">
                  <w:pPr>
                    <w:pStyle w:val="154"/>
                    <w:rPr>
                      <w:sz w:val="21"/>
                      <w:szCs w:val="21"/>
                    </w:rPr>
                  </w:pPr>
                  <w:r>
                    <w:rPr>
                      <w:sz w:val="21"/>
                      <w:szCs w:val="21"/>
                    </w:rPr>
                    <w:t>BOD</w:t>
                  </w:r>
                  <w:r>
                    <w:rPr>
                      <w:sz w:val="21"/>
                      <w:szCs w:val="21"/>
                      <w:vertAlign w:val="subscript"/>
                    </w:rPr>
                    <w:t>5</w:t>
                  </w:r>
                </w:p>
              </w:tc>
              <w:tc>
                <w:tcPr>
                  <w:tcW w:w="432" w:type="pct"/>
                  <w:vMerge w:val="continue"/>
                  <w:vAlign w:val="center"/>
                </w:tcPr>
                <w:p w14:paraId="56C57CC9">
                  <w:pPr>
                    <w:pStyle w:val="154"/>
                  </w:pPr>
                </w:p>
              </w:tc>
              <w:tc>
                <w:tcPr>
                  <w:tcW w:w="451" w:type="pct"/>
                  <w:vMerge w:val="continue"/>
                  <w:vAlign w:val="center"/>
                </w:tcPr>
                <w:p w14:paraId="49A4E0BD">
                  <w:pPr>
                    <w:pStyle w:val="154"/>
                  </w:pPr>
                </w:p>
              </w:tc>
              <w:tc>
                <w:tcPr>
                  <w:tcW w:w="558" w:type="pct"/>
                  <w:vMerge w:val="continue"/>
                  <w:vAlign w:val="center"/>
                </w:tcPr>
                <w:p w14:paraId="601EA7F7">
                  <w:pPr>
                    <w:pStyle w:val="154"/>
                  </w:pPr>
                </w:p>
              </w:tc>
              <w:tc>
                <w:tcPr>
                  <w:tcW w:w="521" w:type="pct"/>
                  <w:vMerge w:val="continue"/>
                  <w:vAlign w:val="center"/>
                </w:tcPr>
                <w:p w14:paraId="5F7DB42B">
                  <w:pPr>
                    <w:pStyle w:val="154"/>
                  </w:pPr>
                </w:p>
              </w:tc>
              <w:tc>
                <w:tcPr>
                  <w:tcW w:w="841" w:type="pct"/>
                  <w:vMerge w:val="continue"/>
                  <w:vAlign w:val="center"/>
                </w:tcPr>
                <w:p w14:paraId="74481A6C">
                  <w:pPr>
                    <w:pStyle w:val="154"/>
                  </w:pPr>
                </w:p>
              </w:tc>
              <w:tc>
                <w:tcPr>
                  <w:tcW w:w="931" w:type="pct"/>
                  <w:vMerge w:val="continue"/>
                  <w:vAlign w:val="center"/>
                </w:tcPr>
                <w:p w14:paraId="1F5F7B73">
                  <w:pPr>
                    <w:pStyle w:val="154"/>
                  </w:pPr>
                </w:p>
              </w:tc>
            </w:tr>
            <w:tr w14:paraId="1B513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257" w:type="pct"/>
                  <w:vMerge w:val="continue"/>
                  <w:vAlign w:val="center"/>
                </w:tcPr>
                <w:p w14:paraId="6969CF6F">
                  <w:pPr>
                    <w:pStyle w:val="154"/>
                  </w:pPr>
                </w:p>
              </w:tc>
              <w:tc>
                <w:tcPr>
                  <w:tcW w:w="448" w:type="pct"/>
                  <w:vMerge w:val="continue"/>
                  <w:vAlign w:val="center"/>
                </w:tcPr>
                <w:p w14:paraId="42D17206">
                  <w:pPr>
                    <w:pStyle w:val="154"/>
                  </w:pPr>
                </w:p>
              </w:tc>
              <w:tc>
                <w:tcPr>
                  <w:tcW w:w="561" w:type="pct"/>
                  <w:vAlign w:val="center"/>
                </w:tcPr>
                <w:p w14:paraId="02387450">
                  <w:pPr>
                    <w:pStyle w:val="154"/>
                    <w:rPr>
                      <w:sz w:val="21"/>
                      <w:szCs w:val="21"/>
                    </w:rPr>
                  </w:pPr>
                  <w:r>
                    <w:rPr>
                      <w:sz w:val="21"/>
                      <w:szCs w:val="21"/>
                    </w:rPr>
                    <w:t>NH</w:t>
                  </w:r>
                  <w:r>
                    <w:rPr>
                      <w:sz w:val="21"/>
                      <w:szCs w:val="21"/>
                      <w:vertAlign w:val="subscript"/>
                    </w:rPr>
                    <w:t>3</w:t>
                  </w:r>
                  <w:r>
                    <w:rPr>
                      <w:sz w:val="21"/>
                      <w:szCs w:val="21"/>
                    </w:rPr>
                    <w:t>-N</w:t>
                  </w:r>
                </w:p>
              </w:tc>
              <w:tc>
                <w:tcPr>
                  <w:tcW w:w="432" w:type="pct"/>
                  <w:vMerge w:val="continue"/>
                  <w:vAlign w:val="center"/>
                </w:tcPr>
                <w:p w14:paraId="47BC4A47">
                  <w:pPr>
                    <w:pStyle w:val="154"/>
                  </w:pPr>
                </w:p>
              </w:tc>
              <w:tc>
                <w:tcPr>
                  <w:tcW w:w="451" w:type="pct"/>
                  <w:vMerge w:val="continue"/>
                  <w:vAlign w:val="center"/>
                </w:tcPr>
                <w:p w14:paraId="7928A4BA">
                  <w:pPr>
                    <w:pStyle w:val="154"/>
                  </w:pPr>
                </w:p>
              </w:tc>
              <w:tc>
                <w:tcPr>
                  <w:tcW w:w="558" w:type="pct"/>
                  <w:vMerge w:val="continue"/>
                  <w:vAlign w:val="center"/>
                </w:tcPr>
                <w:p w14:paraId="2BF0DF3E">
                  <w:pPr>
                    <w:pStyle w:val="154"/>
                  </w:pPr>
                </w:p>
              </w:tc>
              <w:tc>
                <w:tcPr>
                  <w:tcW w:w="521" w:type="pct"/>
                  <w:vMerge w:val="continue"/>
                  <w:vAlign w:val="center"/>
                </w:tcPr>
                <w:p w14:paraId="49977B33">
                  <w:pPr>
                    <w:pStyle w:val="154"/>
                  </w:pPr>
                </w:p>
              </w:tc>
              <w:tc>
                <w:tcPr>
                  <w:tcW w:w="841" w:type="pct"/>
                  <w:vMerge w:val="continue"/>
                  <w:vAlign w:val="center"/>
                </w:tcPr>
                <w:p w14:paraId="09F6361F">
                  <w:pPr>
                    <w:pStyle w:val="154"/>
                  </w:pPr>
                </w:p>
              </w:tc>
              <w:tc>
                <w:tcPr>
                  <w:tcW w:w="931" w:type="pct"/>
                  <w:vMerge w:val="continue"/>
                  <w:vAlign w:val="center"/>
                </w:tcPr>
                <w:p w14:paraId="6FA8E03A">
                  <w:pPr>
                    <w:pStyle w:val="154"/>
                  </w:pPr>
                </w:p>
              </w:tc>
            </w:tr>
            <w:tr w14:paraId="3C3C2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257" w:type="pct"/>
                  <w:vMerge w:val="continue"/>
                  <w:vAlign w:val="center"/>
                </w:tcPr>
                <w:p w14:paraId="61125C78">
                  <w:pPr>
                    <w:pStyle w:val="154"/>
                  </w:pPr>
                </w:p>
              </w:tc>
              <w:tc>
                <w:tcPr>
                  <w:tcW w:w="448" w:type="pct"/>
                  <w:vMerge w:val="continue"/>
                  <w:vAlign w:val="center"/>
                </w:tcPr>
                <w:p w14:paraId="707F56B1">
                  <w:pPr>
                    <w:pStyle w:val="154"/>
                  </w:pPr>
                </w:p>
              </w:tc>
              <w:tc>
                <w:tcPr>
                  <w:tcW w:w="561" w:type="pct"/>
                  <w:vAlign w:val="center"/>
                </w:tcPr>
                <w:p w14:paraId="250AA16A">
                  <w:pPr>
                    <w:pStyle w:val="154"/>
                    <w:rPr>
                      <w:sz w:val="21"/>
                      <w:szCs w:val="21"/>
                    </w:rPr>
                  </w:pPr>
                  <w:r>
                    <w:rPr>
                      <w:sz w:val="21"/>
                      <w:szCs w:val="21"/>
                    </w:rPr>
                    <w:t>SS</w:t>
                  </w:r>
                </w:p>
              </w:tc>
              <w:tc>
                <w:tcPr>
                  <w:tcW w:w="432" w:type="pct"/>
                  <w:vMerge w:val="continue"/>
                  <w:vAlign w:val="center"/>
                </w:tcPr>
                <w:p w14:paraId="3749FC69">
                  <w:pPr>
                    <w:pStyle w:val="154"/>
                  </w:pPr>
                </w:p>
              </w:tc>
              <w:tc>
                <w:tcPr>
                  <w:tcW w:w="451" w:type="pct"/>
                  <w:vMerge w:val="continue"/>
                  <w:vAlign w:val="center"/>
                </w:tcPr>
                <w:p w14:paraId="21BCC802">
                  <w:pPr>
                    <w:pStyle w:val="154"/>
                  </w:pPr>
                </w:p>
              </w:tc>
              <w:tc>
                <w:tcPr>
                  <w:tcW w:w="558" w:type="pct"/>
                  <w:vMerge w:val="continue"/>
                  <w:vAlign w:val="center"/>
                </w:tcPr>
                <w:p w14:paraId="1E8D2966">
                  <w:pPr>
                    <w:pStyle w:val="154"/>
                  </w:pPr>
                </w:p>
              </w:tc>
              <w:tc>
                <w:tcPr>
                  <w:tcW w:w="521" w:type="pct"/>
                  <w:vMerge w:val="continue"/>
                  <w:vAlign w:val="center"/>
                </w:tcPr>
                <w:p w14:paraId="741FF76F">
                  <w:pPr>
                    <w:pStyle w:val="154"/>
                  </w:pPr>
                </w:p>
              </w:tc>
              <w:tc>
                <w:tcPr>
                  <w:tcW w:w="841" w:type="pct"/>
                  <w:vMerge w:val="continue"/>
                  <w:vAlign w:val="center"/>
                </w:tcPr>
                <w:p w14:paraId="291F4041">
                  <w:pPr>
                    <w:pStyle w:val="154"/>
                  </w:pPr>
                </w:p>
              </w:tc>
              <w:tc>
                <w:tcPr>
                  <w:tcW w:w="931" w:type="pct"/>
                  <w:vMerge w:val="continue"/>
                  <w:vAlign w:val="center"/>
                </w:tcPr>
                <w:p w14:paraId="0929D62F">
                  <w:pPr>
                    <w:pStyle w:val="154"/>
                  </w:pPr>
                </w:p>
              </w:tc>
            </w:tr>
          </w:tbl>
          <w:p w14:paraId="3643D82C">
            <w:pPr>
              <w:pStyle w:val="179"/>
            </w:pPr>
            <w:r>
              <w:t>2.2污染防治设施可行性分析</w:t>
            </w:r>
          </w:p>
          <w:p w14:paraId="17771CED">
            <w:pPr>
              <w:pStyle w:val="179"/>
            </w:pPr>
            <w:r>
              <w:t>2.2.1水质</w:t>
            </w:r>
          </w:p>
          <w:p w14:paraId="6F092FAC">
            <w:pPr>
              <w:pStyle w:val="156"/>
              <w:ind w:firstLine="480"/>
            </w:pPr>
            <w:r>
              <w:t>（1）化粪池依托可行性</w:t>
            </w:r>
          </w:p>
          <w:p w14:paraId="2437D6A6">
            <w:pPr>
              <w:spacing w:line="520" w:lineRule="exact"/>
              <w:ind w:firstLine="480"/>
              <w:rPr>
                <w:rFonts w:ascii="Times New Roman" w:hAnsi="Times New Roman"/>
              </w:rPr>
            </w:pPr>
            <w:r>
              <w:rPr>
                <w:rFonts w:ascii="Times New Roman" w:hAnsi="Times New Roman"/>
                <w:bCs/>
              </w:rPr>
              <w:t>本项目依托厂区现有化粪池，容积为5m</w:t>
            </w:r>
            <w:r>
              <w:rPr>
                <w:rFonts w:ascii="Times New Roman" w:hAnsi="Times New Roman"/>
                <w:bCs/>
                <w:vertAlign w:val="superscript"/>
              </w:rPr>
              <w:t>3</w:t>
            </w:r>
            <w:r>
              <w:rPr>
                <w:rFonts w:ascii="Times New Roman" w:hAnsi="Times New Roman"/>
                <w:bCs/>
              </w:rPr>
              <w:t>，项目建成后生活污水排放量为</w:t>
            </w:r>
            <w:r>
              <w:rPr>
                <w:rFonts w:ascii="Times New Roman" w:hAnsi="Times New Roman"/>
              </w:rPr>
              <w:t>0.64m</w:t>
            </w:r>
            <w:r>
              <w:rPr>
                <w:rFonts w:ascii="Times New Roman" w:hAnsi="Times New Roman"/>
                <w:vertAlign w:val="superscript"/>
              </w:rPr>
              <w:t>3</w:t>
            </w:r>
            <w:r>
              <w:rPr>
                <w:rFonts w:ascii="Times New Roman" w:hAnsi="Times New Roman"/>
              </w:rPr>
              <w:t>/d（192m</w:t>
            </w:r>
            <w:r>
              <w:rPr>
                <w:rFonts w:ascii="Times New Roman" w:hAnsi="Times New Roman"/>
                <w:vertAlign w:val="superscript"/>
              </w:rPr>
              <w:t>3</w:t>
            </w:r>
            <w:r>
              <w:rPr>
                <w:rFonts w:ascii="Times New Roman" w:hAnsi="Times New Roman"/>
              </w:rPr>
              <w:t>/a）</w:t>
            </w:r>
            <w:r>
              <w:rPr>
                <w:rFonts w:ascii="Times New Roman" w:hAnsi="Times New Roman"/>
                <w:bCs/>
              </w:rPr>
              <w:t>，可</w:t>
            </w:r>
            <w:r>
              <w:rPr>
                <w:rFonts w:ascii="Times New Roman" w:hAnsi="Times New Roman"/>
              </w:rPr>
              <w:t>满足</w:t>
            </w:r>
            <w:r>
              <w:rPr>
                <w:rFonts w:ascii="Times New Roman" w:hAnsi="Times New Roman"/>
                <w:bCs/>
              </w:rPr>
              <w:t>24h停</w:t>
            </w:r>
            <w:r>
              <w:rPr>
                <w:rFonts w:ascii="Times New Roman" w:hAnsi="Times New Roman"/>
              </w:rPr>
              <w:t>留时间要求，故厂区配套化粪池能够满足本项目需要。</w:t>
            </w:r>
          </w:p>
          <w:p w14:paraId="5316836D">
            <w:pPr>
              <w:spacing w:line="520" w:lineRule="exact"/>
              <w:ind w:firstLine="480"/>
              <w:rPr>
                <w:rFonts w:ascii="Times New Roman" w:hAnsi="Times New Roman"/>
              </w:rPr>
            </w:pPr>
            <w:r>
              <w:rPr>
                <w:rFonts w:ascii="Times New Roman" w:hAnsi="Times New Roman"/>
              </w:rPr>
              <w:t>因此，本项目生活废水处理依托厂区配套化粪池可行。</w:t>
            </w:r>
          </w:p>
          <w:p w14:paraId="3BF395D2">
            <w:pPr>
              <w:pStyle w:val="156"/>
              <w:ind w:firstLine="480"/>
            </w:pPr>
            <w:r>
              <w:t>（2）项目废水进入洛阳市中州渠人工湿地可行性分析</w:t>
            </w:r>
          </w:p>
          <w:p w14:paraId="13D5E3C7">
            <w:pPr>
              <w:pStyle w:val="401"/>
              <w:spacing w:line="520" w:lineRule="exact"/>
              <w:jc w:val="both"/>
              <w:rPr>
                <w:bCs/>
                <w:color w:val="auto"/>
              </w:rPr>
            </w:pPr>
            <w:r>
              <w:rPr>
                <w:bCs/>
                <w:color w:val="auto"/>
              </w:rPr>
              <w:t>洛阳市中州渠人工湿地位于偃师区山化镇王窑村，于2018年12月完成提标改造，提标改造工艺采用倒置缺氧/厌氧/接触氧化（A/A/O）＋人工湿地＋混凝沉淀＋纤维转盘过滤＋紫外线消毒工艺。污泥处理采用重力浓缩＋叠螺脱泥机，脱水后外运至偃师市华润热力有限公司进行焚烧处理。处理规模为6000m</w:t>
            </w:r>
            <w:r>
              <w:rPr>
                <w:bCs/>
                <w:color w:val="auto"/>
                <w:vertAlign w:val="superscript"/>
              </w:rPr>
              <w:t>3</w:t>
            </w:r>
            <w:r>
              <w:rPr>
                <w:bCs/>
                <w:color w:val="auto"/>
              </w:rPr>
              <w:t>/d，处理后出水水质满足《河南省黄河流域污染物排放标准》（DB41/2087-2021）一级标准。收水范围为：偃师区文化路以东，中州渠沿线包括北窑村、神沟庙、汤泉村、许庄寨、东山咀、魏窑、寨沟、王窑村、化村、山化乡和山化村等村庄在内，中州渠下游直到入伊洛河口范围内的中州渠污水。</w:t>
            </w:r>
          </w:p>
          <w:p w14:paraId="7F22CB1E">
            <w:pPr>
              <w:spacing w:line="520" w:lineRule="exact"/>
              <w:ind w:firstLine="480"/>
              <w:rPr>
                <w:rFonts w:ascii="Times New Roman" w:hAnsi="Times New Roman"/>
                <w:bCs/>
              </w:rPr>
            </w:pPr>
            <w:r>
              <w:rPr>
                <w:rFonts w:ascii="Times New Roman" w:hAnsi="Times New Roman"/>
                <w:bCs/>
              </w:rPr>
              <w:t>本项目位于洛阳市中州渠人工湿地收水范围，且该区域污水管网已铺设完善，项目废水具备直接排入洛阳市中州渠人工湿地的条件。</w:t>
            </w:r>
          </w:p>
          <w:p w14:paraId="69858326">
            <w:pPr>
              <w:pStyle w:val="181"/>
              <w:snapToGrid w:val="0"/>
              <w:spacing w:line="520" w:lineRule="exact"/>
              <w:ind w:left="-108" w:right="-30" w:firstLine="480"/>
              <w:jc w:val="both"/>
              <w:rPr>
                <w:rFonts w:eastAsia="宋体"/>
                <w:b w:val="0"/>
                <w:bCs/>
              </w:rPr>
            </w:pPr>
            <w:r>
              <w:rPr>
                <w:rFonts w:hint="eastAsia" w:eastAsia="宋体" w:cs="宋体"/>
                <w:b w:val="0"/>
                <w:bCs/>
              </w:rPr>
              <w:t>①</w:t>
            </w:r>
            <w:r>
              <w:rPr>
                <w:rFonts w:eastAsia="宋体"/>
                <w:b w:val="0"/>
                <w:bCs/>
              </w:rPr>
              <w:t>水质</w:t>
            </w:r>
          </w:p>
          <w:p w14:paraId="6D063378">
            <w:pPr>
              <w:spacing w:line="520" w:lineRule="exact"/>
              <w:ind w:firstLine="480"/>
              <w:jc w:val="both"/>
              <w:rPr>
                <w:rFonts w:ascii="Times New Roman" w:hAnsi="Times New Roman"/>
                <w:bCs/>
              </w:rPr>
            </w:pPr>
            <w:r>
              <w:rPr>
                <w:rFonts w:ascii="Times New Roman" w:hAnsi="Times New Roman"/>
                <w:bCs/>
              </w:rPr>
              <w:t>洛阳市中州渠人工湿地设计进水浓度为：COD≤350mg/L、BOD</w:t>
            </w:r>
            <w:r>
              <w:rPr>
                <w:rFonts w:ascii="Times New Roman" w:hAnsi="Times New Roman"/>
                <w:bCs/>
                <w:vertAlign w:val="subscript"/>
              </w:rPr>
              <w:t>5</w:t>
            </w:r>
            <w:r>
              <w:rPr>
                <w:rFonts w:ascii="Times New Roman" w:hAnsi="Times New Roman"/>
                <w:bCs/>
              </w:rPr>
              <w:t>≤160mg/L、NH</w:t>
            </w:r>
            <w:r>
              <w:rPr>
                <w:rFonts w:ascii="Times New Roman" w:hAnsi="Times New Roman"/>
                <w:bCs/>
                <w:vertAlign w:val="subscript"/>
              </w:rPr>
              <w:t>3</w:t>
            </w:r>
            <w:r>
              <w:rPr>
                <w:rFonts w:ascii="Times New Roman" w:hAnsi="Times New Roman"/>
                <w:bCs/>
              </w:rPr>
              <w:t>-N≤45mg/L、SS≤160mg/L；本项目生活废水经化粪池预处理后可满足洛阳市中州渠人工湿地设计</w:t>
            </w:r>
            <w:r>
              <w:rPr>
                <w:rFonts w:ascii="Times New Roman" w:hAnsi="Times New Roman"/>
              </w:rPr>
              <w:t>进水水质要求</w:t>
            </w:r>
            <w:r>
              <w:rPr>
                <w:rFonts w:ascii="Times New Roman" w:hAnsi="Times New Roman"/>
                <w:bCs/>
              </w:rPr>
              <w:t>。</w:t>
            </w:r>
          </w:p>
          <w:p w14:paraId="0FA85476">
            <w:pPr>
              <w:pStyle w:val="182"/>
              <w:ind w:firstLine="480"/>
            </w:pPr>
            <w:r>
              <w:t>表4-</w:t>
            </w:r>
            <w:r>
              <w:rPr>
                <w:rFonts w:hint="eastAsia"/>
              </w:rPr>
              <w:t>13</w:t>
            </w:r>
            <w:r>
              <w:t xml:space="preserve">            废水污染物排放执行标准表</w:t>
            </w:r>
          </w:p>
          <w:tbl>
            <w:tblPr>
              <w:tblStyle w:val="88"/>
              <w:tblW w:w="490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71"/>
              <w:gridCol w:w="887"/>
              <w:gridCol w:w="566"/>
              <w:gridCol w:w="708"/>
              <w:gridCol w:w="850"/>
              <w:gridCol w:w="570"/>
              <w:gridCol w:w="708"/>
              <w:gridCol w:w="991"/>
              <w:gridCol w:w="850"/>
              <w:gridCol w:w="2259"/>
            </w:tblGrid>
            <w:tr w14:paraId="4AC76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156" w:type="pct"/>
                  <w:vMerge w:val="restart"/>
                  <w:noWrap/>
                  <w:vAlign w:val="center"/>
                </w:tcPr>
                <w:p w14:paraId="6219BCE8">
                  <w:pPr>
                    <w:pStyle w:val="154"/>
                    <w:rPr>
                      <w:sz w:val="21"/>
                      <w:szCs w:val="21"/>
                    </w:rPr>
                  </w:pPr>
                  <w:r>
                    <w:rPr>
                      <w:sz w:val="21"/>
                      <w:szCs w:val="21"/>
                    </w:rPr>
                    <w:t>序号</w:t>
                  </w:r>
                </w:p>
              </w:tc>
              <w:tc>
                <w:tcPr>
                  <w:tcW w:w="512" w:type="pct"/>
                  <w:vMerge w:val="restart"/>
                  <w:noWrap/>
                  <w:vAlign w:val="center"/>
                </w:tcPr>
                <w:p w14:paraId="3BBFACDE">
                  <w:pPr>
                    <w:pStyle w:val="154"/>
                    <w:rPr>
                      <w:sz w:val="21"/>
                      <w:szCs w:val="21"/>
                    </w:rPr>
                  </w:pPr>
                  <w:r>
                    <w:rPr>
                      <w:sz w:val="21"/>
                      <w:szCs w:val="21"/>
                    </w:rPr>
                    <w:t>排放口编号</w:t>
                  </w:r>
                </w:p>
              </w:tc>
              <w:tc>
                <w:tcPr>
                  <w:tcW w:w="736" w:type="pct"/>
                  <w:gridSpan w:val="2"/>
                  <w:noWrap/>
                  <w:vAlign w:val="center"/>
                </w:tcPr>
                <w:p w14:paraId="2AEFE568">
                  <w:pPr>
                    <w:pStyle w:val="154"/>
                    <w:rPr>
                      <w:sz w:val="21"/>
                      <w:szCs w:val="21"/>
                    </w:rPr>
                  </w:pPr>
                  <w:r>
                    <w:rPr>
                      <w:sz w:val="21"/>
                      <w:szCs w:val="21"/>
                    </w:rPr>
                    <w:t>排放口地理坐标</w:t>
                  </w:r>
                </w:p>
              </w:tc>
              <w:tc>
                <w:tcPr>
                  <w:tcW w:w="491" w:type="pct"/>
                  <w:vMerge w:val="restart"/>
                  <w:noWrap/>
                  <w:vAlign w:val="center"/>
                </w:tcPr>
                <w:p w14:paraId="6DC5691A">
                  <w:pPr>
                    <w:pStyle w:val="154"/>
                    <w:rPr>
                      <w:sz w:val="21"/>
                      <w:szCs w:val="21"/>
                    </w:rPr>
                  </w:pPr>
                  <w:r>
                    <w:rPr>
                      <w:sz w:val="21"/>
                      <w:szCs w:val="21"/>
                    </w:rPr>
                    <w:t>废水排放量</w:t>
                  </w:r>
                  <w:r>
                    <w:rPr>
                      <w:sz w:val="21"/>
                      <w:szCs w:val="21"/>
                    </w:rPr>
                    <w:br w:type="textWrapping"/>
                  </w:r>
                  <w:r>
                    <w:rPr>
                      <w:sz w:val="21"/>
                      <w:szCs w:val="21"/>
                    </w:rPr>
                    <w:t>（万m</w:t>
                  </w:r>
                  <w:r>
                    <w:rPr>
                      <w:sz w:val="21"/>
                      <w:szCs w:val="21"/>
                      <w:vertAlign w:val="superscript"/>
                    </w:rPr>
                    <w:t>3</w:t>
                  </w:r>
                  <w:r>
                    <w:rPr>
                      <w:sz w:val="21"/>
                      <w:szCs w:val="21"/>
                    </w:rPr>
                    <w:t>/a）</w:t>
                  </w:r>
                </w:p>
              </w:tc>
              <w:tc>
                <w:tcPr>
                  <w:tcW w:w="329" w:type="pct"/>
                  <w:vMerge w:val="restart"/>
                  <w:noWrap/>
                  <w:vAlign w:val="center"/>
                </w:tcPr>
                <w:p w14:paraId="751EA4D4">
                  <w:pPr>
                    <w:pStyle w:val="154"/>
                    <w:rPr>
                      <w:sz w:val="21"/>
                      <w:szCs w:val="21"/>
                    </w:rPr>
                  </w:pPr>
                  <w:r>
                    <w:rPr>
                      <w:sz w:val="21"/>
                      <w:szCs w:val="21"/>
                    </w:rPr>
                    <w:t>排放</w:t>
                  </w:r>
                  <w:r>
                    <w:rPr>
                      <w:rFonts w:hint="eastAsia"/>
                      <w:sz w:val="21"/>
                      <w:szCs w:val="21"/>
                    </w:rPr>
                    <w:t>规律</w:t>
                  </w:r>
                </w:p>
              </w:tc>
              <w:tc>
                <w:tcPr>
                  <w:tcW w:w="409" w:type="pct"/>
                  <w:vMerge w:val="restart"/>
                  <w:noWrap/>
                  <w:vAlign w:val="center"/>
                </w:tcPr>
                <w:p w14:paraId="67F47D2F">
                  <w:pPr>
                    <w:pStyle w:val="154"/>
                    <w:rPr>
                      <w:sz w:val="21"/>
                      <w:szCs w:val="21"/>
                    </w:rPr>
                  </w:pPr>
                  <w:r>
                    <w:rPr>
                      <w:sz w:val="21"/>
                      <w:szCs w:val="21"/>
                    </w:rPr>
                    <w:t>间接排放时段</w:t>
                  </w:r>
                </w:p>
              </w:tc>
              <w:tc>
                <w:tcPr>
                  <w:tcW w:w="2367" w:type="pct"/>
                  <w:gridSpan w:val="3"/>
                  <w:noWrap/>
                  <w:vAlign w:val="center"/>
                </w:tcPr>
                <w:p w14:paraId="714121B5">
                  <w:pPr>
                    <w:pStyle w:val="154"/>
                    <w:rPr>
                      <w:sz w:val="21"/>
                      <w:szCs w:val="21"/>
                    </w:rPr>
                  </w:pPr>
                  <w:r>
                    <w:rPr>
                      <w:sz w:val="21"/>
                      <w:szCs w:val="21"/>
                    </w:rPr>
                    <w:t>受纳污水处理厂信息</w:t>
                  </w:r>
                </w:p>
              </w:tc>
            </w:tr>
            <w:tr w14:paraId="0921B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9" w:hRule="atLeast"/>
                <w:jc w:val="center"/>
              </w:trPr>
              <w:tc>
                <w:tcPr>
                  <w:tcW w:w="156" w:type="pct"/>
                  <w:vMerge w:val="continue"/>
                  <w:noWrap/>
                  <w:vAlign w:val="center"/>
                </w:tcPr>
                <w:p w14:paraId="3799D2FC">
                  <w:pPr>
                    <w:pStyle w:val="154"/>
                    <w:rPr>
                      <w:sz w:val="21"/>
                      <w:szCs w:val="21"/>
                    </w:rPr>
                  </w:pPr>
                </w:p>
              </w:tc>
              <w:tc>
                <w:tcPr>
                  <w:tcW w:w="512" w:type="pct"/>
                  <w:vMerge w:val="continue"/>
                  <w:noWrap/>
                  <w:vAlign w:val="center"/>
                </w:tcPr>
                <w:p w14:paraId="28401618">
                  <w:pPr>
                    <w:pStyle w:val="154"/>
                    <w:rPr>
                      <w:sz w:val="21"/>
                      <w:szCs w:val="21"/>
                    </w:rPr>
                  </w:pPr>
                </w:p>
              </w:tc>
              <w:tc>
                <w:tcPr>
                  <w:tcW w:w="327" w:type="pct"/>
                  <w:noWrap/>
                  <w:vAlign w:val="center"/>
                </w:tcPr>
                <w:p w14:paraId="6AFEC890">
                  <w:pPr>
                    <w:pStyle w:val="154"/>
                    <w:rPr>
                      <w:sz w:val="21"/>
                      <w:szCs w:val="21"/>
                    </w:rPr>
                  </w:pPr>
                  <w:r>
                    <w:rPr>
                      <w:sz w:val="21"/>
                      <w:szCs w:val="21"/>
                    </w:rPr>
                    <w:t>经度</w:t>
                  </w:r>
                </w:p>
              </w:tc>
              <w:tc>
                <w:tcPr>
                  <w:tcW w:w="409" w:type="pct"/>
                  <w:noWrap/>
                  <w:vAlign w:val="center"/>
                </w:tcPr>
                <w:p w14:paraId="4212F284">
                  <w:pPr>
                    <w:pStyle w:val="154"/>
                    <w:rPr>
                      <w:sz w:val="21"/>
                      <w:szCs w:val="21"/>
                    </w:rPr>
                  </w:pPr>
                  <w:r>
                    <w:rPr>
                      <w:sz w:val="21"/>
                      <w:szCs w:val="21"/>
                    </w:rPr>
                    <w:t>纬度</w:t>
                  </w:r>
                </w:p>
              </w:tc>
              <w:tc>
                <w:tcPr>
                  <w:tcW w:w="491" w:type="pct"/>
                  <w:vMerge w:val="continue"/>
                  <w:noWrap/>
                  <w:vAlign w:val="center"/>
                </w:tcPr>
                <w:p w14:paraId="6CDC1D3E">
                  <w:pPr>
                    <w:pStyle w:val="154"/>
                    <w:rPr>
                      <w:sz w:val="21"/>
                      <w:szCs w:val="21"/>
                    </w:rPr>
                  </w:pPr>
                </w:p>
              </w:tc>
              <w:tc>
                <w:tcPr>
                  <w:tcW w:w="329" w:type="pct"/>
                  <w:vMerge w:val="continue"/>
                  <w:noWrap/>
                  <w:vAlign w:val="center"/>
                </w:tcPr>
                <w:p w14:paraId="0659F16A">
                  <w:pPr>
                    <w:pStyle w:val="154"/>
                    <w:rPr>
                      <w:sz w:val="21"/>
                      <w:szCs w:val="21"/>
                    </w:rPr>
                  </w:pPr>
                </w:p>
              </w:tc>
              <w:tc>
                <w:tcPr>
                  <w:tcW w:w="409" w:type="pct"/>
                  <w:vMerge w:val="continue"/>
                  <w:noWrap/>
                  <w:vAlign w:val="center"/>
                </w:tcPr>
                <w:p w14:paraId="02E9716E">
                  <w:pPr>
                    <w:pStyle w:val="154"/>
                    <w:rPr>
                      <w:sz w:val="21"/>
                      <w:szCs w:val="21"/>
                    </w:rPr>
                  </w:pPr>
                </w:p>
              </w:tc>
              <w:tc>
                <w:tcPr>
                  <w:tcW w:w="572" w:type="pct"/>
                  <w:noWrap/>
                  <w:vAlign w:val="center"/>
                </w:tcPr>
                <w:p w14:paraId="5236160D">
                  <w:pPr>
                    <w:pStyle w:val="154"/>
                    <w:rPr>
                      <w:sz w:val="21"/>
                      <w:szCs w:val="21"/>
                    </w:rPr>
                  </w:pPr>
                  <w:r>
                    <w:rPr>
                      <w:sz w:val="21"/>
                      <w:szCs w:val="21"/>
                    </w:rPr>
                    <w:t>名称</w:t>
                  </w:r>
                </w:p>
              </w:tc>
              <w:tc>
                <w:tcPr>
                  <w:tcW w:w="491" w:type="pct"/>
                  <w:noWrap/>
                  <w:vAlign w:val="center"/>
                </w:tcPr>
                <w:p w14:paraId="4D6548B3">
                  <w:pPr>
                    <w:pStyle w:val="154"/>
                    <w:rPr>
                      <w:sz w:val="21"/>
                      <w:szCs w:val="21"/>
                    </w:rPr>
                  </w:pPr>
                  <w:r>
                    <w:rPr>
                      <w:sz w:val="21"/>
                      <w:szCs w:val="21"/>
                    </w:rPr>
                    <w:t>污染物种类</w:t>
                  </w:r>
                </w:p>
              </w:tc>
              <w:tc>
                <w:tcPr>
                  <w:tcW w:w="1304" w:type="pct"/>
                  <w:noWrap/>
                  <w:vAlign w:val="center"/>
                </w:tcPr>
                <w:p w14:paraId="6AF087A5">
                  <w:pPr>
                    <w:pStyle w:val="154"/>
                    <w:rPr>
                      <w:sz w:val="21"/>
                      <w:szCs w:val="21"/>
                    </w:rPr>
                  </w:pPr>
                  <w:r>
                    <w:rPr>
                      <w:sz w:val="21"/>
                      <w:szCs w:val="21"/>
                    </w:rPr>
                    <w:t>国家或地方污染物排放标准浓度限值(mg/L)</w:t>
                  </w:r>
                </w:p>
              </w:tc>
            </w:tr>
            <w:tr w14:paraId="1EF85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 w:type="pct"/>
                  <w:vMerge w:val="restart"/>
                  <w:noWrap/>
                  <w:vAlign w:val="center"/>
                </w:tcPr>
                <w:p w14:paraId="01B4836B">
                  <w:pPr>
                    <w:pStyle w:val="154"/>
                    <w:rPr>
                      <w:sz w:val="21"/>
                      <w:szCs w:val="21"/>
                    </w:rPr>
                  </w:pPr>
                  <w:r>
                    <w:rPr>
                      <w:sz w:val="21"/>
                      <w:szCs w:val="21"/>
                    </w:rPr>
                    <w:t>1</w:t>
                  </w:r>
                </w:p>
              </w:tc>
              <w:tc>
                <w:tcPr>
                  <w:tcW w:w="512" w:type="pct"/>
                  <w:vMerge w:val="restart"/>
                  <w:noWrap/>
                  <w:vAlign w:val="center"/>
                </w:tcPr>
                <w:p w14:paraId="157DE803">
                  <w:pPr>
                    <w:pStyle w:val="154"/>
                    <w:rPr>
                      <w:sz w:val="21"/>
                      <w:szCs w:val="21"/>
                    </w:rPr>
                  </w:pPr>
                  <w:r>
                    <w:rPr>
                      <w:sz w:val="21"/>
                      <w:szCs w:val="21"/>
                    </w:rPr>
                    <w:t>DW001</w:t>
                  </w:r>
                </w:p>
              </w:tc>
              <w:tc>
                <w:tcPr>
                  <w:tcW w:w="327" w:type="pct"/>
                  <w:vMerge w:val="restart"/>
                  <w:noWrap/>
                  <w:vAlign w:val="center"/>
                </w:tcPr>
                <w:p w14:paraId="4109A32E">
                  <w:pPr>
                    <w:pStyle w:val="154"/>
                    <w:rPr>
                      <w:sz w:val="21"/>
                      <w:szCs w:val="21"/>
                    </w:rPr>
                  </w:pPr>
                  <w:r>
                    <w:rPr>
                      <w:sz w:val="21"/>
                      <w:szCs w:val="21"/>
                    </w:rPr>
                    <w:t>112.832</w:t>
                  </w:r>
                  <w:r>
                    <w:rPr>
                      <w:rFonts w:hint="eastAsia"/>
                      <w:sz w:val="21"/>
                      <w:szCs w:val="21"/>
                    </w:rPr>
                    <w:t>958</w:t>
                  </w:r>
                </w:p>
              </w:tc>
              <w:tc>
                <w:tcPr>
                  <w:tcW w:w="409" w:type="pct"/>
                  <w:vMerge w:val="restart"/>
                  <w:noWrap/>
                  <w:vAlign w:val="center"/>
                </w:tcPr>
                <w:p w14:paraId="400C94D5">
                  <w:pPr>
                    <w:pStyle w:val="154"/>
                    <w:rPr>
                      <w:sz w:val="21"/>
                      <w:szCs w:val="21"/>
                    </w:rPr>
                  </w:pPr>
                  <w:r>
                    <w:rPr>
                      <w:sz w:val="21"/>
                      <w:szCs w:val="21"/>
                    </w:rPr>
                    <w:t>34.71</w:t>
                  </w:r>
                </w:p>
                <w:p w14:paraId="64BA8FF1">
                  <w:pPr>
                    <w:pStyle w:val="154"/>
                    <w:rPr>
                      <w:sz w:val="21"/>
                      <w:szCs w:val="21"/>
                    </w:rPr>
                  </w:pPr>
                  <w:r>
                    <w:rPr>
                      <w:rFonts w:hint="eastAsia"/>
                      <w:sz w:val="21"/>
                      <w:szCs w:val="21"/>
                    </w:rPr>
                    <w:t>6024</w:t>
                  </w:r>
                </w:p>
              </w:tc>
              <w:tc>
                <w:tcPr>
                  <w:tcW w:w="491" w:type="pct"/>
                  <w:vMerge w:val="restart"/>
                  <w:noWrap/>
                  <w:vAlign w:val="center"/>
                </w:tcPr>
                <w:p w14:paraId="01D0BCE0">
                  <w:pPr>
                    <w:pStyle w:val="154"/>
                    <w:rPr>
                      <w:sz w:val="21"/>
                      <w:szCs w:val="21"/>
                    </w:rPr>
                  </w:pPr>
                  <w:r>
                    <w:rPr>
                      <w:sz w:val="21"/>
                      <w:szCs w:val="21"/>
                    </w:rPr>
                    <w:t>0.0192</w:t>
                  </w:r>
                </w:p>
              </w:tc>
              <w:tc>
                <w:tcPr>
                  <w:tcW w:w="329" w:type="pct"/>
                  <w:vMerge w:val="restart"/>
                  <w:noWrap/>
                  <w:vAlign w:val="center"/>
                </w:tcPr>
                <w:p w14:paraId="6F4AB1BA">
                  <w:pPr>
                    <w:pStyle w:val="154"/>
                    <w:rPr>
                      <w:sz w:val="21"/>
                      <w:szCs w:val="21"/>
                    </w:rPr>
                  </w:pPr>
                  <w:r>
                    <w:rPr>
                      <w:rFonts w:hint="eastAsia"/>
                      <w:sz w:val="21"/>
                      <w:szCs w:val="21"/>
                    </w:rPr>
                    <w:t>间断排放</w:t>
                  </w:r>
                </w:p>
              </w:tc>
              <w:tc>
                <w:tcPr>
                  <w:tcW w:w="409" w:type="pct"/>
                  <w:vMerge w:val="restart"/>
                  <w:noWrap/>
                  <w:vAlign w:val="center"/>
                </w:tcPr>
                <w:p w14:paraId="6E82BA86">
                  <w:pPr>
                    <w:pStyle w:val="154"/>
                    <w:rPr>
                      <w:sz w:val="21"/>
                      <w:szCs w:val="21"/>
                    </w:rPr>
                  </w:pPr>
                  <w:r>
                    <w:rPr>
                      <w:sz w:val="21"/>
                      <w:szCs w:val="21"/>
                    </w:rPr>
                    <w:t>/</w:t>
                  </w:r>
                </w:p>
              </w:tc>
              <w:tc>
                <w:tcPr>
                  <w:tcW w:w="572" w:type="pct"/>
                  <w:vMerge w:val="restart"/>
                  <w:noWrap/>
                  <w:vAlign w:val="center"/>
                </w:tcPr>
                <w:p w14:paraId="2BBBDE47">
                  <w:pPr>
                    <w:pStyle w:val="154"/>
                    <w:rPr>
                      <w:sz w:val="21"/>
                      <w:szCs w:val="21"/>
                    </w:rPr>
                  </w:pPr>
                  <w:r>
                    <w:rPr>
                      <w:sz w:val="21"/>
                      <w:szCs w:val="21"/>
                    </w:rPr>
                    <w:t>洛阳市中州渠人工湿地</w:t>
                  </w:r>
                </w:p>
              </w:tc>
              <w:tc>
                <w:tcPr>
                  <w:tcW w:w="491" w:type="pct"/>
                  <w:noWrap/>
                  <w:vAlign w:val="center"/>
                </w:tcPr>
                <w:p w14:paraId="51BD02B2">
                  <w:pPr>
                    <w:pStyle w:val="154"/>
                    <w:rPr>
                      <w:sz w:val="21"/>
                      <w:szCs w:val="21"/>
                    </w:rPr>
                  </w:pPr>
                  <w:r>
                    <w:rPr>
                      <w:sz w:val="21"/>
                      <w:szCs w:val="21"/>
                    </w:rPr>
                    <w:t>COD</w:t>
                  </w:r>
                </w:p>
              </w:tc>
              <w:tc>
                <w:tcPr>
                  <w:tcW w:w="1304" w:type="pct"/>
                  <w:noWrap/>
                  <w:vAlign w:val="center"/>
                </w:tcPr>
                <w:p w14:paraId="613573DC">
                  <w:pPr>
                    <w:pStyle w:val="154"/>
                    <w:rPr>
                      <w:sz w:val="21"/>
                      <w:szCs w:val="21"/>
                    </w:rPr>
                  </w:pPr>
                  <w:r>
                    <w:rPr>
                      <w:sz w:val="21"/>
                      <w:szCs w:val="21"/>
                    </w:rPr>
                    <w:t>40</w:t>
                  </w:r>
                </w:p>
              </w:tc>
            </w:tr>
            <w:tr w14:paraId="72517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 w:type="pct"/>
                  <w:vMerge w:val="continue"/>
                  <w:noWrap/>
                  <w:vAlign w:val="center"/>
                </w:tcPr>
                <w:p w14:paraId="4C6EB341">
                  <w:pPr>
                    <w:pStyle w:val="154"/>
                    <w:rPr>
                      <w:sz w:val="21"/>
                      <w:szCs w:val="21"/>
                    </w:rPr>
                  </w:pPr>
                </w:p>
              </w:tc>
              <w:tc>
                <w:tcPr>
                  <w:tcW w:w="512" w:type="pct"/>
                  <w:vMerge w:val="continue"/>
                  <w:noWrap/>
                  <w:vAlign w:val="center"/>
                </w:tcPr>
                <w:p w14:paraId="51ACFF65">
                  <w:pPr>
                    <w:pStyle w:val="154"/>
                    <w:rPr>
                      <w:sz w:val="21"/>
                      <w:szCs w:val="21"/>
                    </w:rPr>
                  </w:pPr>
                </w:p>
              </w:tc>
              <w:tc>
                <w:tcPr>
                  <w:tcW w:w="327" w:type="pct"/>
                  <w:vMerge w:val="continue"/>
                  <w:noWrap/>
                  <w:vAlign w:val="center"/>
                </w:tcPr>
                <w:p w14:paraId="70322DAF">
                  <w:pPr>
                    <w:pStyle w:val="154"/>
                    <w:rPr>
                      <w:sz w:val="21"/>
                      <w:szCs w:val="21"/>
                    </w:rPr>
                  </w:pPr>
                </w:p>
              </w:tc>
              <w:tc>
                <w:tcPr>
                  <w:tcW w:w="409" w:type="pct"/>
                  <w:vMerge w:val="continue"/>
                  <w:noWrap/>
                  <w:vAlign w:val="center"/>
                </w:tcPr>
                <w:p w14:paraId="11DE4C2F">
                  <w:pPr>
                    <w:pStyle w:val="154"/>
                    <w:rPr>
                      <w:sz w:val="21"/>
                      <w:szCs w:val="21"/>
                    </w:rPr>
                  </w:pPr>
                </w:p>
              </w:tc>
              <w:tc>
                <w:tcPr>
                  <w:tcW w:w="491" w:type="pct"/>
                  <w:vMerge w:val="continue"/>
                  <w:noWrap/>
                  <w:vAlign w:val="center"/>
                </w:tcPr>
                <w:p w14:paraId="43EF2DA3">
                  <w:pPr>
                    <w:pStyle w:val="154"/>
                    <w:rPr>
                      <w:sz w:val="21"/>
                      <w:szCs w:val="21"/>
                    </w:rPr>
                  </w:pPr>
                </w:p>
              </w:tc>
              <w:tc>
                <w:tcPr>
                  <w:tcW w:w="329" w:type="pct"/>
                  <w:vMerge w:val="continue"/>
                  <w:noWrap/>
                  <w:vAlign w:val="center"/>
                </w:tcPr>
                <w:p w14:paraId="04E97513">
                  <w:pPr>
                    <w:pStyle w:val="154"/>
                    <w:rPr>
                      <w:sz w:val="21"/>
                      <w:szCs w:val="21"/>
                    </w:rPr>
                  </w:pPr>
                </w:p>
              </w:tc>
              <w:tc>
                <w:tcPr>
                  <w:tcW w:w="409" w:type="pct"/>
                  <w:vMerge w:val="continue"/>
                  <w:noWrap/>
                  <w:vAlign w:val="center"/>
                </w:tcPr>
                <w:p w14:paraId="4CE31497">
                  <w:pPr>
                    <w:pStyle w:val="154"/>
                    <w:rPr>
                      <w:sz w:val="21"/>
                      <w:szCs w:val="21"/>
                    </w:rPr>
                  </w:pPr>
                </w:p>
              </w:tc>
              <w:tc>
                <w:tcPr>
                  <w:tcW w:w="572" w:type="pct"/>
                  <w:vMerge w:val="continue"/>
                  <w:noWrap/>
                  <w:vAlign w:val="center"/>
                </w:tcPr>
                <w:p w14:paraId="0BFEA886">
                  <w:pPr>
                    <w:pStyle w:val="154"/>
                    <w:rPr>
                      <w:sz w:val="21"/>
                      <w:szCs w:val="21"/>
                    </w:rPr>
                  </w:pPr>
                </w:p>
              </w:tc>
              <w:tc>
                <w:tcPr>
                  <w:tcW w:w="491" w:type="pct"/>
                  <w:noWrap/>
                  <w:vAlign w:val="center"/>
                </w:tcPr>
                <w:p w14:paraId="2F92C013">
                  <w:pPr>
                    <w:pStyle w:val="154"/>
                    <w:rPr>
                      <w:sz w:val="21"/>
                      <w:szCs w:val="21"/>
                    </w:rPr>
                  </w:pPr>
                  <w:r>
                    <w:rPr>
                      <w:sz w:val="21"/>
                      <w:szCs w:val="21"/>
                    </w:rPr>
                    <w:t>BOD</w:t>
                  </w:r>
                  <w:r>
                    <w:rPr>
                      <w:sz w:val="21"/>
                      <w:szCs w:val="21"/>
                      <w:vertAlign w:val="subscript"/>
                    </w:rPr>
                    <w:t>5</w:t>
                  </w:r>
                </w:p>
              </w:tc>
              <w:tc>
                <w:tcPr>
                  <w:tcW w:w="1304" w:type="pct"/>
                  <w:noWrap/>
                  <w:vAlign w:val="center"/>
                </w:tcPr>
                <w:p w14:paraId="21E203A8">
                  <w:pPr>
                    <w:pStyle w:val="154"/>
                    <w:rPr>
                      <w:sz w:val="21"/>
                      <w:szCs w:val="21"/>
                    </w:rPr>
                  </w:pPr>
                  <w:r>
                    <w:rPr>
                      <w:sz w:val="21"/>
                      <w:szCs w:val="21"/>
                    </w:rPr>
                    <w:t>6</w:t>
                  </w:r>
                </w:p>
              </w:tc>
            </w:tr>
            <w:tr w14:paraId="0002E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 w:type="pct"/>
                  <w:vMerge w:val="continue"/>
                  <w:noWrap/>
                  <w:vAlign w:val="center"/>
                </w:tcPr>
                <w:p w14:paraId="0A3E8515">
                  <w:pPr>
                    <w:pStyle w:val="154"/>
                    <w:rPr>
                      <w:sz w:val="21"/>
                      <w:szCs w:val="21"/>
                    </w:rPr>
                  </w:pPr>
                </w:p>
              </w:tc>
              <w:tc>
                <w:tcPr>
                  <w:tcW w:w="512" w:type="pct"/>
                  <w:vMerge w:val="continue"/>
                  <w:noWrap/>
                  <w:vAlign w:val="center"/>
                </w:tcPr>
                <w:p w14:paraId="50BBCD0B">
                  <w:pPr>
                    <w:pStyle w:val="154"/>
                    <w:rPr>
                      <w:sz w:val="21"/>
                      <w:szCs w:val="21"/>
                    </w:rPr>
                  </w:pPr>
                </w:p>
              </w:tc>
              <w:tc>
                <w:tcPr>
                  <w:tcW w:w="327" w:type="pct"/>
                  <w:vMerge w:val="continue"/>
                  <w:noWrap/>
                  <w:vAlign w:val="center"/>
                </w:tcPr>
                <w:p w14:paraId="158895F0">
                  <w:pPr>
                    <w:pStyle w:val="154"/>
                    <w:rPr>
                      <w:sz w:val="21"/>
                      <w:szCs w:val="21"/>
                    </w:rPr>
                  </w:pPr>
                </w:p>
              </w:tc>
              <w:tc>
                <w:tcPr>
                  <w:tcW w:w="409" w:type="pct"/>
                  <w:vMerge w:val="continue"/>
                  <w:noWrap/>
                  <w:vAlign w:val="center"/>
                </w:tcPr>
                <w:p w14:paraId="2CFF04A6">
                  <w:pPr>
                    <w:pStyle w:val="154"/>
                    <w:rPr>
                      <w:sz w:val="21"/>
                      <w:szCs w:val="21"/>
                    </w:rPr>
                  </w:pPr>
                </w:p>
              </w:tc>
              <w:tc>
                <w:tcPr>
                  <w:tcW w:w="491" w:type="pct"/>
                  <w:vMerge w:val="continue"/>
                  <w:noWrap/>
                  <w:vAlign w:val="center"/>
                </w:tcPr>
                <w:p w14:paraId="4E9B2869">
                  <w:pPr>
                    <w:pStyle w:val="154"/>
                    <w:rPr>
                      <w:sz w:val="21"/>
                      <w:szCs w:val="21"/>
                    </w:rPr>
                  </w:pPr>
                </w:p>
              </w:tc>
              <w:tc>
                <w:tcPr>
                  <w:tcW w:w="329" w:type="pct"/>
                  <w:vMerge w:val="continue"/>
                  <w:noWrap/>
                  <w:vAlign w:val="center"/>
                </w:tcPr>
                <w:p w14:paraId="4891F70A">
                  <w:pPr>
                    <w:pStyle w:val="154"/>
                    <w:rPr>
                      <w:sz w:val="21"/>
                      <w:szCs w:val="21"/>
                    </w:rPr>
                  </w:pPr>
                </w:p>
              </w:tc>
              <w:tc>
                <w:tcPr>
                  <w:tcW w:w="409" w:type="pct"/>
                  <w:vMerge w:val="continue"/>
                  <w:noWrap/>
                  <w:vAlign w:val="center"/>
                </w:tcPr>
                <w:p w14:paraId="2A26226E">
                  <w:pPr>
                    <w:pStyle w:val="154"/>
                    <w:rPr>
                      <w:sz w:val="21"/>
                      <w:szCs w:val="21"/>
                    </w:rPr>
                  </w:pPr>
                </w:p>
              </w:tc>
              <w:tc>
                <w:tcPr>
                  <w:tcW w:w="572" w:type="pct"/>
                  <w:vMerge w:val="continue"/>
                  <w:noWrap/>
                  <w:vAlign w:val="center"/>
                </w:tcPr>
                <w:p w14:paraId="6AEBB84A">
                  <w:pPr>
                    <w:pStyle w:val="154"/>
                    <w:rPr>
                      <w:sz w:val="21"/>
                      <w:szCs w:val="21"/>
                    </w:rPr>
                  </w:pPr>
                </w:p>
              </w:tc>
              <w:tc>
                <w:tcPr>
                  <w:tcW w:w="491" w:type="pct"/>
                  <w:noWrap/>
                  <w:vAlign w:val="center"/>
                </w:tcPr>
                <w:p w14:paraId="108C7D0D">
                  <w:pPr>
                    <w:pStyle w:val="154"/>
                    <w:rPr>
                      <w:sz w:val="21"/>
                      <w:szCs w:val="21"/>
                    </w:rPr>
                  </w:pPr>
                  <w:r>
                    <w:rPr>
                      <w:sz w:val="21"/>
                      <w:szCs w:val="21"/>
                    </w:rPr>
                    <w:t>SS</w:t>
                  </w:r>
                </w:p>
              </w:tc>
              <w:tc>
                <w:tcPr>
                  <w:tcW w:w="1304" w:type="pct"/>
                  <w:noWrap/>
                  <w:vAlign w:val="center"/>
                </w:tcPr>
                <w:p w14:paraId="0CF4E19C">
                  <w:pPr>
                    <w:pStyle w:val="154"/>
                    <w:rPr>
                      <w:sz w:val="21"/>
                      <w:szCs w:val="21"/>
                    </w:rPr>
                  </w:pPr>
                  <w:r>
                    <w:rPr>
                      <w:sz w:val="21"/>
                      <w:szCs w:val="21"/>
                    </w:rPr>
                    <w:t>10</w:t>
                  </w:r>
                </w:p>
              </w:tc>
            </w:tr>
            <w:tr w14:paraId="342E3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56" w:type="pct"/>
                  <w:vMerge w:val="continue"/>
                  <w:noWrap/>
                  <w:vAlign w:val="center"/>
                </w:tcPr>
                <w:p w14:paraId="0A0E2A68">
                  <w:pPr>
                    <w:pStyle w:val="154"/>
                    <w:rPr>
                      <w:sz w:val="21"/>
                      <w:szCs w:val="21"/>
                    </w:rPr>
                  </w:pPr>
                </w:p>
              </w:tc>
              <w:tc>
                <w:tcPr>
                  <w:tcW w:w="512" w:type="pct"/>
                  <w:vMerge w:val="continue"/>
                  <w:noWrap/>
                  <w:vAlign w:val="center"/>
                </w:tcPr>
                <w:p w14:paraId="6548609D">
                  <w:pPr>
                    <w:pStyle w:val="154"/>
                    <w:rPr>
                      <w:sz w:val="21"/>
                      <w:szCs w:val="21"/>
                    </w:rPr>
                  </w:pPr>
                </w:p>
              </w:tc>
              <w:tc>
                <w:tcPr>
                  <w:tcW w:w="327" w:type="pct"/>
                  <w:vMerge w:val="continue"/>
                  <w:noWrap/>
                  <w:vAlign w:val="center"/>
                </w:tcPr>
                <w:p w14:paraId="1D32CED2">
                  <w:pPr>
                    <w:pStyle w:val="154"/>
                    <w:rPr>
                      <w:sz w:val="21"/>
                      <w:szCs w:val="21"/>
                    </w:rPr>
                  </w:pPr>
                </w:p>
              </w:tc>
              <w:tc>
                <w:tcPr>
                  <w:tcW w:w="409" w:type="pct"/>
                  <w:vMerge w:val="continue"/>
                  <w:noWrap/>
                  <w:vAlign w:val="center"/>
                </w:tcPr>
                <w:p w14:paraId="14555CDC">
                  <w:pPr>
                    <w:pStyle w:val="154"/>
                    <w:rPr>
                      <w:sz w:val="21"/>
                      <w:szCs w:val="21"/>
                    </w:rPr>
                  </w:pPr>
                </w:p>
              </w:tc>
              <w:tc>
                <w:tcPr>
                  <w:tcW w:w="491" w:type="pct"/>
                  <w:vMerge w:val="continue"/>
                  <w:noWrap/>
                  <w:vAlign w:val="center"/>
                </w:tcPr>
                <w:p w14:paraId="2C5DB1DE">
                  <w:pPr>
                    <w:pStyle w:val="154"/>
                    <w:rPr>
                      <w:sz w:val="21"/>
                      <w:szCs w:val="21"/>
                    </w:rPr>
                  </w:pPr>
                </w:p>
              </w:tc>
              <w:tc>
                <w:tcPr>
                  <w:tcW w:w="329" w:type="pct"/>
                  <w:vMerge w:val="continue"/>
                  <w:noWrap/>
                  <w:vAlign w:val="center"/>
                </w:tcPr>
                <w:p w14:paraId="26A5836F">
                  <w:pPr>
                    <w:pStyle w:val="154"/>
                    <w:rPr>
                      <w:sz w:val="21"/>
                      <w:szCs w:val="21"/>
                    </w:rPr>
                  </w:pPr>
                </w:p>
              </w:tc>
              <w:tc>
                <w:tcPr>
                  <w:tcW w:w="409" w:type="pct"/>
                  <w:vMerge w:val="continue"/>
                  <w:noWrap/>
                  <w:vAlign w:val="center"/>
                </w:tcPr>
                <w:p w14:paraId="604F6D62">
                  <w:pPr>
                    <w:pStyle w:val="154"/>
                    <w:rPr>
                      <w:sz w:val="21"/>
                      <w:szCs w:val="21"/>
                    </w:rPr>
                  </w:pPr>
                </w:p>
              </w:tc>
              <w:tc>
                <w:tcPr>
                  <w:tcW w:w="572" w:type="pct"/>
                  <w:vMerge w:val="continue"/>
                  <w:noWrap/>
                  <w:vAlign w:val="center"/>
                </w:tcPr>
                <w:p w14:paraId="4E04D4D9">
                  <w:pPr>
                    <w:pStyle w:val="154"/>
                    <w:rPr>
                      <w:sz w:val="21"/>
                      <w:szCs w:val="21"/>
                    </w:rPr>
                  </w:pPr>
                </w:p>
              </w:tc>
              <w:tc>
                <w:tcPr>
                  <w:tcW w:w="491" w:type="pct"/>
                  <w:noWrap/>
                  <w:vAlign w:val="center"/>
                </w:tcPr>
                <w:p w14:paraId="6F16D202">
                  <w:pPr>
                    <w:pStyle w:val="154"/>
                    <w:rPr>
                      <w:sz w:val="21"/>
                      <w:szCs w:val="21"/>
                    </w:rPr>
                  </w:pPr>
                  <w:r>
                    <w:rPr>
                      <w:sz w:val="21"/>
                      <w:szCs w:val="21"/>
                    </w:rPr>
                    <w:t>NH</w:t>
                  </w:r>
                  <w:r>
                    <w:rPr>
                      <w:sz w:val="21"/>
                      <w:szCs w:val="21"/>
                      <w:vertAlign w:val="subscript"/>
                    </w:rPr>
                    <w:t>3</w:t>
                  </w:r>
                  <w:r>
                    <w:rPr>
                      <w:sz w:val="21"/>
                      <w:szCs w:val="21"/>
                    </w:rPr>
                    <w:t>-N</w:t>
                  </w:r>
                </w:p>
              </w:tc>
              <w:tc>
                <w:tcPr>
                  <w:tcW w:w="1304" w:type="pct"/>
                  <w:noWrap/>
                  <w:vAlign w:val="center"/>
                </w:tcPr>
                <w:p w14:paraId="3B7EDDC4">
                  <w:pPr>
                    <w:pStyle w:val="154"/>
                    <w:rPr>
                      <w:sz w:val="21"/>
                      <w:szCs w:val="21"/>
                    </w:rPr>
                  </w:pPr>
                  <w:r>
                    <w:rPr>
                      <w:sz w:val="21"/>
                      <w:szCs w:val="21"/>
                    </w:rPr>
                    <w:t>3（5）</w:t>
                  </w:r>
                </w:p>
              </w:tc>
            </w:tr>
          </w:tbl>
          <w:p w14:paraId="6EF85EB9">
            <w:pPr>
              <w:spacing w:line="520" w:lineRule="exact"/>
              <w:ind w:firstLine="482"/>
              <w:rPr>
                <w:rFonts w:ascii="Times New Roman" w:hAnsi="Times New Roman"/>
                <w:bCs/>
              </w:rPr>
            </w:pPr>
            <w:r>
              <w:rPr>
                <w:rFonts w:hint="eastAsia" w:ascii="Times New Roman" w:hAnsi="Times New Roman"/>
                <w:bCs/>
              </w:rPr>
              <w:t>②</w:t>
            </w:r>
            <w:r>
              <w:rPr>
                <w:rFonts w:ascii="Times New Roman" w:hAnsi="Times New Roman"/>
                <w:bCs/>
              </w:rPr>
              <w:t>水量</w:t>
            </w:r>
          </w:p>
          <w:p w14:paraId="794E918F">
            <w:pPr>
              <w:pStyle w:val="156"/>
              <w:ind w:firstLine="480"/>
            </w:pPr>
            <w:r>
              <w:t>本项目建成后生活污水排放量为0.64m</w:t>
            </w:r>
            <w:r>
              <w:rPr>
                <w:vertAlign w:val="superscript"/>
              </w:rPr>
              <w:t>3</w:t>
            </w:r>
            <w:r>
              <w:t>/d（192m</w:t>
            </w:r>
            <w:r>
              <w:rPr>
                <w:vertAlign w:val="superscript"/>
              </w:rPr>
              <w:t>3</w:t>
            </w:r>
            <w:r>
              <w:t>/a），洛阳市中州渠人工湿地处理能力为6000m</w:t>
            </w:r>
            <w:r>
              <w:rPr>
                <w:vertAlign w:val="superscript"/>
              </w:rPr>
              <w:t>3</w:t>
            </w:r>
            <w:r>
              <w:t>/d，目前洛阳市中州渠人工湿地日处理量约为4000m</w:t>
            </w:r>
            <w:r>
              <w:rPr>
                <w:vertAlign w:val="superscript"/>
              </w:rPr>
              <w:t>3</w:t>
            </w:r>
            <w:r>
              <w:t>/d，富余处理能力约为2000m</w:t>
            </w:r>
            <w:r>
              <w:rPr>
                <w:vertAlign w:val="superscript"/>
              </w:rPr>
              <w:t>3</w:t>
            </w:r>
            <w:r>
              <w:t>/d，本项目废水量远小于洛阳市中州渠人工湿地的处理能力。</w:t>
            </w:r>
          </w:p>
          <w:p w14:paraId="19E68ACB">
            <w:pPr>
              <w:pStyle w:val="156"/>
              <w:ind w:firstLine="480"/>
            </w:pPr>
            <w:r>
              <w:t>因此，本项目废水依托洛阳市中州渠人工湿地处理是可行的。</w:t>
            </w:r>
          </w:p>
          <w:p w14:paraId="0731CCB8">
            <w:pPr>
              <w:pStyle w:val="179"/>
            </w:pPr>
            <w:r>
              <w:t>2.3监测要求</w:t>
            </w:r>
          </w:p>
          <w:p w14:paraId="0F79375F">
            <w:pPr>
              <w:pStyle w:val="156"/>
              <w:ind w:firstLine="480"/>
            </w:pPr>
            <w:r>
              <w:t>根据《排污单位自行监测技术指南 总则》（HJ819-2017）并参考《排污许可证申请与核发技术规范  制鞋工业》（HJ1123—2020），结合本项目运行期产污特征、项目工程周围环境实际情况，制定出本项目运行期废水监测计划，详见下表。</w:t>
            </w:r>
          </w:p>
          <w:p w14:paraId="3AB6709A">
            <w:pPr>
              <w:pStyle w:val="182"/>
              <w:ind w:firstLine="480"/>
            </w:pPr>
            <w:r>
              <w:t>表4-</w:t>
            </w:r>
            <w:r>
              <w:rPr>
                <w:rFonts w:hint="eastAsia"/>
              </w:rPr>
              <w:t>14</w:t>
            </w:r>
            <w:r>
              <w:t xml:space="preserve">                       营运期监测计划</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62"/>
              <w:gridCol w:w="777"/>
              <w:gridCol w:w="1381"/>
              <w:gridCol w:w="2486"/>
              <w:gridCol w:w="989"/>
              <w:gridCol w:w="2438"/>
            </w:tblGrid>
            <w:tr w14:paraId="56E40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871" w:type="pct"/>
                  <w:gridSpan w:val="2"/>
                  <w:tcBorders>
                    <w:top w:val="single" w:color="000000" w:sz="12" w:space="0"/>
                    <w:bottom w:val="single" w:color="000000" w:sz="6" w:space="0"/>
                  </w:tcBorders>
                  <w:vAlign w:val="center"/>
                </w:tcPr>
                <w:p w14:paraId="049F1A93">
                  <w:pPr>
                    <w:pStyle w:val="154"/>
                    <w:rPr>
                      <w:sz w:val="21"/>
                      <w:szCs w:val="21"/>
                    </w:rPr>
                  </w:pPr>
                  <w:r>
                    <w:rPr>
                      <w:sz w:val="21"/>
                      <w:szCs w:val="21"/>
                    </w:rPr>
                    <w:t>类别</w:t>
                  </w:r>
                </w:p>
              </w:tc>
              <w:tc>
                <w:tcPr>
                  <w:tcW w:w="782" w:type="pct"/>
                  <w:tcBorders>
                    <w:top w:val="single" w:color="000000" w:sz="12" w:space="0"/>
                    <w:bottom w:val="single" w:color="000000" w:sz="6" w:space="0"/>
                  </w:tcBorders>
                  <w:vAlign w:val="center"/>
                </w:tcPr>
                <w:p w14:paraId="4073EFBB">
                  <w:pPr>
                    <w:pStyle w:val="154"/>
                    <w:rPr>
                      <w:sz w:val="21"/>
                      <w:szCs w:val="21"/>
                    </w:rPr>
                  </w:pPr>
                  <w:r>
                    <w:rPr>
                      <w:sz w:val="21"/>
                      <w:szCs w:val="21"/>
                    </w:rPr>
                    <w:t>监测点</w:t>
                  </w:r>
                </w:p>
              </w:tc>
              <w:tc>
                <w:tcPr>
                  <w:tcW w:w="1407" w:type="pct"/>
                  <w:tcBorders>
                    <w:top w:val="single" w:color="000000" w:sz="12" w:space="0"/>
                    <w:bottom w:val="single" w:color="000000" w:sz="6" w:space="0"/>
                  </w:tcBorders>
                  <w:vAlign w:val="center"/>
                </w:tcPr>
                <w:p w14:paraId="0D3316C3">
                  <w:pPr>
                    <w:pStyle w:val="154"/>
                    <w:rPr>
                      <w:sz w:val="21"/>
                      <w:szCs w:val="21"/>
                    </w:rPr>
                  </w:pPr>
                  <w:r>
                    <w:rPr>
                      <w:sz w:val="21"/>
                      <w:szCs w:val="21"/>
                    </w:rPr>
                    <w:t>监测项目</w:t>
                  </w:r>
                </w:p>
              </w:tc>
              <w:tc>
                <w:tcPr>
                  <w:tcW w:w="560" w:type="pct"/>
                  <w:tcBorders>
                    <w:top w:val="single" w:color="000000" w:sz="12" w:space="0"/>
                    <w:bottom w:val="single" w:color="000000" w:sz="6" w:space="0"/>
                  </w:tcBorders>
                  <w:vAlign w:val="center"/>
                </w:tcPr>
                <w:p w14:paraId="44EDA1A9">
                  <w:pPr>
                    <w:pStyle w:val="154"/>
                    <w:rPr>
                      <w:sz w:val="21"/>
                      <w:szCs w:val="21"/>
                    </w:rPr>
                  </w:pPr>
                  <w:r>
                    <w:rPr>
                      <w:sz w:val="21"/>
                      <w:szCs w:val="21"/>
                    </w:rPr>
                    <w:t>监测频率</w:t>
                  </w:r>
                </w:p>
              </w:tc>
              <w:tc>
                <w:tcPr>
                  <w:tcW w:w="1380" w:type="pct"/>
                  <w:tcBorders>
                    <w:top w:val="single" w:color="000000" w:sz="12" w:space="0"/>
                    <w:bottom w:val="single" w:color="000000" w:sz="6" w:space="0"/>
                  </w:tcBorders>
                  <w:vAlign w:val="center"/>
                </w:tcPr>
                <w:p w14:paraId="422BD4AA">
                  <w:pPr>
                    <w:pStyle w:val="154"/>
                    <w:rPr>
                      <w:sz w:val="21"/>
                      <w:szCs w:val="21"/>
                    </w:rPr>
                  </w:pPr>
                  <w:r>
                    <w:rPr>
                      <w:sz w:val="21"/>
                      <w:szCs w:val="21"/>
                    </w:rPr>
                    <w:t>执行标准</w:t>
                  </w:r>
                </w:p>
              </w:tc>
            </w:tr>
            <w:tr w14:paraId="3CDD71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431" w:type="pct"/>
                  <w:tcBorders>
                    <w:top w:val="single" w:color="000000" w:sz="6" w:space="0"/>
                  </w:tcBorders>
                  <w:vAlign w:val="center"/>
                </w:tcPr>
                <w:p w14:paraId="6A705C87">
                  <w:pPr>
                    <w:pStyle w:val="154"/>
                    <w:rPr>
                      <w:sz w:val="21"/>
                      <w:szCs w:val="21"/>
                    </w:rPr>
                  </w:pPr>
                  <w:r>
                    <w:rPr>
                      <w:sz w:val="21"/>
                      <w:szCs w:val="21"/>
                    </w:rPr>
                    <w:t>污染源</w:t>
                  </w:r>
                </w:p>
              </w:tc>
              <w:tc>
                <w:tcPr>
                  <w:tcW w:w="440" w:type="pct"/>
                  <w:tcBorders>
                    <w:top w:val="single" w:color="000000" w:sz="6" w:space="0"/>
                  </w:tcBorders>
                  <w:vAlign w:val="center"/>
                </w:tcPr>
                <w:p w14:paraId="18411B91">
                  <w:pPr>
                    <w:pStyle w:val="154"/>
                    <w:rPr>
                      <w:sz w:val="21"/>
                      <w:szCs w:val="21"/>
                    </w:rPr>
                  </w:pPr>
                  <w:r>
                    <w:rPr>
                      <w:sz w:val="21"/>
                      <w:szCs w:val="21"/>
                    </w:rPr>
                    <w:t>废水</w:t>
                  </w:r>
                </w:p>
              </w:tc>
              <w:tc>
                <w:tcPr>
                  <w:tcW w:w="782" w:type="pct"/>
                  <w:tcBorders>
                    <w:top w:val="single" w:color="000000" w:sz="6" w:space="0"/>
                  </w:tcBorders>
                  <w:vAlign w:val="center"/>
                </w:tcPr>
                <w:p w14:paraId="50382292">
                  <w:pPr>
                    <w:pStyle w:val="154"/>
                    <w:rPr>
                      <w:sz w:val="21"/>
                      <w:szCs w:val="21"/>
                    </w:rPr>
                  </w:pPr>
                  <w:r>
                    <w:rPr>
                      <w:sz w:val="21"/>
                      <w:szCs w:val="21"/>
                    </w:rPr>
                    <w:t>DW001（厂区总排口）</w:t>
                  </w:r>
                </w:p>
              </w:tc>
              <w:tc>
                <w:tcPr>
                  <w:tcW w:w="1407" w:type="pct"/>
                  <w:tcBorders>
                    <w:top w:val="single" w:color="000000" w:sz="6" w:space="0"/>
                  </w:tcBorders>
                  <w:vAlign w:val="center"/>
                </w:tcPr>
                <w:p w14:paraId="66E18A0F">
                  <w:pPr>
                    <w:pStyle w:val="154"/>
                    <w:rPr>
                      <w:sz w:val="21"/>
                      <w:szCs w:val="21"/>
                    </w:rPr>
                  </w:pPr>
                  <w:r>
                    <w:rPr>
                      <w:sz w:val="21"/>
                      <w:szCs w:val="21"/>
                    </w:rPr>
                    <w:t>pH值、悬浮物、五日生化需氧量、化学需氧量、氨氮</w:t>
                  </w:r>
                </w:p>
              </w:tc>
              <w:tc>
                <w:tcPr>
                  <w:tcW w:w="560" w:type="pct"/>
                  <w:tcBorders>
                    <w:top w:val="single" w:color="000000" w:sz="6" w:space="0"/>
                  </w:tcBorders>
                  <w:vAlign w:val="center"/>
                </w:tcPr>
                <w:p w14:paraId="574FB5BF">
                  <w:pPr>
                    <w:pStyle w:val="154"/>
                    <w:rPr>
                      <w:sz w:val="21"/>
                      <w:szCs w:val="21"/>
                    </w:rPr>
                  </w:pPr>
                  <w:r>
                    <w:rPr>
                      <w:sz w:val="21"/>
                      <w:szCs w:val="21"/>
                    </w:rPr>
                    <w:t>每年1次</w:t>
                  </w:r>
                </w:p>
              </w:tc>
              <w:tc>
                <w:tcPr>
                  <w:tcW w:w="1380" w:type="pct"/>
                  <w:tcBorders>
                    <w:top w:val="single" w:color="000000" w:sz="6" w:space="0"/>
                  </w:tcBorders>
                  <w:vAlign w:val="center"/>
                </w:tcPr>
                <w:p w14:paraId="19869B66">
                  <w:pPr>
                    <w:pStyle w:val="154"/>
                    <w:rPr>
                      <w:sz w:val="21"/>
                      <w:szCs w:val="21"/>
                    </w:rPr>
                  </w:pPr>
                  <w:r>
                    <w:rPr>
                      <w:sz w:val="21"/>
                      <w:szCs w:val="21"/>
                    </w:rPr>
                    <w:t>《污水综合排放标准》（GB 8978-1996）三级标准，洛阳市中州渠人工湿地设计进水水质。</w:t>
                  </w:r>
                </w:p>
              </w:tc>
            </w:tr>
          </w:tbl>
          <w:p w14:paraId="08D25499">
            <w:pPr>
              <w:pStyle w:val="179"/>
            </w:pPr>
            <w:r>
              <w:t>2.4废水环境影响分析</w:t>
            </w:r>
          </w:p>
          <w:p w14:paraId="4A83D067">
            <w:pPr>
              <w:pStyle w:val="156"/>
              <w:ind w:firstLine="480"/>
              <w:rPr>
                <w:rFonts w:eastAsia="宋体" w:cs="Times New Roman"/>
                <w:kern w:val="0"/>
              </w:rPr>
            </w:pPr>
            <w:r>
              <w:rPr>
                <w:rFonts w:eastAsia="宋体" w:cs="Times New Roman"/>
                <w:kern w:val="0"/>
              </w:rPr>
              <w:t>综上所述，本项目生活污水依托厂区化粪池处理后经市政管网排入洛阳市中州渠人工湿地处理，对该区域的水环境产影响较小。</w:t>
            </w:r>
          </w:p>
          <w:p w14:paraId="4B4B8781">
            <w:pPr>
              <w:pStyle w:val="157"/>
            </w:pPr>
            <w:r>
              <w:t>3、噪声</w:t>
            </w:r>
          </w:p>
          <w:p w14:paraId="6B791BD7">
            <w:pPr>
              <w:pStyle w:val="179"/>
            </w:pPr>
            <w:r>
              <w:t>3.1</w:t>
            </w:r>
            <w:r>
              <w:rPr>
                <w:rFonts w:hint="eastAsia"/>
              </w:rPr>
              <w:t>、</w:t>
            </w:r>
            <w:r>
              <w:t>噪声源强</w:t>
            </w:r>
          </w:p>
          <w:p w14:paraId="5D8A8388">
            <w:pPr>
              <w:pStyle w:val="156"/>
              <w:ind w:firstLine="480"/>
              <w:rPr>
                <w:rFonts w:eastAsia="宋体" w:cs="Times New Roman"/>
              </w:rPr>
            </w:pPr>
            <w:r>
              <w:rPr>
                <w:rFonts w:eastAsia="宋体" w:cs="Times New Roman"/>
              </w:rPr>
              <w:t>项目运营期</w:t>
            </w:r>
            <w:r>
              <w:rPr>
                <w:rFonts w:hint="eastAsia" w:eastAsia="宋体" w:cs="Times New Roman"/>
              </w:rPr>
              <w:t>噪声</w:t>
            </w:r>
            <w:r>
              <w:rPr>
                <w:rFonts w:eastAsia="宋体" w:cs="Times New Roman"/>
              </w:rPr>
              <w:t>主要为设备噪声，项目产生噪声的</w:t>
            </w:r>
            <w:r>
              <w:rPr>
                <w:rFonts w:hint="eastAsia" w:eastAsia="宋体" w:cs="Times New Roman"/>
              </w:rPr>
              <w:t>高噪声设备</w:t>
            </w:r>
            <w:r>
              <w:rPr>
                <w:rFonts w:eastAsia="宋体" w:cs="Times New Roman"/>
              </w:rPr>
              <w:t>噪声源强调查清单见下表。</w:t>
            </w:r>
          </w:p>
          <w:p w14:paraId="5F244A86">
            <w:pPr>
              <w:pStyle w:val="179"/>
            </w:pPr>
          </w:p>
        </w:tc>
      </w:tr>
    </w:tbl>
    <w:p w14:paraId="0D8A69CD">
      <w:pPr>
        <w:rPr>
          <w:rFonts w:ascii="Times New Roman" w:hAnsi="Times New Roman"/>
        </w:rPr>
        <w:sectPr>
          <w:pgSz w:w="11907" w:h="16840"/>
          <w:pgMar w:top="1588" w:right="1418" w:bottom="1588" w:left="1418" w:header="851" w:footer="992" w:gutter="0"/>
          <w:cols w:space="425" w:num="1"/>
          <w:docGrid w:type="lines" w:linePitch="312" w:charSpace="0"/>
        </w:sectPr>
      </w:pP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880"/>
      </w:tblGrid>
      <w:tr w14:paraId="782A4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09" w:hRule="atLeast"/>
          <w:jc w:val="center"/>
        </w:trPr>
        <w:tc>
          <w:tcPr>
            <w:tcW w:w="5000" w:type="pct"/>
            <w:tcMar>
              <w:top w:w="0" w:type="dxa"/>
              <w:left w:w="108" w:type="dxa"/>
              <w:bottom w:w="0" w:type="dxa"/>
              <w:right w:w="108" w:type="dxa"/>
            </w:tcMar>
            <w:vAlign w:val="center"/>
          </w:tcPr>
          <w:p w14:paraId="2DD4CDEF">
            <w:pPr>
              <w:pStyle w:val="182"/>
              <w:ind w:firstLine="480"/>
            </w:pPr>
            <w:r>
              <w:t>表4-1</w:t>
            </w:r>
            <w:r>
              <w:rPr>
                <w:rFonts w:hint="eastAsia"/>
              </w:rPr>
              <w:t>5</w:t>
            </w:r>
            <w:r>
              <w:t xml:space="preserve">                       工业企业噪声源强调查清单（室内声源）</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5"/>
              <w:gridCol w:w="700"/>
              <w:gridCol w:w="1543"/>
              <w:gridCol w:w="567"/>
              <w:gridCol w:w="1560"/>
              <w:gridCol w:w="993"/>
              <w:gridCol w:w="1132"/>
              <w:gridCol w:w="567"/>
              <w:gridCol w:w="567"/>
              <w:gridCol w:w="709"/>
              <w:gridCol w:w="611"/>
              <w:gridCol w:w="614"/>
              <w:gridCol w:w="843"/>
              <w:gridCol w:w="704"/>
              <w:gridCol w:w="704"/>
              <w:gridCol w:w="701"/>
              <w:gridCol w:w="684"/>
            </w:tblGrid>
            <w:tr w14:paraId="0C028F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1" w:hRule="atLeast"/>
                <w:jc w:val="center"/>
              </w:trPr>
              <w:tc>
                <w:tcPr>
                  <w:tcW w:w="160" w:type="pct"/>
                  <w:vMerge w:val="restart"/>
                  <w:vAlign w:val="center"/>
                </w:tcPr>
                <w:p w14:paraId="6104EAF1">
                  <w:pPr>
                    <w:pStyle w:val="154"/>
                    <w:rPr>
                      <w:sz w:val="21"/>
                      <w:szCs w:val="21"/>
                    </w:rPr>
                  </w:pPr>
                  <w:r>
                    <w:rPr>
                      <w:sz w:val="21"/>
                      <w:szCs w:val="21"/>
                    </w:rPr>
                    <w:t>序号</w:t>
                  </w:r>
                </w:p>
              </w:tc>
              <w:tc>
                <w:tcPr>
                  <w:tcW w:w="257" w:type="pct"/>
                  <w:vMerge w:val="restart"/>
                  <w:vAlign w:val="center"/>
                </w:tcPr>
                <w:p w14:paraId="0D9DB091">
                  <w:pPr>
                    <w:pStyle w:val="154"/>
                    <w:rPr>
                      <w:sz w:val="21"/>
                      <w:szCs w:val="21"/>
                    </w:rPr>
                  </w:pPr>
                  <w:r>
                    <w:rPr>
                      <w:sz w:val="21"/>
                      <w:szCs w:val="21"/>
                    </w:rPr>
                    <w:t>建筑物名称</w:t>
                  </w:r>
                </w:p>
              </w:tc>
              <w:tc>
                <w:tcPr>
                  <w:tcW w:w="566" w:type="pct"/>
                  <w:vMerge w:val="restart"/>
                  <w:vAlign w:val="center"/>
                </w:tcPr>
                <w:p w14:paraId="3E62AEC5">
                  <w:pPr>
                    <w:pStyle w:val="154"/>
                    <w:rPr>
                      <w:sz w:val="21"/>
                      <w:szCs w:val="21"/>
                    </w:rPr>
                  </w:pPr>
                  <w:r>
                    <w:rPr>
                      <w:sz w:val="21"/>
                      <w:szCs w:val="21"/>
                    </w:rPr>
                    <w:t>声源名称</w:t>
                  </w:r>
                </w:p>
              </w:tc>
              <w:tc>
                <w:tcPr>
                  <w:tcW w:w="208" w:type="pct"/>
                  <w:vMerge w:val="restart"/>
                  <w:vAlign w:val="center"/>
                </w:tcPr>
                <w:p w14:paraId="7CB2728B">
                  <w:pPr>
                    <w:pStyle w:val="154"/>
                    <w:rPr>
                      <w:sz w:val="21"/>
                      <w:szCs w:val="21"/>
                    </w:rPr>
                  </w:pPr>
                  <w:r>
                    <w:rPr>
                      <w:sz w:val="21"/>
                      <w:szCs w:val="21"/>
                    </w:rPr>
                    <w:t>型号</w:t>
                  </w:r>
                </w:p>
              </w:tc>
              <w:tc>
                <w:tcPr>
                  <w:tcW w:w="936" w:type="pct"/>
                  <w:gridSpan w:val="2"/>
                  <w:vAlign w:val="center"/>
                </w:tcPr>
                <w:p w14:paraId="54892EEA">
                  <w:pPr>
                    <w:pStyle w:val="154"/>
                    <w:rPr>
                      <w:sz w:val="21"/>
                      <w:szCs w:val="21"/>
                    </w:rPr>
                  </w:pPr>
                  <w:r>
                    <w:rPr>
                      <w:sz w:val="21"/>
                      <w:szCs w:val="21"/>
                    </w:rPr>
                    <w:t>声源源强（任选一种）</w:t>
                  </w:r>
                </w:p>
              </w:tc>
              <w:tc>
                <w:tcPr>
                  <w:tcW w:w="415" w:type="pct"/>
                  <w:vMerge w:val="restart"/>
                  <w:vAlign w:val="center"/>
                </w:tcPr>
                <w:p w14:paraId="37E499CC">
                  <w:pPr>
                    <w:pStyle w:val="154"/>
                    <w:rPr>
                      <w:sz w:val="21"/>
                      <w:szCs w:val="21"/>
                    </w:rPr>
                  </w:pPr>
                  <w:r>
                    <w:rPr>
                      <w:sz w:val="21"/>
                      <w:szCs w:val="21"/>
                    </w:rPr>
                    <w:t>声源控制措施</w:t>
                  </w:r>
                </w:p>
              </w:tc>
              <w:tc>
                <w:tcPr>
                  <w:tcW w:w="676" w:type="pct"/>
                  <w:gridSpan w:val="3"/>
                  <w:vAlign w:val="center"/>
                </w:tcPr>
                <w:p w14:paraId="31D4EF62">
                  <w:pPr>
                    <w:pStyle w:val="154"/>
                    <w:rPr>
                      <w:sz w:val="21"/>
                      <w:szCs w:val="21"/>
                    </w:rPr>
                  </w:pPr>
                  <w:r>
                    <w:rPr>
                      <w:sz w:val="21"/>
                      <w:szCs w:val="21"/>
                    </w:rPr>
                    <w:t>空间相对位置/m</w:t>
                  </w:r>
                </w:p>
              </w:tc>
              <w:tc>
                <w:tcPr>
                  <w:tcW w:w="449" w:type="pct"/>
                  <w:gridSpan w:val="2"/>
                  <w:tcBorders>
                    <w:bottom w:val="single" w:color="auto" w:sz="6" w:space="0"/>
                  </w:tcBorders>
                  <w:vAlign w:val="center"/>
                </w:tcPr>
                <w:p w14:paraId="068A7711">
                  <w:pPr>
                    <w:pStyle w:val="154"/>
                    <w:rPr>
                      <w:sz w:val="21"/>
                      <w:szCs w:val="21"/>
                    </w:rPr>
                  </w:pPr>
                  <w:r>
                    <w:rPr>
                      <w:sz w:val="21"/>
                      <w:szCs w:val="21"/>
                    </w:rPr>
                    <w:t>距室内边界距离</w:t>
                  </w:r>
                </w:p>
              </w:tc>
              <w:tc>
                <w:tcPr>
                  <w:tcW w:w="309" w:type="pct"/>
                  <w:vMerge w:val="restart"/>
                  <w:vAlign w:val="center"/>
                </w:tcPr>
                <w:p w14:paraId="06E985D6">
                  <w:pPr>
                    <w:pStyle w:val="154"/>
                    <w:rPr>
                      <w:sz w:val="21"/>
                      <w:szCs w:val="21"/>
                    </w:rPr>
                  </w:pPr>
                  <w:r>
                    <w:rPr>
                      <w:sz w:val="21"/>
                      <w:szCs w:val="21"/>
                    </w:rPr>
                    <w:t>室内边界声级</w:t>
                  </w:r>
                </w:p>
                <w:p w14:paraId="4959AAB2">
                  <w:pPr>
                    <w:pStyle w:val="154"/>
                    <w:rPr>
                      <w:sz w:val="21"/>
                      <w:szCs w:val="21"/>
                    </w:rPr>
                  </w:pPr>
                  <w:r>
                    <w:rPr>
                      <w:sz w:val="21"/>
                      <w:szCs w:val="21"/>
                    </w:rPr>
                    <w:t>/dB(A)</w:t>
                  </w:r>
                </w:p>
              </w:tc>
              <w:tc>
                <w:tcPr>
                  <w:tcW w:w="258" w:type="pct"/>
                  <w:vMerge w:val="restart"/>
                  <w:vAlign w:val="center"/>
                </w:tcPr>
                <w:p w14:paraId="45031AE5">
                  <w:pPr>
                    <w:pStyle w:val="154"/>
                    <w:rPr>
                      <w:sz w:val="21"/>
                      <w:szCs w:val="21"/>
                    </w:rPr>
                  </w:pPr>
                  <w:r>
                    <w:rPr>
                      <w:sz w:val="21"/>
                      <w:szCs w:val="21"/>
                    </w:rPr>
                    <w:t>运行</w:t>
                  </w:r>
                  <w:r>
                    <w:rPr>
                      <w:sz w:val="21"/>
                      <w:szCs w:val="21"/>
                    </w:rPr>
                    <w:br w:type="textWrapping"/>
                  </w:r>
                  <w:r>
                    <w:rPr>
                      <w:sz w:val="21"/>
                      <w:szCs w:val="21"/>
                    </w:rPr>
                    <w:t>时段</w:t>
                  </w:r>
                </w:p>
              </w:tc>
              <w:tc>
                <w:tcPr>
                  <w:tcW w:w="258" w:type="pct"/>
                  <w:vMerge w:val="restart"/>
                  <w:vAlign w:val="center"/>
                </w:tcPr>
                <w:p w14:paraId="74DEB960">
                  <w:pPr>
                    <w:pStyle w:val="154"/>
                    <w:rPr>
                      <w:sz w:val="21"/>
                      <w:szCs w:val="21"/>
                    </w:rPr>
                  </w:pPr>
                  <w:r>
                    <w:rPr>
                      <w:sz w:val="21"/>
                      <w:szCs w:val="21"/>
                    </w:rPr>
                    <w:t>建筑物插入损失/dB(A)</w:t>
                  </w:r>
                </w:p>
              </w:tc>
              <w:tc>
                <w:tcPr>
                  <w:tcW w:w="508" w:type="pct"/>
                  <w:gridSpan w:val="2"/>
                  <w:vAlign w:val="center"/>
                </w:tcPr>
                <w:p w14:paraId="07A3616A">
                  <w:pPr>
                    <w:pStyle w:val="154"/>
                    <w:rPr>
                      <w:sz w:val="21"/>
                      <w:szCs w:val="21"/>
                    </w:rPr>
                  </w:pPr>
                  <w:r>
                    <w:rPr>
                      <w:sz w:val="21"/>
                      <w:szCs w:val="21"/>
                    </w:rPr>
                    <w:t>建筑物外噪声</w:t>
                  </w:r>
                </w:p>
              </w:tc>
            </w:tr>
            <w:tr w14:paraId="50160D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2" w:hRule="atLeast"/>
                <w:jc w:val="center"/>
              </w:trPr>
              <w:tc>
                <w:tcPr>
                  <w:tcW w:w="160" w:type="pct"/>
                  <w:vMerge w:val="continue"/>
                  <w:vAlign w:val="center"/>
                </w:tcPr>
                <w:p w14:paraId="2A27985D">
                  <w:pPr>
                    <w:pStyle w:val="154"/>
                    <w:rPr>
                      <w:sz w:val="21"/>
                      <w:szCs w:val="21"/>
                    </w:rPr>
                  </w:pPr>
                </w:p>
              </w:tc>
              <w:tc>
                <w:tcPr>
                  <w:tcW w:w="257" w:type="pct"/>
                  <w:vMerge w:val="continue"/>
                  <w:vAlign w:val="center"/>
                </w:tcPr>
                <w:p w14:paraId="3DFD5D35">
                  <w:pPr>
                    <w:pStyle w:val="154"/>
                    <w:rPr>
                      <w:sz w:val="21"/>
                      <w:szCs w:val="21"/>
                    </w:rPr>
                  </w:pPr>
                </w:p>
              </w:tc>
              <w:tc>
                <w:tcPr>
                  <w:tcW w:w="566" w:type="pct"/>
                  <w:vMerge w:val="continue"/>
                  <w:vAlign w:val="center"/>
                </w:tcPr>
                <w:p w14:paraId="53164AEC">
                  <w:pPr>
                    <w:pStyle w:val="154"/>
                    <w:rPr>
                      <w:sz w:val="21"/>
                      <w:szCs w:val="21"/>
                    </w:rPr>
                  </w:pPr>
                </w:p>
              </w:tc>
              <w:tc>
                <w:tcPr>
                  <w:tcW w:w="208" w:type="pct"/>
                  <w:vMerge w:val="continue"/>
                  <w:vAlign w:val="center"/>
                </w:tcPr>
                <w:p w14:paraId="30C21520">
                  <w:pPr>
                    <w:pStyle w:val="154"/>
                    <w:rPr>
                      <w:sz w:val="21"/>
                      <w:szCs w:val="21"/>
                    </w:rPr>
                  </w:pPr>
                </w:p>
              </w:tc>
              <w:tc>
                <w:tcPr>
                  <w:tcW w:w="572" w:type="pct"/>
                  <w:vAlign w:val="center"/>
                </w:tcPr>
                <w:p w14:paraId="40CC5E35">
                  <w:pPr>
                    <w:pStyle w:val="154"/>
                    <w:rPr>
                      <w:sz w:val="21"/>
                      <w:szCs w:val="21"/>
                    </w:rPr>
                  </w:pPr>
                  <w:r>
                    <w:rPr>
                      <w:sz w:val="21"/>
                      <w:szCs w:val="21"/>
                    </w:rPr>
                    <w:t>（声压级/距声源距离</w:t>
                  </w:r>
                  <w:r>
                    <w:rPr>
                      <w:spacing w:val="-10"/>
                      <w:sz w:val="21"/>
                      <w:szCs w:val="21"/>
                    </w:rPr>
                    <w:t>）/（dB(A)/m）</w:t>
                  </w:r>
                </w:p>
              </w:tc>
              <w:tc>
                <w:tcPr>
                  <w:tcW w:w="364" w:type="pct"/>
                  <w:vAlign w:val="center"/>
                </w:tcPr>
                <w:p w14:paraId="72D55E05">
                  <w:pPr>
                    <w:pStyle w:val="154"/>
                    <w:rPr>
                      <w:sz w:val="21"/>
                      <w:szCs w:val="21"/>
                    </w:rPr>
                  </w:pPr>
                  <w:r>
                    <w:rPr>
                      <w:sz w:val="21"/>
                      <w:szCs w:val="21"/>
                    </w:rPr>
                    <w:t>声功率级</w:t>
                  </w:r>
                </w:p>
                <w:p w14:paraId="69A73911">
                  <w:pPr>
                    <w:pStyle w:val="154"/>
                    <w:rPr>
                      <w:sz w:val="21"/>
                      <w:szCs w:val="21"/>
                    </w:rPr>
                  </w:pPr>
                  <w:r>
                    <w:rPr>
                      <w:sz w:val="21"/>
                      <w:szCs w:val="21"/>
                    </w:rPr>
                    <w:t>/dB(A)</w:t>
                  </w:r>
                </w:p>
              </w:tc>
              <w:tc>
                <w:tcPr>
                  <w:tcW w:w="415" w:type="pct"/>
                  <w:vMerge w:val="continue"/>
                  <w:vAlign w:val="center"/>
                </w:tcPr>
                <w:p w14:paraId="1955BF14">
                  <w:pPr>
                    <w:pStyle w:val="154"/>
                    <w:rPr>
                      <w:sz w:val="21"/>
                      <w:szCs w:val="21"/>
                    </w:rPr>
                  </w:pPr>
                </w:p>
              </w:tc>
              <w:tc>
                <w:tcPr>
                  <w:tcW w:w="208" w:type="pct"/>
                  <w:vAlign w:val="center"/>
                </w:tcPr>
                <w:p w14:paraId="1A49FDFF">
                  <w:pPr>
                    <w:pStyle w:val="154"/>
                    <w:rPr>
                      <w:sz w:val="21"/>
                      <w:szCs w:val="21"/>
                    </w:rPr>
                  </w:pPr>
                  <w:r>
                    <w:rPr>
                      <w:sz w:val="21"/>
                      <w:szCs w:val="21"/>
                    </w:rPr>
                    <w:t>X</w:t>
                  </w:r>
                </w:p>
              </w:tc>
              <w:tc>
                <w:tcPr>
                  <w:tcW w:w="208" w:type="pct"/>
                  <w:vAlign w:val="center"/>
                </w:tcPr>
                <w:p w14:paraId="32AEEC79">
                  <w:pPr>
                    <w:pStyle w:val="154"/>
                    <w:rPr>
                      <w:sz w:val="21"/>
                      <w:szCs w:val="21"/>
                    </w:rPr>
                  </w:pPr>
                  <w:r>
                    <w:rPr>
                      <w:sz w:val="21"/>
                      <w:szCs w:val="21"/>
                    </w:rPr>
                    <w:t>Y</w:t>
                  </w:r>
                </w:p>
              </w:tc>
              <w:tc>
                <w:tcPr>
                  <w:tcW w:w="260" w:type="pct"/>
                  <w:vAlign w:val="center"/>
                </w:tcPr>
                <w:p w14:paraId="3DA4D69C">
                  <w:pPr>
                    <w:pStyle w:val="154"/>
                    <w:rPr>
                      <w:sz w:val="21"/>
                      <w:szCs w:val="21"/>
                    </w:rPr>
                  </w:pPr>
                  <w:r>
                    <w:rPr>
                      <w:sz w:val="21"/>
                      <w:szCs w:val="21"/>
                    </w:rPr>
                    <w:t>Z</w:t>
                  </w:r>
                </w:p>
              </w:tc>
              <w:tc>
                <w:tcPr>
                  <w:tcW w:w="224" w:type="pct"/>
                  <w:tcBorders>
                    <w:top w:val="single" w:color="auto" w:sz="6" w:space="0"/>
                    <w:bottom w:val="single" w:color="auto" w:sz="6" w:space="0"/>
                  </w:tcBorders>
                  <w:vAlign w:val="center"/>
                </w:tcPr>
                <w:p w14:paraId="5C0D19BE">
                  <w:pPr>
                    <w:pStyle w:val="154"/>
                    <w:rPr>
                      <w:sz w:val="21"/>
                      <w:szCs w:val="21"/>
                    </w:rPr>
                  </w:pPr>
                  <w:r>
                    <w:rPr>
                      <w:sz w:val="21"/>
                      <w:szCs w:val="21"/>
                    </w:rPr>
                    <w:t>方位</w:t>
                  </w:r>
                </w:p>
              </w:tc>
              <w:tc>
                <w:tcPr>
                  <w:tcW w:w="225" w:type="pct"/>
                  <w:tcBorders>
                    <w:top w:val="single" w:color="auto" w:sz="6" w:space="0"/>
                    <w:bottom w:val="single" w:color="auto" w:sz="6" w:space="0"/>
                  </w:tcBorders>
                  <w:vAlign w:val="center"/>
                </w:tcPr>
                <w:p w14:paraId="7F683EB6">
                  <w:pPr>
                    <w:pStyle w:val="154"/>
                    <w:rPr>
                      <w:sz w:val="21"/>
                      <w:szCs w:val="21"/>
                    </w:rPr>
                  </w:pPr>
                  <w:r>
                    <w:rPr>
                      <w:sz w:val="21"/>
                      <w:szCs w:val="21"/>
                    </w:rPr>
                    <w:t>距离/m</w:t>
                  </w:r>
                </w:p>
              </w:tc>
              <w:tc>
                <w:tcPr>
                  <w:tcW w:w="309" w:type="pct"/>
                  <w:vMerge w:val="continue"/>
                  <w:vAlign w:val="center"/>
                </w:tcPr>
                <w:p w14:paraId="0139EE1D">
                  <w:pPr>
                    <w:pStyle w:val="154"/>
                    <w:rPr>
                      <w:sz w:val="21"/>
                      <w:szCs w:val="21"/>
                    </w:rPr>
                  </w:pPr>
                </w:p>
              </w:tc>
              <w:tc>
                <w:tcPr>
                  <w:tcW w:w="258" w:type="pct"/>
                  <w:vMerge w:val="continue"/>
                  <w:vAlign w:val="center"/>
                </w:tcPr>
                <w:p w14:paraId="7A702732">
                  <w:pPr>
                    <w:pStyle w:val="154"/>
                    <w:rPr>
                      <w:sz w:val="21"/>
                      <w:szCs w:val="21"/>
                    </w:rPr>
                  </w:pPr>
                </w:p>
              </w:tc>
              <w:tc>
                <w:tcPr>
                  <w:tcW w:w="258" w:type="pct"/>
                  <w:vMerge w:val="continue"/>
                  <w:vAlign w:val="center"/>
                </w:tcPr>
                <w:p w14:paraId="041ED43E">
                  <w:pPr>
                    <w:pStyle w:val="154"/>
                    <w:rPr>
                      <w:sz w:val="21"/>
                      <w:szCs w:val="21"/>
                    </w:rPr>
                  </w:pPr>
                </w:p>
              </w:tc>
              <w:tc>
                <w:tcPr>
                  <w:tcW w:w="257" w:type="pct"/>
                  <w:vAlign w:val="center"/>
                </w:tcPr>
                <w:p w14:paraId="5B7BD392">
                  <w:pPr>
                    <w:pStyle w:val="154"/>
                    <w:rPr>
                      <w:sz w:val="21"/>
                      <w:szCs w:val="21"/>
                    </w:rPr>
                  </w:pPr>
                  <w:r>
                    <w:rPr>
                      <w:sz w:val="21"/>
                      <w:szCs w:val="21"/>
                    </w:rPr>
                    <w:t>声压级</w:t>
                  </w:r>
                </w:p>
                <w:p w14:paraId="33602C03">
                  <w:pPr>
                    <w:pStyle w:val="154"/>
                    <w:rPr>
                      <w:sz w:val="21"/>
                      <w:szCs w:val="21"/>
                    </w:rPr>
                  </w:pPr>
                  <w:r>
                    <w:rPr>
                      <w:sz w:val="21"/>
                      <w:szCs w:val="21"/>
                    </w:rPr>
                    <w:t>/dB(A)</w:t>
                  </w:r>
                </w:p>
              </w:tc>
              <w:tc>
                <w:tcPr>
                  <w:tcW w:w="251" w:type="pct"/>
                  <w:vAlign w:val="center"/>
                </w:tcPr>
                <w:p w14:paraId="62F11F04">
                  <w:pPr>
                    <w:pStyle w:val="154"/>
                    <w:rPr>
                      <w:sz w:val="21"/>
                      <w:szCs w:val="21"/>
                    </w:rPr>
                  </w:pPr>
                  <w:r>
                    <w:rPr>
                      <w:sz w:val="21"/>
                      <w:szCs w:val="21"/>
                    </w:rPr>
                    <w:t>建筑物外距离</w:t>
                  </w:r>
                </w:p>
              </w:tc>
            </w:tr>
            <w:tr w14:paraId="3BEF19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60" w:type="pct"/>
                  <w:vMerge w:val="restart"/>
                  <w:vAlign w:val="center"/>
                </w:tcPr>
                <w:p w14:paraId="6EAE3AAB">
                  <w:pPr>
                    <w:pStyle w:val="154"/>
                    <w:rPr>
                      <w:sz w:val="21"/>
                      <w:szCs w:val="21"/>
                    </w:rPr>
                  </w:pPr>
                  <w:r>
                    <w:rPr>
                      <w:rFonts w:hint="eastAsia"/>
                      <w:sz w:val="21"/>
                      <w:szCs w:val="21"/>
                    </w:rPr>
                    <w:t>1</w:t>
                  </w:r>
                </w:p>
              </w:tc>
              <w:tc>
                <w:tcPr>
                  <w:tcW w:w="257" w:type="pct"/>
                  <w:vMerge w:val="restart"/>
                  <w:vAlign w:val="center"/>
                </w:tcPr>
                <w:p w14:paraId="501B34E9">
                  <w:pPr>
                    <w:pStyle w:val="154"/>
                    <w:rPr>
                      <w:sz w:val="21"/>
                      <w:szCs w:val="21"/>
                    </w:rPr>
                  </w:pPr>
                  <w:r>
                    <w:rPr>
                      <w:sz w:val="21"/>
                      <w:szCs w:val="21"/>
                    </w:rPr>
                    <w:t>生产车间</w:t>
                  </w:r>
                </w:p>
              </w:tc>
              <w:tc>
                <w:tcPr>
                  <w:tcW w:w="566" w:type="pct"/>
                  <w:vMerge w:val="restart"/>
                  <w:vAlign w:val="center"/>
                </w:tcPr>
                <w:p w14:paraId="6967A775">
                  <w:pPr>
                    <w:pStyle w:val="154"/>
                    <w:rPr>
                      <w:sz w:val="21"/>
                      <w:szCs w:val="21"/>
                    </w:rPr>
                  </w:pPr>
                  <w:r>
                    <w:rPr>
                      <w:sz w:val="21"/>
                      <w:szCs w:val="21"/>
                    </w:rPr>
                    <w:t>风机</w:t>
                  </w:r>
                  <w:r>
                    <w:rPr>
                      <w:rFonts w:hint="eastAsia"/>
                      <w:sz w:val="21"/>
                      <w:szCs w:val="21"/>
                    </w:rPr>
                    <w:t>1#</w:t>
                  </w:r>
                </w:p>
              </w:tc>
              <w:tc>
                <w:tcPr>
                  <w:tcW w:w="208" w:type="pct"/>
                  <w:vMerge w:val="restart"/>
                  <w:vAlign w:val="center"/>
                </w:tcPr>
                <w:p w14:paraId="13A50316">
                  <w:pPr>
                    <w:pStyle w:val="154"/>
                    <w:rPr>
                      <w:sz w:val="21"/>
                      <w:szCs w:val="21"/>
                    </w:rPr>
                  </w:pPr>
                  <w:r>
                    <w:rPr>
                      <w:sz w:val="21"/>
                      <w:szCs w:val="21"/>
                    </w:rPr>
                    <w:t>/</w:t>
                  </w:r>
                </w:p>
              </w:tc>
              <w:tc>
                <w:tcPr>
                  <w:tcW w:w="572" w:type="pct"/>
                  <w:vMerge w:val="restart"/>
                  <w:vAlign w:val="center"/>
                </w:tcPr>
                <w:p w14:paraId="45B6F5C3">
                  <w:pPr>
                    <w:pStyle w:val="154"/>
                    <w:rPr>
                      <w:sz w:val="21"/>
                      <w:szCs w:val="21"/>
                    </w:rPr>
                  </w:pPr>
                  <w:r>
                    <w:rPr>
                      <w:sz w:val="21"/>
                      <w:szCs w:val="21"/>
                    </w:rPr>
                    <w:t>/</w:t>
                  </w:r>
                </w:p>
              </w:tc>
              <w:tc>
                <w:tcPr>
                  <w:tcW w:w="364" w:type="pct"/>
                  <w:vMerge w:val="restart"/>
                  <w:vAlign w:val="center"/>
                </w:tcPr>
                <w:p w14:paraId="65B819F9">
                  <w:pPr>
                    <w:pStyle w:val="154"/>
                    <w:rPr>
                      <w:sz w:val="21"/>
                      <w:szCs w:val="21"/>
                    </w:rPr>
                  </w:pPr>
                  <w:r>
                    <w:rPr>
                      <w:rFonts w:hint="eastAsia"/>
                      <w:sz w:val="21"/>
                      <w:szCs w:val="21"/>
                    </w:rPr>
                    <w:t>80</w:t>
                  </w:r>
                </w:p>
              </w:tc>
              <w:tc>
                <w:tcPr>
                  <w:tcW w:w="415" w:type="pct"/>
                  <w:vMerge w:val="restart"/>
                  <w:vAlign w:val="center"/>
                </w:tcPr>
                <w:p w14:paraId="4D2616B7">
                  <w:pPr>
                    <w:pStyle w:val="154"/>
                    <w:rPr>
                      <w:sz w:val="21"/>
                      <w:szCs w:val="21"/>
                    </w:rPr>
                  </w:pPr>
                  <w:r>
                    <w:rPr>
                      <w:sz w:val="21"/>
                      <w:szCs w:val="21"/>
                    </w:rPr>
                    <w:t>减振、隔声</w:t>
                  </w:r>
                </w:p>
                <w:p w14:paraId="7C1133CC">
                  <w:pPr>
                    <w:pStyle w:val="154"/>
                    <w:rPr>
                      <w:sz w:val="21"/>
                      <w:szCs w:val="21"/>
                    </w:rPr>
                  </w:pPr>
                </w:p>
              </w:tc>
              <w:tc>
                <w:tcPr>
                  <w:tcW w:w="208" w:type="pct"/>
                  <w:vMerge w:val="restart"/>
                  <w:vAlign w:val="center"/>
                </w:tcPr>
                <w:p w14:paraId="428FC46B">
                  <w:pPr>
                    <w:pStyle w:val="154"/>
                    <w:rPr>
                      <w:sz w:val="21"/>
                      <w:szCs w:val="21"/>
                    </w:rPr>
                  </w:pPr>
                  <w:r>
                    <w:rPr>
                      <w:rFonts w:hint="eastAsia"/>
                      <w:sz w:val="21"/>
                      <w:szCs w:val="21"/>
                    </w:rPr>
                    <w:t>35</w:t>
                  </w:r>
                </w:p>
              </w:tc>
              <w:tc>
                <w:tcPr>
                  <w:tcW w:w="208" w:type="pct"/>
                  <w:vMerge w:val="restart"/>
                  <w:vAlign w:val="center"/>
                </w:tcPr>
                <w:p w14:paraId="00E12244">
                  <w:pPr>
                    <w:pStyle w:val="154"/>
                    <w:rPr>
                      <w:sz w:val="21"/>
                      <w:szCs w:val="21"/>
                    </w:rPr>
                  </w:pPr>
                  <w:r>
                    <w:rPr>
                      <w:rFonts w:hint="eastAsia"/>
                      <w:sz w:val="21"/>
                      <w:szCs w:val="21"/>
                    </w:rPr>
                    <w:t>3</w:t>
                  </w:r>
                </w:p>
              </w:tc>
              <w:tc>
                <w:tcPr>
                  <w:tcW w:w="260" w:type="pct"/>
                  <w:vMerge w:val="restart"/>
                  <w:vAlign w:val="center"/>
                </w:tcPr>
                <w:p w14:paraId="6ED27573">
                  <w:pPr>
                    <w:pStyle w:val="154"/>
                    <w:rPr>
                      <w:sz w:val="21"/>
                      <w:szCs w:val="21"/>
                    </w:rPr>
                  </w:pPr>
                  <w:r>
                    <w:rPr>
                      <w:rFonts w:hint="eastAsia"/>
                      <w:sz w:val="21"/>
                      <w:szCs w:val="21"/>
                    </w:rPr>
                    <w:t>1</w:t>
                  </w:r>
                </w:p>
              </w:tc>
              <w:tc>
                <w:tcPr>
                  <w:tcW w:w="224" w:type="pct"/>
                  <w:tcBorders>
                    <w:top w:val="single" w:color="auto" w:sz="6" w:space="0"/>
                    <w:bottom w:val="single" w:color="auto" w:sz="6" w:space="0"/>
                  </w:tcBorders>
                  <w:vAlign w:val="center"/>
                </w:tcPr>
                <w:p w14:paraId="6F2C5B08">
                  <w:pPr>
                    <w:pStyle w:val="154"/>
                    <w:rPr>
                      <w:sz w:val="21"/>
                      <w:szCs w:val="21"/>
                    </w:rPr>
                  </w:pPr>
                  <w:r>
                    <w:rPr>
                      <w:sz w:val="21"/>
                      <w:szCs w:val="21"/>
                    </w:rPr>
                    <w:t>E</w:t>
                  </w:r>
                </w:p>
              </w:tc>
              <w:tc>
                <w:tcPr>
                  <w:tcW w:w="225" w:type="pct"/>
                  <w:tcBorders>
                    <w:top w:val="single" w:color="auto" w:sz="6" w:space="0"/>
                  </w:tcBorders>
                  <w:vAlign w:val="center"/>
                </w:tcPr>
                <w:p w14:paraId="5C5B433C">
                  <w:pPr>
                    <w:pStyle w:val="154"/>
                    <w:rPr>
                      <w:sz w:val="21"/>
                      <w:szCs w:val="21"/>
                    </w:rPr>
                  </w:pPr>
                  <w:r>
                    <w:rPr>
                      <w:rFonts w:hint="eastAsia"/>
                      <w:sz w:val="21"/>
                      <w:szCs w:val="21"/>
                    </w:rPr>
                    <w:t>2</w:t>
                  </w:r>
                </w:p>
              </w:tc>
              <w:tc>
                <w:tcPr>
                  <w:tcW w:w="309" w:type="pct"/>
                  <w:vAlign w:val="center"/>
                </w:tcPr>
                <w:p w14:paraId="6ACF17F5">
                  <w:pPr>
                    <w:pStyle w:val="154"/>
                    <w:rPr>
                      <w:sz w:val="21"/>
                      <w:szCs w:val="21"/>
                    </w:rPr>
                  </w:pPr>
                  <w:r>
                    <w:rPr>
                      <w:rFonts w:hint="eastAsia"/>
                      <w:sz w:val="21"/>
                      <w:szCs w:val="21"/>
                    </w:rPr>
                    <w:t>73.98</w:t>
                  </w:r>
                </w:p>
              </w:tc>
              <w:tc>
                <w:tcPr>
                  <w:tcW w:w="258" w:type="pct"/>
                  <w:vMerge w:val="restart"/>
                  <w:vAlign w:val="center"/>
                </w:tcPr>
                <w:p w14:paraId="73EC4198">
                  <w:pPr>
                    <w:pStyle w:val="154"/>
                    <w:rPr>
                      <w:sz w:val="21"/>
                      <w:szCs w:val="21"/>
                    </w:rPr>
                  </w:pPr>
                  <w:r>
                    <w:rPr>
                      <w:sz w:val="21"/>
                      <w:szCs w:val="21"/>
                    </w:rPr>
                    <w:t>昼间</w:t>
                  </w:r>
                </w:p>
              </w:tc>
              <w:tc>
                <w:tcPr>
                  <w:tcW w:w="258" w:type="pct"/>
                  <w:vAlign w:val="center"/>
                </w:tcPr>
                <w:p w14:paraId="6C4957D8">
                  <w:pPr>
                    <w:pStyle w:val="154"/>
                    <w:rPr>
                      <w:sz w:val="21"/>
                      <w:szCs w:val="21"/>
                    </w:rPr>
                  </w:pPr>
                  <w:r>
                    <w:rPr>
                      <w:rFonts w:hint="eastAsia"/>
                      <w:sz w:val="21"/>
                      <w:szCs w:val="21"/>
                    </w:rPr>
                    <w:t>20</w:t>
                  </w:r>
                </w:p>
              </w:tc>
              <w:tc>
                <w:tcPr>
                  <w:tcW w:w="257" w:type="pct"/>
                  <w:vAlign w:val="center"/>
                </w:tcPr>
                <w:p w14:paraId="018E1840">
                  <w:pPr>
                    <w:pStyle w:val="154"/>
                    <w:rPr>
                      <w:sz w:val="21"/>
                      <w:szCs w:val="21"/>
                    </w:rPr>
                  </w:pPr>
                  <w:r>
                    <w:rPr>
                      <w:rFonts w:hint="eastAsia"/>
                      <w:sz w:val="21"/>
                      <w:szCs w:val="21"/>
                    </w:rPr>
                    <w:t>53.98</w:t>
                  </w:r>
                </w:p>
              </w:tc>
              <w:tc>
                <w:tcPr>
                  <w:tcW w:w="251" w:type="pct"/>
                  <w:vAlign w:val="center"/>
                </w:tcPr>
                <w:p w14:paraId="10451A47">
                  <w:pPr>
                    <w:pStyle w:val="154"/>
                    <w:rPr>
                      <w:sz w:val="21"/>
                      <w:szCs w:val="21"/>
                    </w:rPr>
                  </w:pPr>
                  <w:r>
                    <w:rPr>
                      <w:rFonts w:hint="eastAsia"/>
                      <w:sz w:val="21"/>
                      <w:szCs w:val="21"/>
                    </w:rPr>
                    <w:t>1</w:t>
                  </w:r>
                </w:p>
              </w:tc>
            </w:tr>
            <w:tr w14:paraId="6CE58B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60" w:type="pct"/>
                  <w:vMerge w:val="continue"/>
                  <w:vAlign w:val="center"/>
                </w:tcPr>
                <w:p w14:paraId="4A057B6B">
                  <w:pPr>
                    <w:pStyle w:val="154"/>
                    <w:rPr>
                      <w:sz w:val="21"/>
                      <w:szCs w:val="21"/>
                    </w:rPr>
                  </w:pPr>
                </w:p>
              </w:tc>
              <w:tc>
                <w:tcPr>
                  <w:tcW w:w="257" w:type="pct"/>
                  <w:vMerge w:val="continue"/>
                  <w:vAlign w:val="center"/>
                </w:tcPr>
                <w:p w14:paraId="58231DA0">
                  <w:pPr>
                    <w:pStyle w:val="154"/>
                    <w:rPr>
                      <w:sz w:val="21"/>
                      <w:szCs w:val="21"/>
                    </w:rPr>
                  </w:pPr>
                </w:p>
              </w:tc>
              <w:tc>
                <w:tcPr>
                  <w:tcW w:w="566" w:type="pct"/>
                  <w:vMerge w:val="continue"/>
                  <w:vAlign w:val="center"/>
                </w:tcPr>
                <w:p w14:paraId="4216CA55">
                  <w:pPr>
                    <w:pStyle w:val="154"/>
                    <w:rPr>
                      <w:sz w:val="21"/>
                      <w:szCs w:val="21"/>
                    </w:rPr>
                  </w:pPr>
                </w:p>
              </w:tc>
              <w:tc>
                <w:tcPr>
                  <w:tcW w:w="208" w:type="pct"/>
                  <w:vMerge w:val="continue"/>
                  <w:vAlign w:val="center"/>
                </w:tcPr>
                <w:p w14:paraId="752B475A">
                  <w:pPr>
                    <w:pStyle w:val="154"/>
                    <w:rPr>
                      <w:sz w:val="21"/>
                      <w:szCs w:val="21"/>
                    </w:rPr>
                  </w:pPr>
                </w:p>
              </w:tc>
              <w:tc>
                <w:tcPr>
                  <w:tcW w:w="572" w:type="pct"/>
                  <w:vMerge w:val="continue"/>
                  <w:vAlign w:val="center"/>
                </w:tcPr>
                <w:p w14:paraId="3043B7E8">
                  <w:pPr>
                    <w:pStyle w:val="154"/>
                    <w:rPr>
                      <w:sz w:val="21"/>
                      <w:szCs w:val="21"/>
                    </w:rPr>
                  </w:pPr>
                </w:p>
              </w:tc>
              <w:tc>
                <w:tcPr>
                  <w:tcW w:w="364" w:type="pct"/>
                  <w:vMerge w:val="continue"/>
                  <w:vAlign w:val="center"/>
                </w:tcPr>
                <w:p w14:paraId="3742B234">
                  <w:pPr>
                    <w:pStyle w:val="154"/>
                    <w:rPr>
                      <w:sz w:val="21"/>
                      <w:szCs w:val="21"/>
                    </w:rPr>
                  </w:pPr>
                </w:p>
              </w:tc>
              <w:tc>
                <w:tcPr>
                  <w:tcW w:w="415" w:type="pct"/>
                  <w:vMerge w:val="continue"/>
                  <w:vAlign w:val="center"/>
                </w:tcPr>
                <w:p w14:paraId="6D5F0CE6">
                  <w:pPr>
                    <w:pStyle w:val="154"/>
                    <w:rPr>
                      <w:sz w:val="21"/>
                      <w:szCs w:val="21"/>
                    </w:rPr>
                  </w:pPr>
                </w:p>
              </w:tc>
              <w:tc>
                <w:tcPr>
                  <w:tcW w:w="208" w:type="pct"/>
                  <w:vMerge w:val="continue"/>
                  <w:vAlign w:val="center"/>
                </w:tcPr>
                <w:p w14:paraId="491D6B0C">
                  <w:pPr>
                    <w:pStyle w:val="154"/>
                    <w:rPr>
                      <w:sz w:val="21"/>
                      <w:szCs w:val="21"/>
                    </w:rPr>
                  </w:pPr>
                </w:p>
              </w:tc>
              <w:tc>
                <w:tcPr>
                  <w:tcW w:w="208" w:type="pct"/>
                  <w:vMerge w:val="continue"/>
                  <w:vAlign w:val="center"/>
                </w:tcPr>
                <w:p w14:paraId="22F40B86">
                  <w:pPr>
                    <w:pStyle w:val="154"/>
                    <w:rPr>
                      <w:sz w:val="21"/>
                      <w:szCs w:val="21"/>
                    </w:rPr>
                  </w:pPr>
                </w:p>
              </w:tc>
              <w:tc>
                <w:tcPr>
                  <w:tcW w:w="260" w:type="pct"/>
                  <w:vMerge w:val="continue"/>
                  <w:vAlign w:val="center"/>
                </w:tcPr>
                <w:p w14:paraId="29B5FFDF">
                  <w:pPr>
                    <w:pStyle w:val="154"/>
                    <w:rPr>
                      <w:sz w:val="21"/>
                      <w:szCs w:val="21"/>
                    </w:rPr>
                  </w:pPr>
                </w:p>
              </w:tc>
              <w:tc>
                <w:tcPr>
                  <w:tcW w:w="224" w:type="pct"/>
                  <w:tcBorders>
                    <w:top w:val="single" w:color="auto" w:sz="6" w:space="0"/>
                    <w:bottom w:val="single" w:color="auto" w:sz="6" w:space="0"/>
                  </w:tcBorders>
                  <w:vAlign w:val="center"/>
                </w:tcPr>
                <w:p w14:paraId="0EFDF5AC">
                  <w:pPr>
                    <w:pStyle w:val="154"/>
                    <w:rPr>
                      <w:sz w:val="21"/>
                      <w:szCs w:val="21"/>
                    </w:rPr>
                  </w:pPr>
                  <w:r>
                    <w:rPr>
                      <w:rFonts w:hint="eastAsia"/>
                      <w:sz w:val="21"/>
                      <w:szCs w:val="21"/>
                    </w:rPr>
                    <w:t>W</w:t>
                  </w:r>
                </w:p>
              </w:tc>
              <w:tc>
                <w:tcPr>
                  <w:tcW w:w="225" w:type="pct"/>
                  <w:vAlign w:val="center"/>
                </w:tcPr>
                <w:p w14:paraId="05CA2845">
                  <w:pPr>
                    <w:pStyle w:val="154"/>
                    <w:rPr>
                      <w:sz w:val="21"/>
                      <w:szCs w:val="21"/>
                    </w:rPr>
                  </w:pPr>
                  <w:r>
                    <w:rPr>
                      <w:rFonts w:hint="eastAsia"/>
                      <w:sz w:val="21"/>
                      <w:szCs w:val="21"/>
                    </w:rPr>
                    <w:t>35</w:t>
                  </w:r>
                </w:p>
              </w:tc>
              <w:tc>
                <w:tcPr>
                  <w:tcW w:w="309" w:type="pct"/>
                  <w:vAlign w:val="center"/>
                </w:tcPr>
                <w:p w14:paraId="123D00C9">
                  <w:pPr>
                    <w:pStyle w:val="154"/>
                    <w:rPr>
                      <w:sz w:val="21"/>
                      <w:szCs w:val="21"/>
                    </w:rPr>
                  </w:pPr>
                  <w:r>
                    <w:rPr>
                      <w:rFonts w:hint="eastAsia"/>
                      <w:sz w:val="21"/>
                      <w:szCs w:val="21"/>
                    </w:rPr>
                    <w:t>49.12</w:t>
                  </w:r>
                </w:p>
              </w:tc>
              <w:tc>
                <w:tcPr>
                  <w:tcW w:w="258" w:type="pct"/>
                  <w:vMerge w:val="continue"/>
                  <w:vAlign w:val="center"/>
                </w:tcPr>
                <w:p w14:paraId="35BDA978">
                  <w:pPr>
                    <w:pStyle w:val="154"/>
                    <w:rPr>
                      <w:sz w:val="21"/>
                      <w:szCs w:val="21"/>
                    </w:rPr>
                  </w:pPr>
                </w:p>
              </w:tc>
              <w:tc>
                <w:tcPr>
                  <w:tcW w:w="258" w:type="pct"/>
                  <w:vAlign w:val="center"/>
                </w:tcPr>
                <w:p w14:paraId="4795F1A9">
                  <w:pPr>
                    <w:pStyle w:val="154"/>
                    <w:rPr>
                      <w:sz w:val="21"/>
                      <w:szCs w:val="21"/>
                    </w:rPr>
                  </w:pPr>
                  <w:r>
                    <w:rPr>
                      <w:rFonts w:hint="eastAsia"/>
                      <w:sz w:val="21"/>
                      <w:szCs w:val="21"/>
                    </w:rPr>
                    <w:t>20</w:t>
                  </w:r>
                </w:p>
              </w:tc>
              <w:tc>
                <w:tcPr>
                  <w:tcW w:w="257" w:type="pct"/>
                  <w:vAlign w:val="center"/>
                </w:tcPr>
                <w:p w14:paraId="3ACD5CB6">
                  <w:pPr>
                    <w:pStyle w:val="154"/>
                    <w:rPr>
                      <w:sz w:val="21"/>
                      <w:szCs w:val="21"/>
                    </w:rPr>
                  </w:pPr>
                  <w:r>
                    <w:rPr>
                      <w:rFonts w:hint="eastAsia"/>
                      <w:sz w:val="21"/>
                      <w:szCs w:val="21"/>
                    </w:rPr>
                    <w:t>29.12</w:t>
                  </w:r>
                </w:p>
              </w:tc>
              <w:tc>
                <w:tcPr>
                  <w:tcW w:w="251" w:type="pct"/>
                  <w:vAlign w:val="center"/>
                </w:tcPr>
                <w:p w14:paraId="2E9A5AE8">
                  <w:pPr>
                    <w:pStyle w:val="154"/>
                    <w:rPr>
                      <w:sz w:val="21"/>
                      <w:szCs w:val="21"/>
                    </w:rPr>
                  </w:pPr>
                  <w:r>
                    <w:rPr>
                      <w:rFonts w:hint="eastAsia"/>
                      <w:sz w:val="21"/>
                      <w:szCs w:val="21"/>
                    </w:rPr>
                    <w:t>1</w:t>
                  </w:r>
                </w:p>
              </w:tc>
            </w:tr>
            <w:tr w14:paraId="61CE6D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60" w:type="pct"/>
                  <w:vMerge w:val="continue"/>
                  <w:vAlign w:val="center"/>
                </w:tcPr>
                <w:p w14:paraId="7A85C965">
                  <w:pPr>
                    <w:pStyle w:val="154"/>
                    <w:rPr>
                      <w:sz w:val="21"/>
                      <w:szCs w:val="21"/>
                    </w:rPr>
                  </w:pPr>
                </w:p>
              </w:tc>
              <w:tc>
                <w:tcPr>
                  <w:tcW w:w="257" w:type="pct"/>
                  <w:vMerge w:val="continue"/>
                  <w:vAlign w:val="center"/>
                </w:tcPr>
                <w:p w14:paraId="121D5CFE">
                  <w:pPr>
                    <w:pStyle w:val="154"/>
                    <w:rPr>
                      <w:sz w:val="21"/>
                      <w:szCs w:val="21"/>
                    </w:rPr>
                  </w:pPr>
                </w:p>
              </w:tc>
              <w:tc>
                <w:tcPr>
                  <w:tcW w:w="566" w:type="pct"/>
                  <w:vMerge w:val="continue"/>
                  <w:vAlign w:val="center"/>
                </w:tcPr>
                <w:p w14:paraId="01B729EF">
                  <w:pPr>
                    <w:pStyle w:val="154"/>
                    <w:rPr>
                      <w:sz w:val="21"/>
                      <w:szCs w:val="21"/>
                    </w:rPr>
                  </w:pPr>
                </w:p>
              </w:tc>
              <w:tc>
                <w:tcPr>
                  <w:tcW w:w="208" w:type="pct"/>
                  <w:vMerge w:val="continue"/>
                  <w:vAlign w:val="center"/>
                </w:tcPr>
                <w:p w14:paraId="6B4C15C3">
                  <w:pPr>
                    <w:pStyle w:val="154"/>
                    <w:rPr>
                      <w:sz w:val="21"/>
                      <w:szCs w:val="21"/>
                    </w:rPr>
                  </w:pPr>
                </w:p>
              </w:tc>
              <w:tc>
                <w:tcPr>
                  <w:tcW w:w="572" w:type="pct"/>
                  <w:vMerge w:val="continue"/>
                  <w:vAlign w:val="center"/>
                </w:tcPr>
                <w:p w14:paraId="57DA75CB">
                  <w:pPr>
                    <w:pStyle w:val="154"/>
                    <w:rPr>
                      <w:sz w:val="21"/>
                      <w:szCs w:val="21"/>
                    </w:rPr>
                  </w:pPr>
                </w:p>
              </w:tc>
              <w:tc>
                <w:tcPr>
                  <w:tcW w:w="364" w:type="pct"/>
                  <w:vMerge w:val="continue"/>
                  <w:vAlign w:val="center"/>
                </w:tcPr>
                <w:p w14:paraId="198D5B96">
                  <w:pPr>
                    <w:pStyle w:val="154"/>
                    <w:rPr>
                      <w:sz w:val="21"/>
                      <w:szCs w:val="21"/>
                    </w:rPr>
                  </w:pPr>
                </w:p>
              </w:tc>
              <w:tc>
                <w:tcPr>
                  <w:tcW w:w="415" w:type="pct"/>
                  <w:vMerge w:val="continue"/>
                  <w:vAlign w:val="center"/>
                </w:tcPr>
                <w:p w14:paraId="70018DE5">
                  <w:pPr>
                    <w:pStyle w:val="154"/>
                    <w:rPr>
                      <w:sz w:val="21"/>
                      <w:szCs w:val="21"/>
                    </w:rPr>
                  </w:pPr>
                </w:p>
              </w:tc>
              <w:tc>
                <w:tcPr>
                  <w:tcW w:w="208" w:type="pct"/>
                  <w:vMerge w:val="continue"/>
                  <w:vAlign w:val="center"/>
                </w:tcPr>
                <w:p w14:paraId="4DE39D55">
                  <w:pPr>
                    <w:pStyle w:val="154"/>
                    <w:rPr>
                      <w:sz w:val="21"/>
                      <w:szCs w:val="21"/>
                    </w:rPr>
                  </w:pPr>
                </w:p>
              </w:tc>
              <w:tc>
                <w:tcPr>
                  <w:tcW w:w="208" w:type="pct"/>
                  <w:vMerge w:val="continue"/>
                  <w:vAlign w:val="center"/>
                </w:tcPr>
                <w:p w14:paraId="3FC2464F">
                  <w:pPr>
                    <w:pStyle w:val="154"/>
                    <w:rPr>
                      <w:sz w:val="21"/>
                      <w:szCs w:val="21"/>
                    </w:rPr>
                  </w:pPr>
                </w:p>
              </w:tc>
              <w:tc>
                <w:tcPr>
                  <w:tcW w:w="260" w:type="pct"/>
                  <w:vMerge w:val="continue"/>
                  <w:vAlign w:val="center"/>
                </w:tcPr>
                <w:p w14:paraId="54E98CE5">
                  <w:pPr>
                    <w:pStyle w:val="154"/>
                    <w:rPr>
                      <w:sz w:val="21"/>
                      <w:szCs w:val="21"/>
                    </w:rPr>
                  </w:pPr>
                </w:p>
              </w:tc>
              <w:tc>
                <w:tcPr>
                  <w:tcW w:w="224" w:type="pct"/>
                  <w:tcBorders>
                    <w:top w:val="single" w:color="auto" w:sz="6" w:space="0"/>
                    <w:bottom w:val="single" w:color="auto" w:sz="6" w:space="0"/>
                  </w:tcBorders>
                  <w:vAlign w:val="center"/>
                </w:tcPr>
                <w:p w14:paraId="05702F16">
                  <w:pPr>
                    <w:pStyle w:val="154"/>
                    <w:rPr>
                      <w:sz w:val="21"/>
                      <w:szCs w:val="21"/>
                    </w:rPr>
                  </w:pPr>
                  <w:r>
                    <w:rPr>
                      <w:sz w:val="21"/>
                      <w:szCs w:val="21"/>
                    </w:rPr>
                    <w:t>S</w:t>
                  </w:r>
                </w:p>
              </w:tc>
              <w:tc>
                <w:tcPr>
                  <w:tcW w:w="225" w:type="pct"/>
                  <w:vAlign w:val="center"/>
                </w:tcPr>
                <w:p w14:paraId="7CE39312">
                  <w:pPr>
                    <w:pStyle w:val="154"/>
                    <w:rPr>
                      <w:sz w:val="21"/>
                      <w:szCs w:val="21"/>
                    </w:rPr>
                  </w:pPr>
                  <w:r>
                    <w:rPr>
                      <w:rFonts w:hint="eastAsia"/>
                      <w:sz w:val="21"/>
                      <w:szCs w:val="21"/>
                    </w:rPr>
                    <w:t>3</w:t>
                  </w:r>
                </w:p>
              </w:tc>
              <w:tc>
                <w:tcPr>
                  <w:tcW w:w="309" w:type="pct"/>
                  <w:vAlign w:val="center"/>
                </w:tcPr>
                <w:p w14:paraId="38C0F8D7">
                  <w:pPr>
                    <w:pStyle w:val="154"/>
                    <w:rPr>
                      <w:sz w:val="21"/>
                      <w:szCs w:val="21"/>
                    </w:rPr>
                  </w:pPr>
                  <w:r>
                    <w:rPr>
                      <w:rFonts w:hint="eastAsia"/>
                      <w:sz w:val="21"/>
                      <w:szCs w:val="21"/>
                    </w:rPr>
                    <w:t>70.46</w:t>
                  </w:r>
                </w:p>
              </w:tc>
              <w:tc>
                <w:tcPr>
                  <w:tcW w:w="258" w:type="pct"/>
                  <w:vMerge w:val="continue"/>
                  <w:vAlign w:val="center"/>
                </w:tcPr>
                <w:p w14:paraId="5C2F3CA0">
                  <w:pPr>
                    <w:pStyle w:val="154"/>
                    <w:rPr>
                      <w:sz w:val="21"/>
                      <w:szCs w:val="21"/>
                    </w:rPr>
                  </w:pPr>
                </w:p>
              </w:tc>
              <w:tc>
                <w:tcPr>
                  <w:tcW w:w="258" w:type="pct"/>
                  <w:vAlign w:val="center"/>
                </w:tcPr>
                <w:p w14:paraId="3E151C04">
                  <w:pPr>
                    <w:pStyle w:val="154"/>
                    <w:rPr>
                      <w:sz w:val="21"/>
                      <w:szCs w:val="21"/>
                    </w:rPr>
                  </w:pPr>
                  <w:r>
                    <w:rPr>
                      <w:rFonts w:hint="eastAsia"/>
                      <w:sz w:val="21"/>
                      <w:szCs w:val="21"/>
                    </w:rPr>
                    <w:t>20</w:t>
                  </w:r>
                </w:p>
              </w:tc>
              <w:tc>
                <w:tcPr>
                  <w:tcW w:w="257" w:type="pct"/>
                  <w:vAlign w:val="center"/>
                </w:tcPr>
                <w:p w14:paraId="57E49B2F">
                  <w:pPr>
                    <w:pStyle w:val="154"/>
                    <w:rPr>
                      <w:sz w:val="21"/>
                      <w:szCs w:val="21"/>
                    </w:rPr>
                  </w:pPr>
                  <w:r>
                    <w:rPr>
                      <w:rFonts w:hint="eastAsia"/>
                      <w:sz w:val="21"/>
                      <w:szCs w:val="21"/>
                    </w:rPr>
                    <w:t>50.46</w:t>
                  </w:r>
                </w:p>
              </w:tc>
              <w:tc>
                <w:tcPr>
                  <w:tcW w:w="251" w:type="pct"/>
                  <w:vAlign w:val="center"/>
                </w:tcPr>
                <w:p w14:paraId="53D0E861">
                  <w:pPr>
                    <w:pStyle w:val="154"/>
                    <w:rPr>
                      <w:sz w:val="21"/>
                      <w:szCs w:val="21"/>
                    </w:rPr>
                  </w:pPr>
                  <w:r>
                    <w:rPr>
                      <w:rFonts w:hint="eastAsia"/>
                      <w:sz w:val="21"/>
                      <w:szCs w:val="21"/>
                    </w:rPr>
                    <w:t>1</w:t>
                  </w:r>
                </w:p>
              </w:tc>
            </w:tr>
            <w:tr w14:paraId="35EA3D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60" w:type="pct"/>
                  <w:vMerge w:val="continue"/>
                  <w:vAlign w:val="center"/>
                </w:tcPr>
                <w:p w14:paraId="5D2D89CE">
                  <w:pPr>
                    <w:pStyle w:val="154"/>
                    <w:rPr>
                      <w:sz w:val="21"/>
                      <w:szCs w:val="21"/>
                    </w:rPr>
                  </w:pPr>
                </w:p>
              </w:tc>
              <w:tc>
                <w:tcPr>
                  <w:tcW w:w="257" w:type="pct"/>
                  <w:vMerge w:val="continue"/>
                  <w:vAlign w:val="center"/>
                </w:tcPr>
                <w:p w14:paraId="45C76170">
                  <w:pPr>
                    <w:pStyle w:val="154"/>
                    <w:rPr>
                      <w:sz w:val="21"/>
                      <w:szCs w:val="21"/>
                    </w:rPr>
                  </w:pPr>
                </w:p>
              </w:tc>
              <w:tc>
                <w:tcPr>
                  <w:tcW w:w="566" w:type="pct"/>
                  <w:vMerge w:val="continue"/>
                  <w:vAlign w:val="center"/>
                </w:tcPr>
                <w:p w14:paraId="59F93B12">
                  <w:pPr>
                    <w:pStyle w:val="154"/>
                    <w:rPr>
                      <w:sz w:val="21"/>
                      <w:szCs w:val="21"/>
                    </w:rPr>
                  </w:pPr>
                </w:p>
              </w:tc>
              <w:tc>
                <w:tcPr>
                  <w:tcW w:w="208" w:type="pct"/>
                  <w:vMerge w:val="continue"/>
                  <w:vAlign w:val="center"/>
                </w:tcPr>
                <w:p w14:paraId="665CEC02">
                  <w:pPr>
                    <w:pStyle w:val="154"/>
                    <w:rPr>
                      <w:sz w:val="21"/>
                      <w:szCs w:val="21"/>
                    </w:rPr>
                  </w:pPr>
                </w:p>
              </w:tc>
              <w:tc>
                <w:tcPr>
                  <w:tcW w:w="572" w:type="pct"/>
                  <w:vMerge w:val="continue"/>
                  <w:vAlign w:val="center"/>
                </w:tcPr>
                <w:p w14:paraId="40ADE34B">
                  <w:pPr>
                    <w:pStyle w:val="154"/>
                    <w:rPr>
                      <w:sz w:val="21"/>
                      <w:szCs w:val="21"/>
                    </w:rPr>
                  </w:pPr>
                </w:p>
              </w:tc>
              <w:tc>
                <w:tcPr>
                  <w:tcW w:w="364" w:type="pct"/>
                  <w:vMerge w:val="continue"/>
                  <w:vAlign w:val="center"/>
                </w:tcPr>
                <w:p w14:paraId="29C7D937">
                  <w:pPr>
                    <w:pStyle w:val="154"/>
                    <w:rPr>
                      <w:sz w:val="21"/>
                      <w:szCs w:val="21"/>
                    </w:rPr>
                  </w:pPr>
                </w:p>
              </w:tc>
              <w:tc>
                <w:tcPr>
                  <w:tcW w:w="415" w:type="pct"/>
                  <w:vMerge w:val="continue"/>
                  <w:vAlign w:val="center"/>
                </w:tcPr>
                <w:p w14:paraId="76FB4D01">
                  <w:pPr>
                    <w:pStyle w:val="154"/>
                    <w:rPr>
                      <w:sz w:val="21"/>
                      <w:szCs w:val="21"/>
                    </w:rPr>
                  </w:pPr>
                </w:p>
              </w:tc>
              <w:tc>
                <w:tcPr>
                  <w:tcW w:w="208" w:type="pct"/>
                  <w:vMerge w:val="continue"/>
                  <w:vAlign w:val="center"/>
                </w:tcPr>
                <w:p w14:paraId="68E73D8F">
                  <w:pPr>
                    <w:pStyle w:val="154"/>
                    <w:rPr>
                      <w:sz w:val="21"/>
                      <w:szCs w:val="21"/>
                    </w:rPr>
                  </w:pPr>
                </w:p>
              </w:tc>
              <w:tc>
                <w:tcPr>
                  <w:tcW w:w="208" w:type="pct"/>
                  <w:vMerge w:val="continue"/>
                  <w:vAlign w:val="center"/>
                </w:tcPr>
                <w:p w14:paraId="7177D4D8">
                  <w:pPr>
                    <w:pStyle w:val="154"/>
                    <w:rPr>
                      <w:sz w:val="21"/>
                      <w:szCs w:val="21"/>
                    </w:rPr>
                  </w:pPr>
                </w:p>
              </w:tc>
              <w:tc>
                <w:tcPr>
                  <w:tcW w:w="260" w:type="pct"/>
                  <w:vMerge w:val="continue"/>
                  <w:vAlign w:val="center"/>
                </w:tcPr>
                <w:p w14:paraId="7678D981">
                  <w:pPr>
                    <w:pStyle w:val="154"/>
                    <w:rPr>
                      <w:sz w:val="21"/>
                      <w:szCs w:val="21"/>
                    </w:rPr>
                  </w:pPr>
                </w:p>
              </w:tc>
              <w:tc>
                <w:tcPr>
                  <w:tcW w:w="224" w:type="pct"/>
                  <w:tcBorders>
                    <w:top w:val="single" w:color="auto" w:sz="6" w:space="0"/>
                    <w:bottom w:val="single" w:color="auto" w:sz="6" w:space="0"/>
                  </w:tcBorders>
                  <w:vAlign w:val="center"/>
                </w:tcPr>
                <w:p w14:paraId="7665161A">
                  <w:pPr>
                    <w:pStyle w:val="154"/>
                    <w:rPr>
                      <w:sz w:val="21"/>
                      <w:szCs w:val="21"/>
                    </w:rPr>
                  </w:pPr>
                  <w:r>
                    <w:rPr>
                      <w:sz w:val="21"/>
                      <w:szCs w:val="21"/>
                    </w:rPr>
                    <w:t>N</w:t>
                  </w:r>
                </w:p>
              </w:tc>
              <w:tc>
                <w:tcPr>
                  <w:tcW w:w="225" w:type="pct"/>
                  <w:tcBorders>
                    <w:bottom w:val="single" w:color="auto" w:sz="6" w:space="0"/>
                  </w:tcBorders>
                  <w:vAlign w:val="center"/>
                </w:tcPr>
                <w:p w14:paraId="11D1F76E">
                  <w:pPr>
                    <w:pStyle w:val="154"/>
                    <w:rPr>
                      <w:sz w:val="21"/>
                      <w:szCs w:val="21"/>
                    </w:rPr>
                  </w:pPr>
                  <w:r>
                    <w:rPr>
                      <w:rFonts w:hint="eastAsia"/>
                      <w:sz w:val="21"/>
                      <w:szCs w:val="21"/>
                    </w:rPr>
                    <w:t>29</w:t>
                  </w:r>
                </w:p>
              </w:tc>
              <w:tc>
                <w:tcPr>
                  <w:tcW w:w="309" w:type="pct"/>
                  <w:vAlign w:val="center"/>
                </w:tcPr>
                <w:p w14:paraId="5103C8EB">
                  <w:pPr>
                    <w:pStyle w:val="154"/>
                    <w:rPr>
                      <w:sz w:val="21"/>
                      <w:szCs w:val="21"/>
                    </w:rPr>
                  </w:pPr>
                  <w:r>
                    <w:rPr>
                      <w:rFonts w:hint="eastAsia"/>
                      <w:sz w:val="21"/>
                      <w:szCs w:val="21"/>
                    </w:rPr>
                    <w:t>50.75</w:t>
                  </w:r>
                </w:p>
              </w:tc>
              <w:tc>
                <w:tcPr>
                  <w:tcW w:w="258" w:type="pct"/>
                  <w:vMerge w:val="continue"/>
                  <w:vAlign w:val="center"/>
                </w:tcPr>
                <w:p w14:paraId="177087A9">
                  <w:pPr>
                    <w:pStyle w:val="154"/>
                    <w:rPr>
                      <w:sz w:val="21"/>
                      <w:szCs w:val="21"/>
                    </w:rPr>
                  </w:pPr>
                </w:p>
              </w:tc>
              <w:tc>
                <w:tcPr>
                  <w:tcW w:w="258" w:type="pct"/>
                  <w:vAlign w:val="center"/>
                </w:tcPr>
                <w:p w14:paraId="630A2CCC">
                  <w:pPr>
                    <w:pStyle w:val="154"/>
                    <w:rPr>
                      <w:sz w:val="21"/>
                      <w:szCs w:val="21"/>
                    </w:rPr>
                  </w:pPr>
                  <w:r>
                    <w:rPr>
                      <w:rFonts w:hint="eastAsia"/>
                      <w:sz w:val="21"/>
                      <w:szCs w:val="21"/>
                    </w:rPr>
                    <w:t>20</w:t>
                  </w:r>
                </w:p>
              </w:tc>
              <w:tc>
                <w:tcPr>
                  <w:tcW w:w="257" w:type="pct"/>
                  <w:vAlign w:val="center"/>
                </w:tcPr>
                <w:p w14:paraId="495D1696">
                  <w:pPr>
                    <w:pStyle w:val="154"/>
                    <w:rPr>
                      <w:sz w:val="21"/>
                      <w:szCs w:val="21"/>
                    </w:rPr>
                  </w:pPr>
                  <w:r>
                    <w:rPr>
                      <w:rFonts w:hint="eastAsia"/>
                      <w:sz w:val="21"/>
                      <w:szCs w:val="21"/>
                    </w:rPr>
                    <w:t>30.75</w:t>
                  </w:r>
                </w:p>
              </w:tc>
              <w:tc>
                <w:tcPr>
                  <w:tcW w:w="251" w:type="pct"/>
                  <w:vAlign w:val="center"/>
                </w:tcPr>
                <w:p w14:paraId="7B927119">
                  <w:pPr>
                    <w:pStyle w:val="154"/>
                    <w:rPr>
                      <w:sz w:val="21"/>
                      <w:szCs w:val="21"/>
                    </w:rPr>
                  </w:pPr>
                  <w:r>
                    <w:rPr>
                      <w:rFonts w:hint="eastAsia"/>
                      <w:sz w:val="21"/>
                      <w:szCs w:val="21"/>
                    </w:rPr>
                    <w:t>1</w:t>
                  </w:r>
                </w:p>
              </w:tc>
            </w:tr>
            <w:tr w14:paraId="2884FD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60" w:type="pct"/>
                  <w:vMerge w:val="restart"/>
                  <w:vAlign w:val="center"/>
                </w:tcPr>
                <w:p w14:paraId="3C317D64">
                  <w:pPr>
                    <w:pStyle w:val="154"/>
                    <w:rPr>
                      <w:sz w:val="21"/>
                      <w:szCs w:val="21"/>
                    </w:rPr>
                  </w:pPr>
                  <w:r>
                    <w:rPr>
                      <w:rFonts w:hint="eastAsia"/>
                      <w:sz w:val="21"/>
                      <w:szCs w:val="21"/>
                    </w:rPr>
                    <w:t>2</w:t>
                  </w:r>
                </w:p>
              </w:tc>
              <w:tc>
                <w:tcPr>
                  <w:tcW w:w="257" w:type="pct"/>
                  <w:vMerge w:val="continue"/>
                  <w:vAlign w:val="center"/>
                </w:tcPr>
                <w:p w14:paraId="642BCD53">
                  <w:pPr>
                    <w:pStyle w:val="154"/>
                    <w:rPr>
                      <w:sz w:val="21"/>
                      <w:szCs w:val="21"/>
                    </w:rPr>
                  </w:pPr>
                </w:p>
              </w:tc>
              <w:tc>
                <w:tcPr>
                  <w:tcW w:w="566" w:type="pct"/>
                  <w:vMerge w:val="restart"/>
                  <w:vAlign w:val="center"/>
                </w:tcPr>
                <w:p w14:paraId="5A6996E0">
                  <w:pPr>
                    <w:pStyle w:val="154"/>
                    <w:rPr>
                      <w:sz w:val="21"/>
                      <w:szCs w:val="21"/>
                    </w:rPr>
                  </w:pPr>
                  <w:r>
                    <w:rPr>
                      <w:sz w:val="21"/>
                      <w:szCs w:val="21"/>
                    </w:rPr>
                    <w:t>风机</w:t>
                  </w:r>
                  <w:r>
                    <w:rPr>
                      <w:rFonts w:hint="eastAsia"/>
                      <w:sz w:val="21"/>
                      <w:szCs w:val="21"/>
                    </w:rPr>
                    <w:t>2#</w:t>
                  </w:r>
                </w:p>
              </w:tc>
              <w:tc>
                <w:tcPr>
                  <w:tcW w:w="208" w:type="pct"/>
                  <w:vMerge w:val="restart"/>
                  <w:vAlign w:val="center"/>
                </w:tcPr>
                <w:p w14:paraId="4B5A967D">
                  <w:pPr>
                    <w:pStyle w:val="154"/>
                    <w:rPr>
                      <w:sz w:val="21"/>
                      <w:szCs w:val="21"/>
                    </w:rPr>
                  </w:pPr>
                  <w:r>
                    <w:rPr>
                      <w:sz w:val="21"/>
                      <w:szCs w:val="21"/>
                    </w:rPr>
                    <w:t>/</w:t>
                  </w:r>
                </w:p>
              </w:tc>
              <w:tc>
                <w:tcPr>
                  <w:tcW w:w="572" w:type="pct"/>
                  <w:vMerge w:val="restart"/>
                  <w:vAlign w:val="center"/>
                </w:tcPr>
                <w:p w14:paraId="69DF3670">
                  <w:pPr>
                    <w:pStyle w:val="154"/>
                    <w:rPr>
                      <w:sz w:val="21"/>
                      <w:szCs w:val="21"/>
                    </w:rPr>
                  </w:pPr>
                  <w:r>
                    <w:rPr>
                      <w:sz w:val="21"/>
                      <w:szCs w:val="21"/>
                    </w:rPr>
                    <w:t>/</w:t>
                  </w:r>
                </w:p>
              </w:tc>
              <w:tc>
                <w:tcPr>
                  <w:tcW w:w="364" w:type="pct"/>
                  <w:vMerge w:val="restart"/>
                  <w:vAlign w:val="center"/>
                </w:tcPr>
                <w:p w14:paraId="7CCDB5DC">
                  <w:pPr>
                    <w:pStyle w:val="154"/>
                    <w:rPr>
                      <w:sz w:val="21"/>
                      <w:szCs w:val="21"/>
                    </w:rPr>
                  </w:pPr>
                  <w:r>
                    <w:rPr>
                      <w:rFonts w:hint="eastAsia"/>
                      <w:sz w:val="21"/>
                      <w:szCs w:val="21"/>
                    </w:rPr>
                    <w:t>80</w:t>
                  </w:r>
                </w:p>
              </w:tc>
              <w:tc>
                <w:tcPr>
                  <w:tcW w:w="415" w:type="pct"/>
                  <w:vMerge w:val="continue"/>
                  <w:vAlign w:val="center"/>
                </w:tcPr>
                <w:p w14:paraId="227C3F27">
                  <w:pPr>
                    <w:pStyle w:val="154"/>
                    <w:rPr>
                      <w:sz w:val="21"/>
                      <w:szCs w:val="21"/>
                    </w:rPr>
                  </w:pPr>
                </w:p>
              </w:tc>
              <w:tc>
                <w:tcPr>
                  <w:tcW w:w="208" w:type="pct"/>
                  <w:vMerge w:val="restart"/>
                  <w:vAlign w:val="center"/>
                </w:tcPr>
                <w:p w14:paraId="1FAFEC6E">
                  <w:pPr>
                    <w:pStyle w:val="154"/>
                    <w:rPr>
                      <w:sz w:val="21"/>
                      <w:szCs w:val="21"/>
                    </w:rPr>
                  </w:pPr>
                  <w:r>
                    <w:rPr>
                      <w:rFonts w:hint="eastAsia"/>
                      <w:sz w:val="21"/>
                      <w:szCs w:val="21"/>
                    </w:rPr>
                    <w:t>35</w:t>
                  </w:r>
                </w:p>
              </w:tc>
              <w:tc>
                <w:tcPr>
                  <w:tcW w:w="208" w:type="pct"/>
                  <w:vMerge w:val="restart"/>
                  <w:vAlign w:val="center"/>
                </w:tcPr>
                <w:p w14:paraId="507FD38B">
                  <w:pPr>
                    <w:pStyle w:val="154"/>
                    <w:rPr>
                      <w:sz w:val="21"/>
                      <w:szCs w:val="21"/>
                    </w:rPr>
                  </w:pPr>
                  <w:r>
                    <w:rPr>
                      <w:rFonts w:hint="eastAsia"/>
                      <w:sz w:val="21"/>
                      <w:szCs w:val="21"/>
                    </w:rPr>
                    <w:t>6</w:t>
                  </w:r>
                </w:p>
              </w:tc>
              <w:tc>
                <w:tcPr>
                  <w:tcW w:w="260" w:type="pct"/>
                  <w:vMerge w:val="restart"/>
                  <w:vAlign w:val="center"/>
                </w:tcPr>
                <w:p w14:paraId="46C75DCA">
                  <w:pPr>
                    <w:pStyle w:val="154"/>
                    <w:rPr>
                      <w:sz w:val="21"/>
                      <w:szCs w:val="21"/>
                    </w:rPr>
                  </w:pPr>
                  <w:r>
                    <w:rPr>
                      <w:rFonts w:hint="eastAsia"/>
                      <w:sz w:val="21"/>
                      <w:szCs w:val="21"/>
                    </w:rPr>
                    <w:t>14</w:t>
                  </w:r>
                </w:p>
              </w:tc>
              <w:tc>
                <w:tcPr>
                  <w:tcW w:w="224" w:type="pct"/>
                  <w:tcBorders>
                    <w:top w:val="single" w:color="auto" w:sz="6" w:space="0"/>
                    <w:bottom w:val="single" w:color="auto" w:sz="6" w:space="0"/>
                  </w:tcBorders>
                  <w:vAlign w:val="center"/>
                </w:tcPr>
                <w:p w14:paraId="16FE89E1">
                  <w:pPr>
                    <w:pStyle w:val="154"/>
                    <w:rPr>
                      <w:sz w:val="21"/>
                      <w:szCs w:val="21"/>
                    </w:rPr>
                  </w:pPr>
                  <w:r>
                    <w:rPr>
                      <w:sz w:val="21"/>
                      <w:szCs w:val="21"/>
                    </w:rPr>
                    <w:t>E</w:t>
                  </w:r>
                </w:p>
              </w:tc>
              <w:tc>
                <w:tcPr>
                  <w:tcW w:w="225" w:type="pct"/>
                  <w:tcBorders>
                    <w:top w:val="single" w:color="auto" w:sz="6" w:space="0"/>
                  </w:tcBorders>
                  <w:vAlign w:val="center"/>
                </w:tcPr>
                <w:p w14:paraId="79D59DD9">
                  <w:pPr>
                    <w:pStyle w:val="154"/>
                    <w:rPr>
                      <w:sz w:val="21"/>
                      <w:szCs w:val="21"/>
                    </w:rPr>
                  </w:pPr>
                  <w:r>
                    <w:rPr>
                      <w:rFonts w:hint="eastAsia"/>
                      <w:sz w:val="21"/>
                      <w:szCs w:val="21"/>
                    </w:rPr>
                    <w:t>2</w:t>
                  </w:r>
                </w:p>
              </w:tc>
              <w:tc>
                <w:tcPr>
                  <w:tcW w:w="309" w:type="pct"/>
                  <w:vAlign w:val="center"/>
                </w:tcPr>
                <w:p w14:paraId="7E7E6A33">
                  <w:pPr>
                    <w:pStyle w:val="154"/>
                    <w:rPr>
                      <w:sz w:val="21"/>
                      <w:szCs w:val="21"/>
                    </w:rPr>
                  </w:pPr>
                  <w:r>
                    <w:rPr>
                      <w:rFonts w:hint="eastAsia"/>
                      <w:sz w:val="21"/>
                      <w:szCs w:val="21"/>
                    </w:rPr>
                    <w:t>73.98</w:t>
                  </w:r>
                </w:p>
              </w:tc>
              <w:tc>
                <w:tcPr>
                  <w:tcW w:w="258" w:type="pct"/>
                  <w:vMerge w:val="restart"/>
                  <w:vAlign w:val="center"/>
                </w:tcPr>
                <w:p w14:paraId="2158B44D">
                  <w:pPr>
                    <w:pStyle w:val="154"/>
                    <w:rPr>
                      <w:sz w:val="21"/>
                      <w:szCs w:val="21"/>
                    </w:rPr>
                  </w:pPr>
                  <w:r>
                    <w:rPr>
                      <w:sz w:val="21"/>
                      <w:szCs w:val="21"/>
                    </w:rPr>
                    <w:t>昼间</w:t>
                  </w:r>
                </w:p>
              </w:tc>
              <w:tc>
                <w:tcPr>
                  <w:tcW w:w="258" w:type="pct"/>
                  <w:vAlign w:val="center"/>
                </w:tcPr>
                <w:p w14:paraId="54A18CD4">
                  <w:pPr>
                    <w:pStyle w:val="154"/>
                    <w:rPr>
                      <w:sz w:val="21"/>
                      <w:szCs w:val="21"/>
                    </w:rPr>
                  </w:pPr>
                  <w:r>
                    <w:rPr>
                      <w:rFonts w:hint="eastAsia"/>
                      <w:sz w:val="21"/>
                      <w:szCs w:val="21"/>
                    </w:rPr>
                    <w:t>20</w:t>
                  </w:r>
                </w:p>
              </w:tc>
              <w:tc>
                <w:tcPr>
                  <w:tcW w:w="257" w:type="pct"/>
                  <w:vAlign w:val="center"/>
                </w:tcPr>
                <w:p w14:paraId="4FF7F022">
                  <w:pPr>
                    <w:pStyle w:val="154"/>
                    <w:rPr>
                      <w:sz w:val="21"/>
                      <w:szCs w:val="21"/>
                    </w:rPr>
                  </w:pPr>
                  <w:r>
                    <w:rPr>
                      <w:rFonts w:hint="eastAsia"/>
                      <w:sz w:val="21"/>
                      <w:szCs w:val="21"/>
                    </w:rPr>
                    <w:t>53.98</w:t>
                  </w:r>
                </w:p>
              </w:tc>
              <w:tc>
                <w:tcPr>
                  <w:tcW w:w="251" w:type="pct"/>
                  <w:vAlign w:val="center"/>
                </w:tcPr>
                <w:p w14:paraId="05BD7415">
                  <w:pPr>
                    <w:pStyle w:val="154"/>
                    <w:rPr>
                      <w:sz w:val="21"/>
                      <w:szCs w:val="21"/>
                    </w:rPr>
                  </w:pPr>
                  <w:r>
                    <w:rPr>
                      <w:rFonts w:hint="eastAsia"/>
                      <w:sz w:val="21"/>
                      <w:szCs w:val="21"/>
                    </w:rPr>
                    <w:t>1</w:t>
                  </w:r>
                </w:p>
              </w:tc>
            </w:tr>
            <w:tr w14:paraId="4A89AB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60" w:type="pct"/>
                  <w:vMerge w:val="continue"/>
                  <w:vAlign w:val="center"/>
                </w:tcPr>
                <w:p w14:paraId="4DDF4542">
                  <w:pPr>
                    <w:pStyle w:val="154"/>
                    <w:rPr>
                      <w:sz w:val="21"/>
                      <w:szCs w:val="21"/>
                    </w:rPr>
                  </w:pPr>
                </w:p>
              </w:tc>
              <w:tc>
                <w:tcPr>
                  <w:tcW w:w="257" w:type="pct"/>
                  <w:vMerge w:val="continue"/>
                  <w:vAlign w:val="center"/>
                </w:tcPr>
                <w:p w14:paraId="60ACDDCA">
                  <w:pPr>
                    <w:pStyle w:val="154"/>
                    <w:rPr>
                      <w:sz w:val="21"/>
                      <w:szCs w:val="21"/>
                    </w:rPr>
                  </w:pPr>
                </w:p>
              </w:tc>
              <w:tc>
                <w:tcPr>
                  <w:tcW w:w="566" w:type="pct"/>
                  <w:vMerge w:val="continue"/>
                  <w:vAlign w:val="center"/>
                </w:tcPr>
                <w:p w14:paraId="79A5A295">
                  <w:pPr>
                    <w:pStyle w:val="154"/>
                    <w:rPr>
                      <w:sz w:val="21"/>
                      <w:szCs w:val="21"/>
                    </w:rPr>
                  </w:pPr>
                </w:p>
              </w:tc>
              <w:tc>
                <w:tcPr>
                  <w:tcW w:w="208" w:type="pct"/>
                  <w:vMerge w:val="continue"/>
                  <w:vAlign w:val="center"/>
                </w:tcPr>
                <w:p w14:paraId="14356BB1">
                  <w:pPr>
                    <w:pStyle w:val="154"/>
                    <w:rPr>
                      <w:sz w:val="21"/>
                      <w:szCs w:val="21"/>
                    </w:rPr>
                  </w:pPr>
                </w:p>
              </w:tc>
              <w:tc>
                <w:tcPr>
                  <w:tcW w:w="572" w:type="pct"/>
                  <w:vMerge w:val="continue"/>
                  <w:vAlign w:val="center"/>
                </w:tcPr>
                <w:p w14:paraId="036A8284">
                  <w:pPr>
                    <w:pStyle w:val="154"/>
                    <w:rPr>
                      <w:sz w:val="21"/>
                      <w:szCs w:val="21"/>
                    </w:rPr>
                  </w:pPr>
                </w:p>
              </w:tc>
              <w:tc>
                <w:tcPr>
                  <w:tcW w:w="364" w:type="pct"/>
                  <w:vMerge w:val="continue"/>
                  <w:vAlign w:val="center"/>
                </w:tcPr>
                <w:p w14:paraId="32032FD3">
                  <w:pPr>
                    <w:pStyle w:val="154"/>
                    <w:rPr>
                      <w:sz w:val="21"/>
                      <w:szCs w:val="21"/>
                    </w:rPr>
                  </w:pPr>
                </w:p>
              </w:tc>
              <w:tc>
                <w:tcPr>
                  <w:tcW w:w="415" w:type="pct"/>
                  <w:vMerge w:val="continue"/>
                  <w:vAlign w:val="center"/>
                </w:tcPr>
                <w:p w14:paraId="4760C4AD">
                  <w:pPr>
                    <w:pStyle w:val="154"/>
                    <w:rPr>
                      <w:sz w:val="21"/>
                      <w:szCs w:val="21"/>
                    </w:rPr>
                  </w:pPr>
                </w:p>
              </w:tc>
              <w:tc>
                <w:tcPr>
                  <w:tcW w:w="208" w:type="pct"/>
                  <w:vMerge w:val="continue"/>
                  <w:vAlign w:val="center"/>
                </w:tcPr>
                <w:p w14:paraId="639AD733">
                  <w:pPr>
                    <w:pStyle w:val="154"/>
                    <w:rPr>
                      <w:sz w:val="21"/>
                      <w:szCs w:val="21"/>
                    </w:rPr>
                  </w:pPr>
                </w:p>
              </w:tc>
              <w:tc>
                <w:tcPr>
                  <w:tcW w:w="208" w:type="pct"/>
                  <w:vMerge w:val="continue"/>
                  <w:vAlign w:val="center"/>
                </w:tcPr>
                <w:p w14:paraId="5CD11BF1">
                  <w:pPr>
                    <w:pStyle w:val="154"/>
                    <w:rPr>
                      <w:sz w:val="21"/>
                      <w:szCs w:val="21"/>
                    </w:rPr>
                  </w:pPr>
                </w:p>
              </w:tc>
              <w:tc>
                <w:tcPr>
                  <w:tcW w:w="260" w:type="pct"/>
                  <w:vMerge w:val="continue"/>
                  <w:vAlign w:val="center"/>
                </w:tcPr>
                <w:p w14:paraId="19667CE3">
                  <w:pPr>
                    <w:pStyle w:val="154"/>
                    <w:rPr>
                      <w:sz w:val="21"/>
                      <w:szCs w:val="21"/>
                    </w:rPr>
                  </w:pPr>
                </w:p>
              </w:tc>
              <w:tc>
                <w:tcPr>
                  <w:tcW w:w="224" w:type="pct"/>
                  <w:tcBorders>
                    <w:top w:val="single" w:color="auto" w:sz="6" w:space="0"/>
                    <w:bottom w:val="single" w:color="auto" w:sz="6" w:space="0"/>
                  </w:tcBorders>
                  <w:vAlign w:val="center"/>
                </w:tcPr>
                <w:p w14:paraId="15D25742">
                  <w:pPr>
                    <w:pStyle w:val="154"/>
                    <w:rPr>
                      <w:sz w:val="21"/>
                      <w:szCs w:val="21"/>
                    </w:rPr>
                  </w:pPr>
                  <w:r>
                    <w:rPr>
                      <w:rFonts w:hint="eastAsia"/>
                      <w:sz w:val="21"/>
                      <w:szCs w:val="21"/>
                    </w:rPr>
                    <w:t>W</w:t>
                  </w:r>
                </w:p>
              </w:tc>
              <w:tc>
                <w:tcPr>
                  <w:tcW w:w="225" w:type="pct"/>
                  <w:vAlign w:val="center"/>
                </w:tcPr>
                <w:p w14:paraId="61CA2153">
                  <w:pPr>
                    <w:pStyle w:val="154"/>
                    <w:rPr>
                      <w:sz w:val="21"/>
                      <w:szCs w:val="21"/>
                    </w:rPr>
                  </w:pPr>
                  <w:r>
                    <w:rPr>
                      <w:rFonts w:hint="eastAsia"/>
                      <w:sz w:val="21"/>
                      <w:szCs w:val="21"/>
                    </w:rPr>
                    <w:t>35</w:t>
                  </w:r>
                </w:p>
              </w:tc>
              <w:tc>
                <w:tcPr>
                  <w:tcW w:w="309" w:type="pct"/>
                  <w:vAlign w:val="center"/>
                </w:tcPr>
                <w:p w14:paraId="2137DDA3">
                  <w:pPr>
                    <w:pStyle w:val="154"/>
                    <w:rPr>
                      <w:sz w:val="21"/>
                      <w:szCs w:val="21"/>
                    </w:rPr>
                  </w:pPr>
                  <w:r>
                    <w:rPr>
                      <w:rFonts w:hint="eastAsia"/>
                      <w:sz w:val="21"/>
                      <w:szCs w:val="21"/>
                    </w:rPr>
                    <w:t>49.12</w:t>
                  </w:r>
                </w:p>
              </w:tc>
              <w:tc>
                <w:tcPr>
                  <w:tcW w:w="258" w:type="pct"/>
                  <w:vMerge w:val="continue"/>
                  <w:vAlign w:val="center"/>
                </w:tcPr>
                <w:p w14:paraId="10305A65">
                  <w:pPr>
                    <w:pStyle w:val="154"/>
                    <w:rPr>
                      <w:sz w:val="21"/>
                      <w:szCs w:val="21"/>
                    </w:rPr>
                  </w:pPr>
                </w:p>
              </w:tc>
              <w:tc>
                <w:tcPr>
                  <w:tcW w:w="258" w:type="pct"/>
                  <w:vAlign w:val="center"/>
                </w:tcPr>
                <w:p w14:paraId="481B7DF1">
                  <w:pPr>
                    <w:pStyle w:val="154"/>
                    <w:rPr>
                      <w:sz w:val="21"/>
                      <w:szCs w:val="21"/>
                    </w:rPr>
                  </w:pPr>
                  <w:r>
                    <w:rPr>
                      <w:rFonts w:hint="eastAsia"/>
                      <w:sz w:val="21"/>
                      <w:szCs w:val="21"/>
                    </w:rPr>
                    <w:t>20</w:t>
                  </w:r>
                </w:p>
              </w:tc>
              <w:tc>
                <w:tcPr>
                  <w:tcW w:w="257" w:type="pct"/>
                  <w:vAlign w:val="center"/>
                </w:tcPr>
                <w:p w14:paraId="09C9D89F">
                  <w:pPr>
                    <w:pStyle w:val="154"/>
                    <w:rPr>
                      <w:sz w:val="21"/>
                      <w:szCs w:val="21"/>
                    </w:rPr>
                  </w:pPr>
                  <w:r>
                    <w:rPr>
                      <w:rFonts w:hint="eastAsia"/>
                      <w:sz w:val="21"/>
                      <w:szCs w:val="21"/>
                    </w:rPr>
                    <w:t>29.12</w:t>
                  </w:r>
                </w:p>
              </w:tc>
              <w:tc>
                <w:tcPr>
                  <w:tcW w:w="251" w:type="pct"/>
                  <w:vAlign w:val="center"/>
                </w:tcPr>
                <w:p w14:paraId="1D9300C4">
                  <w:pPr>
                    <w:pStyle w:val="154"/>
                    <w:rPr>
                      <w:sz w:val="21"/>
                      <w:szCs w:val="21"/>
                    </w:rPr>
                  </w:pPr>
                  <w:r>
                    <w:rPr>
                      <w:rFonts w:hint="eastAsia"/>
                      <w:sz w:val="21"/>
                      <w:szCs w:val="21"/>
                    </w:rPr>
                    <w:t>1</w:t>
                  </w:r>
                </w:p>
              </w:tc>
            </w:tr>
            <w:tr w14:paraId="79E051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60" w:type="pct"/>
                  <w:vMerge w:val="continue"/>
                  <w:vAlign w:val="center"/>
                </w:tcPr>
                <w:p w14:paraId="31B35FAE">
                  <w:pPr>
                    <w:pStyle w:val="154"/>
                    <w:rPr>
                      <w:sz w:val="21"/>
                      <w:szCs w:val="21"/>
                    </w:rPr>
                  </w:pPr>
                </w:p>
              </w:tc>
              <w:tc>
                <w:tcPr>
                  <w:tcW w:w="257" w:type="pct"/>
                  <w:vMerge w:val="continue"/>
                  <w:vAlign w:val="center"/>
                </w:tcPr>
                <w:p w14:paraId="5A2B87F0">
                  <w:pPr>
                    <w:pStyle w:val="154"/>
                    <w:rPr>
                      <w:sz w:val="21"/>
                      <w:szCs w:val="21"/>
                    </w:rPr>
                  </w:pPr>
                </w:p>
              </w:tc>
              <w:tc>
                <w:tcPr>
                  <w:tcW w:w="566" w:type="pct"/>
                  <w:vMerge w:val="continue"/>
                  <w:vAlign w:val="center"/>
                </w:tcPr>
                <w:p w14:paraId="27647BA5">
                  <w:pPr>
                    <w:pStyle w:val="154"/>
                    <w:rPr>
                      <w:sz w:val="21"/>
                      <w:szCs w:val="21"/>
                    </w:rPr>
                  </w:pPr>
                </w:p>
              </w:tc>
              <w:tc>
                <w:tcPr>
                  <w:tcW w:w="208" w:type="pct"/>
                  <w:vMerge w:val="continue"/>
                  <w:vAlign w:val="center"/>
                </w:tcPr>
                <w:p w14:paraId="10A463FB">
                  <w:pPr>
                    <w:pStyle w:val="154"/>
                    <w:rPr>
                      <w:sz w:val="21"/>
                      <w:szCs w:val="21"/>
                    </w:rPr>
                  </w:pPr>
                </w:p>
              </w:tc>
              <w:tc>
                <w:tcPr>
                  <w:tcW w:w="572" w:type="pct"/>
                  <w:vMerge w:val="continue"/>
                  <w:vAlign w:val="center"/>
                </w:tcPr>
                <w:p w14:paraId="485A2CE5">
                  <w:pPr>
                    <w:pStyle w:val="154"/>
                    <w:rPr>
                      <w:sz w:val="21"/>
                      <w:szCs w:val="21"/>
                    </w:rPr>
                  </w:pPr>
                </w:p>
              </w:tc>
              <w:tc>
                <w:tcPr>
                  <w:tcW w:w="364" w:type="pct"/>
                  <w:vMerge w:val="continue"/>
                  <w:vAlign w:val="center"/>
                </w:tcPr>
                <w:p w14:paraId="390FDE24">
                  <w:pPr>
                    <w:pStyle w:val="154"/>
                    <w:rPr>
                      <w:sz w:val="21"/>
                      <w:szCs w:val="21"/>
                    </w:rPr>
                  </w:pPr>
                </w:p>
              </w:tc>
              <w:tc>
                <w:tcPr>
                  <w:tcW w:w="415" w:type="pct"/>
                  <w:vMerge w:val="continue"/>
                  <w:vAlign w:val="center"/>
                </w:tcPr>
                <w:p w14:paraId="08B04D07">
                  <w:pPr>
                    <w:pStyle w:val="154"/>
                    <w:rPr>
                      <w:sz w:val="21"/>
                      <w:szCs w:val="21"/>
                    </w:rPr>
                  </w:pPr>
                </w:p>
              </w:tc>
              <w:tc>
                <w:tcPr>
                  <w:tcW w:w="208" w:type="pct"/>
                  <w:vMerge w:val="continue"/>
                  <w:vAlign w:val="center"/>
                </w:tcPr>
                <w:p w14:paraId="328DA1C8">
                  <w:pPr>
                    <w:pStyle w:val="154"/>
                    <w:rPr>
                      <w:sz w:val="21"/>
                      <w:szCs w:val="21"/>
                    </w:rPr>
                  </w:pPr>
                </w:p>
              </w:tc>
              <w:tc>
                <w:tcPr>
                  <w:tcW w:w="208" w:type="pct"/>
                  <w:vMerge w:val="continue"/>
                  <w:vAlign w:val="center"/>
                </w:tcPr>
                <w:p w14:paraId="595DAEF9">
                  <w:pPr>
                    <w:pStyle w:val="154"/>
                    <w:rPr>
                      <w:sz w:val="21"/>
                      <w:szCs w:val="21"/>
                    </w:rPr>
                  </w:pPr>
                </w:p>
              </w:tc>
              <w:tc>
                <w:tcPr>
                  <w:tcW w:w="260" w:type="pct"/>
                  <w:vMerge w:val="continue"/>
                  <w:vAlign w:val="center"/>
                </w:tcPr>
                <w:p w14:paraId="1AB40435">
                  <w:pPr>
                    <w:pStyle w:val="154"/>
                    <w:rPr>
                      <w:sz w:val="21"/>
                      <w:szCs w:val="21"/>
                    </w:rPr>
                  </w:pPr>
                </w:p>
              </w:tc>
              <w:tc>
                <w:tcPr>
                  <w:tcW w:w="224" w:type="pct"/>
                  <w:tcBorders>
                    <w:top w:val="single" w:color="auto" w:sz="6" w:space="0"/>
                    <w:bottom w:val="single" w:color="auto" w:sz="6" w:space="0"/>
                  </w:tcBorders>
                  <w:vAlign w:val="center"/>
                </w:tcPr>
                <w:p w14:paraId="341B00CC">
                  <w:pPr>
                    <w:pStyle w:val="154"/>
                    <w:rPr>
                      <w:sz w:val="21"/>
                      <w:szCs w:val="21"/>
                    </w:rPr>
                  </w:pPr>
                  <w:r>
                    <w:rPr>
                      <w:sz w:val="21"/>
                      <w:szCs w:val="21"/>
                    </w:rPr>
                    <w:t>S</w:t>
                  </w:r>
                </w:p>
              </w:tc>
              <w:tc>
                <w:tcPr>
                  <w:tcW w:w="225" w:type="pct"/>
                  <w:vAlign w:val="center"/>
                </w:tcPr>
                <w:p w14:paraId="1AEB8FEA">
                  <w:pPr>
                    <w:pStyle w:val="154"/>
                    <w:rPr>
                      <w:sz w:val="21"/>
                      <w:szCs w:val="21"/>
                    </w:rPr>
                  </w:pPr>
                  <w:r>
                    <w:rPr>
                      <w:rFonts w:hint="eastAsia"/>
                      <w:sz w:val="21"/>
                      <w:szCs w:val="21"/>
                    </w:rPr>
                    <w:t>6</w:t>
                  </w:r>
                </w:p>
              </w:tc>
              <w:tc>
                <w:tcPr>
                  <w:tcW w:w="309" w:type="pct"/>
                  <w:vAlign w:val="center"/>
                </w:tcPr>
                <w:p w14:paraId="6ED989F1">
                  <w:pPr>
                    <w:pStyle w:val="154"/>
                    <w:rPr>
                      <w:sz w:val="21"/>
                      <w:szCs w:val="21"/>
                    </w:rPr>
                  </w:pPr>
                  <w:r>
                    <w:rPr>
                      <w:rFonts w:hint="eastAsia"/>
                      <w:sz w:val="21"/>
                      <w:szCs w:val="21"/>
                    </w:rPr>
                    <w:t>64.44</w:t>
                  </w:r>
                </w:p>
              </w:tc>
              <w:tc>
                <w:tcPr>
                  <w:tcW w:w="258" w:type="pct"/>
                  <w:vMerge w:val="continue"/>
                  <w:vAlign w:val="center"/>
                </w:tcPr>
                <w:p w14:paraId="13AF0971">
                  <w:pPr>
                    <w:pStyle w:val="154"/>
                    <w:rPr>
                      <w:sz w:val="21"/>
                      <w:szCs w:val="21"/>
                    </w:rPr>
                  </w:pPr>
                </w:p>
              </w:tc>
              <w:tc>
                <w:tcPr>
                  <w:tcW w:w="258" w:type="pct"/>
                  <w:vAlign w:val="center"/>
                </w:tcPr>
                <w:p w14:paraId="5E00E862">
                  <w:pPr>
                    <w:pStyle w:val="154"/>
                    <w:rPr>
                      <w:sz w:val="21"/>
                      <w:szCs w:val="21"/>
                    </w:rPr>
                  </w:pPr>
                  <w:r>
                    <w:rPr>
                      <w:rFonts w:hint="eastAsia"/>
                      <w:sz w:val="21"/>
                      <w:szCs w:val="21"/>
                    </w:rPr>
                    <w:t>20</w:t>
                  </w:r>
                </w:p>
              </w:tc>
              <w:tc>
                <w:tcPr>
                  <w:tcW w:w="257" w:type="pct"/>
                  <w:vAlign w:val="center"/>
                </w:tcPr>
                <w:p w14:paraId="42283659">
                  <w:pPr>
                    <w:pStyle w:val="154"/>
                    <w:rPr>
                      <w:sz w:val="21"/>
                      <w:szCs w:val="21"/>
                    </w:rPr>
                  </w:pPr>
                  <w:r>
                    <w:rPr>
                      <w:rFonts w:hint="eastAsia"/>
                      <w:sz w:val="21"/>
                      <w:szCs w:val="21"/>
                    </w:rPr>
                    <w:t>44.44</w:t>
                  </w:r>
                </w:p>
              </w:tc>
              <w:tc>
                <w:tcPr>
                  <w:tcW w:w="251" w:type="pct"/>
                  <w:vAlign w:val="center"/>
                </w:tcPr>
                <w:p w14:paraId="35E10E4A">
                  <w:pPr>
                    <w:pStyle w:val="154"/>
                    <w:rPr>
                      <w:sz w:val="21"/>
                      <w:szCs w:val="21"/>
                    </w:rPr>
                  </w:pPr>
                  <w:r>
                    <w:rPr>
                      <w:rFonts w:hint="eastAsia"/>
                      <w:sz w:val="21"/>
                      <w:szCs w:val="21"/>
                    </w:rPr>
                    <w:t>1</w:t>
                  </w:r>
                </w:p>
              </w:tc>
            </w:tr>
            <w:tr w14:paraId="7F7088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60" w:type="pct"/>
                  <w:vMerge w:val="continue"/>
                  <w:vAlign w:val="center"/>
                </w:tcPr>
                <w:p w14:paraId="33CE6B48">
                  <w:pPr>
                    <w:pStyle w:val="154"/>
                    <w:rPr>
                      <w:sz w:val="21"/>
                      <w:szCs w:val="21"/>
                    </w:rPr>
                  </w:pPr>
                </w:p>
              </w:tc>
              <w:tc>
                <w:tcPr>
                  <w:tcW w:w="257" w:type="pct"/>
                  <w:vMerge w:val="continue"/>
                  <w:vAlign w:val="center"/>
                </w:tcPr>
                <w:p w14:paraId="6ABD59DE">
                  <w:pPr>
                    <w:pStyle w:val="154"/>
                    <w:rPr>
                      <w:sz w:val="21"/>
                      <w:szCs w:val="21"/>
                    </w:rPr>
                  </w:pPr>
                </w:p>
              </w:tc>
              <w:tc>
                <w:tcPr>
                  <w:tcW w:w="566" w:type="pct"/>
                  <w:vMerge w:val="continue"/>
                  <w:vAlign w:val="center"/>
                </w:tcPr>
                <w:p w14:paraId="74232DB3">
                  <w:pPr>
                    <w:pStyle w:val="154"/>
                    <w:rPr>
                      <w:sz w:val="21"/>
                      <w:szCs w:val="21"/>
                    </w:rPr>
                  </w:pPr>
                </w:p>
              </w:tc>
              <w:tc>
                <w:tcPr>
                  <w:tcW w:w="208" w:type="pct"/>
                  <w:vMerge w:val="continue"/>
                  <w:vAlign w:val="center"/>
                </w:tcPr>
                <w:p w14:paraId="24CC053A">
                  <w:pPr>
                    <w:pStyle w:val="154"/>
                    <w:rPr>
                      <w:sz w:val="21"/>
                      <w:szCs w:val="21"/>
                    </w:rPr>
                  </w:pPr>
                </w:p>
              </w:tc>
              <w:tc>
                <w:tcPr>
                  <w:tcW w:w="572" w:type="pct"/>
                  <w:vMerge w:val="continue"/>
                  <w:vAlign w:val="center"/>
                </w:tcPr>
                <w:p w14:paraId="72662639">
                  <w:pPr>
                    <w:pStyle w:val="154"/>
                    <w:rPr>
                      <w:sz w:val="21"/>
                      <w:szCs w:val="21"/>
                    </w:rPr>
                  </w:pPr>
                </w:p>
              </w:tc>
              <w:tc>
                <w:tcPr>
                  <w:tcW w:w="364" w:type="pct"/>
                  <w:vMerge w:val="continue"/>
                  <w:vAlign w:val="center"/>
                </w:tcPr>
                <w:p w14:paraId="2D25CD8C">
                  <w:pPr>
                    <w:pStyle w:val="154"/>
                    <w:rPr>
                      <w:sz w:val="21"/>
                      <w:szCs w:val="21"/>
                    </w:rPr>
                  </w:pPr>
                </w:p>
              </w:tc>
              <w:tc>
                <w:tcPr>
                  <w:tcW w:w="415" w:type="pct"/>
                  <w:vMerge w:val="continue"/>
                  <w:vAlign w:val="center"/>
                </w:tcPr>
                <w:p w14:paraId="4D9BCFEA">
                  <w:pPr>
                    <w:pStyle w:val="154"/>
                    <w:rPr>
                      <w:sz w:val="21"/>
                      <w:szCs w:val="21"/>
                    </w:rPr>
                  </w:pPr>
                </w:p>
              </w:tc>
              <w:tc>
                <w:tcPr>
                  <w:tcW w:w="208" w:type="pct"/>
                  <w:vMerge w:val="continue"/>
                  <w:vAlign w:val="center"/>
                </w:tcPr>
                <w:p w14:paraId="7897984F">
                  <w:pPr>
                    <w:pStyle w:val="154"/>
                    <w:rPr>
                      <w:sz w:val="21"/>
                      <w:szCs w:val="21"/>
                    </w:rPr>
                  </w:pPr>
                </w:p>
              </w:tc>
              <w:tc>
                <w:tcPr>
                  <w:tcW w:w="208" w:type="pct"/>
                  <w:vMerge w:val="continue"/>
                  <w:vAlign w:val="center"/>
                </w:tcPr>
                <w:p w14:paraId="5EEAC6B4">
                  <w:pPr>
                    <w:pStyle w:val="154"/>
                    <w:rPr>
                      <w:sz w:val="21"/>
                      <w:szCs w:val="21"/>
                    </w:rPr>
                  </w:pPr>
                </w:p>
              </w:tc>
              <w:tc>
                <w:tcPr>
                  <w:tcW w:w="260" w:type="pct"/>
                  <w:vMerge w:val="continue"/>
                  <w:vAlign w:val="center"/>
                </w:tcPr>
                <w:p w14:paraId="2223C19E">
                  <w:pPr>
                    <w:pStyle w:val="154"/>
                    <w:rPr>
                      <w:sz w:val="21"/>
                      <w:szCs w:val="21"/>
                    </w:rPr>
                  </w:pPr>
                </w:p>
              </w:tc>
              <w:tc>
                <w:tcPr>
                  <w:tcW w:w="224" w:type="pct"/>
                  <w:tcBorders>
                    <w:top w:val="single" w:color="auto" w:sz="6" w:space="0"/>
                    <w:bottom w:val="single" w:color="auto" w:sz="6" w:space="0"/>
                  </w:tcBorders>
                  <w:vAlign w:val="center"/>
                </w:tcPr>
                <w:p w14:paraId="50DFAD1E">
                  <w:pPr>
                    <w:pStyle w:val="154"/>
                    <w:rPr>
                      <w:sz w:val="21"/>
                      <w:szCs w:val="21"/>
                    </w:rPr>
                  </w:pPr>
                  <w:r>
                    <w:rPr>
                      <w:sz w:val="21"/>
                      <w:szCs w:val="21"/>
                    </w:rPr>
                    <w:t>N</w:t>
                  </w:r>
                </w:p>
              </w:tc>
              <w:tc>
                <w:tcPr>
                  <w:tcW w:w="225" w:type="pct"/>
                  <w:tcBorders>
                    <w:bottom w:val="single" w:color="auto" w:sz="6" w:space="0"/>
                  </w:tcBorders>
                  <w:vAlign w:val="center"/>
                </w:tcPr>
                <w:p w14:paraId="6E55EDF5">
                  <w:pPr>
                    <w:pStyle w:val="154"/>
                    <w:rPr>
                      <w:sz w:val="21"/>
                      <w:szCs w:val="21"/>
                    </w:rPr>
                  </w:pPr>
                  <w:r>
                    <w:rPr>
                      <w:rFonts w:hint="eastAsia"/>
                      <w:sz w:val="21"/>
                      <w:szCs w:val="21"/>
                    </w:rPr>
                    <w:t>25</w:t>
                  </w:r>
                </w:p>
              </w:tc>
              <w:tc>
                <w:tcPr>
                  <w:tcW w:w="309" w:type="pct"/>
                  <w:vAlign w:val="center"/>
                </w:tcPr>
                <w:p w14:paraId="459A928E">
                  <w:pPr>
                    <w:pStyle w:val="154"/>
                    <w:rPr>
                      <w:sz w:val="21"/>
                      <w:szCs w:val="21"/>
                    </w:rPr>
                  </w:pPr>
                  <w:r>
                    <w:rPr>
                      <w:rFonts w:hint="eastAsia"/>
                      <w:sz w:val="21"/>
                      <w:szCs w:val="21"/>
                    </w:rPr>
                    <w:t>52.04</w:t>
                  </w:r>
                </w:p>
              </w:tc>
              <w:tc>
                <w:tcPr>
                  <w:tcW w:w="258" w:type="pct"/>
                  <w:vMerge w:val="continue"/>
                  <w:vAlign w:val="center"/>
                </w:tcPr>
                <w:p w14:paraId="520B0C2B">
                  <w:pPr>
                    <w:pStyle w:val="154"/>
                    <w:rPr>
                      <w:sz w:val="21"/>
                      <w:szCs w:val="21"/>
                    </w:rPr>
                  </w:pPr>
                </w:p>
              </w:tc>
              <w:tc>
                <w:tcPr>
                  <w:tcW w:w="258" w:type="pct"/>
                  <w:vAlign w:val="center"/>
                </w:tcPr>
                <w:p w14:paraId="37084483">
                  <w:pPr>
                    <w:pStyle w:val="154"/>
                    <w:rPr>
                      <w:sz w:val="21"/>
                      <w:szCs w:val="21"/>
                    </w:rPr>
                  </w:pPr>
                  <w:r>
                    <w:rPr>
                      <w:rFonts w:hint="eastAsia"/>
                      <w:sz w:val="21"/>
                      <w:szCs w:val="21"/>
                    </w:rPr>
                    <w:t>20</w:t>
                  </w:r>
                </w:p>
              </w:tc>
              <w:tc>
                <w:tcPr>
                  <w:tcW w:w="257" w:type="pct"/>
                  <w:vAlign w:val="center"/>
                </w:tcPr>
                <w:p w14:paraId="548D8761">
                  <w:pPr>
                    <w:pStyle w:val="154"/>
                    <w:rPr>
                      <w:sz w:val="21"/>
                      <w:szCs w:val="21"/>
                    </w:rPr>
                  </w:pPr>
                  <w:r>
                    <w:rPr>
                      <w:rFonts w:hint="eastAsia"/>
                      <w:sz w:val="21"/>
                      <w:szCs w:val="21"/>
                    </w:rPr>
                    <w:t>32.04</w:t>
                  </w:r>
                </w:p>
              </w:tc>
              <w:tc>
                <w:tcPr>
                  <w:tcW w:w="251" w:type="pct"/>
                  <w:vAlign w:val="center"/>
                </w:tcPr>
                <w:p w14:paraId="2A36B229">
                  <w:pPr>
                    <w:pStyle w:val="154"/>
                    <w:rPr>
                      <w:sz w:val="21"/>
                      <w:szCs w:val="21"/>
                    </w:rPr>
                  </w:pPr>
                  <w:r>
                    <w:rPr>
                      <w:rFonts w:hint="eastAsia"/>
                      <w:sz w:val="21"/>
                      <w:szCs w:val="21"/>
                    </w:rPr>
                    <w:t>1</w:t>
                  </w:r>
                </w:p>
              </w:tc>
            </w:tr>
            <w:tr w14:paraId="731295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160" w:type="pct"/>
                  <w:vMerge w:val="restart"/>
                  <w:vAlign w:val="center"/>
                </w:tcPr>
                <w:p w14:paraId="3FA77C15">
                  <w:pPr>
                    <w:pStyle w:val="154"/>
                    <w:rPr>
                      <w:sz w:val="21"/>
                      <w:szCs w:val="21"/>
                    </w:rPr>
                  </w:pPr>
                  <w:r>
                    <w:rPr>
                      <w:rFonts w:hint="eastAsia"/>
                      <w:sz w:val="21"/>
                      <w:szCs w:val="21"/>
                    </w:rPr>
                    <w:t>3</w:t>
                  </w:r>
                </w:p>
              </w:tc>
              <w:tc>
                <w:tcPr>
                  <w:tcW w:w="257" w:type="pct"/>
                  <w:vMerge w:val="continue"/>
                  <w:vAlign w:val="center"/>
                </w:tcPr>
                <w:p w14:paraId="67233429">
                  <w:pPr>
                    <w:pStyle w:val="154"/>
                    <w:rPr>
                      <w:sz w:val="21"/>
                      <w:szCs w:val="21"/>
                    </w:rPr>
                  </w:pPr>
                </w:p>
              </w:tc>
              <w:tc>
                <w:tcPr>
                  <w:tcW w:w="566" w:type="pct"/>
                  <w:vMerge w:val="restart"/>
                  <w:vAlign w:val="center"/>
                </w:tcPr>
                <w:p w14:paraId="37965BB4">
                  <w:pPr>
                    <w:pStyle w:val="154"/>
                    <w:rPr>
                      <w:sz w:val="21"/>
                      <w:szCs w:val="21"/>
                    </w:rPr>
                  </w:pPr>
                  <w:r>
                    <w:rPr>
                      <w:sz w:val="21"/>
                      <w:szCs w:val="21"/>
                    </w:rPr>
                    <w:t>风机</w:t>
                  </w:r>
                  <w:r>
                    <w:rPr>
                      <w:rFonts w:hint="eastAsia"/>
                      <w:sz w:val="21"/>
                      <w:szCs w:val="21"/>
                    </w:rPr>
                    <w:t>3</w:t>
                  </w:r>
                  <w:r>
                    <w:rPr>
                      <w:sz w:val="21"/>
                      <w:szCs w:val="21"/>
                    </w:rPr>
                    <w:t>#</w:t>
                  </w:r>
                </w:p>
              </w:tc>
              <w:tc>
                <w:tcPr>
                  <w:tcW w:w="208" w:type="pct"/>
                  <w:vMerge w:val="restart"/>
                  <w:vAlign w:val="center"/>
                </w:tcPr>
                <w:p w14:paraId="35E0D6F1">
                  <w:pPr>
                    <w:pStyle w:val="154"/>
                    <w:rPr>
                      <w:sz w:val="21"/>
                      <w:szCs w:val="21"/>
                    </w:rPr>
                  </w:pPr>
                  <w:r>
                    <w:rPr>
                      <w:sz w:val="21"/>
                      <w:szCs w:val="21"/>
                    </w:rPr>
                    <w:t>/</w:t>
                  </w:r>
                </w:p>
              </w:tc>
              <w:tc>
                <w:tcPr>
                  <w:tcW w:w="572" w:type="pct"/>
                  <w:vMerge w:val="restart"/>
                  <w:vAlign w:val="center"/>
                </w:tcPr>
                <w:p w14:paraId="1ED87043">
                  <w:pPr>
                    <w:pStyle w:val="154"/>
                    <w:rPr>
                      <w:sz w:val="21"/>
                      <w:szCs w:val="21"/>
                    </w:rPr>
                  </w:pPr>
                  <w:r>
                    <w:rPr>
                      <w:sz w:val="21"/>
                      <w:szCs w:val="21"/>
                    </w:rPr>
                    <w:t>/</w:t>
                  </w:r>
                </w:p>
              </w:tc>
              <w:tc>
                <w:tcPr>
                  <w:tcW w:w="364" w:type="pct"/>
                  <w:vMerge w:val="restart"/>
                  <w:vAlign w:val="center"/>
                </w:tcPr>
                <w:p w14:paraId="742CACC8">
                  <w:pPr>
                    <w:pStyle w:val="154"/>
                    <w:rPr>
                      <w:sz w:val="21"/>
                      <w:szCs w:val="21"/>
                    </w:rPr>
                  </w:pPr>
                  <w:r>
                    <w:rPr>
                      <w:sz w:val="21"/>
                      <w:szCs w:val="21"/>
                    </w:rPr>
                    <w:t>80</w:t>
                  </w:r>
                </w:p>
              </w:tc>
              <w:tc>
                <w:tcPr>
                  <w:tcW w:w="415" w:type="pct"/>
                  <w:vMerge w:val="continue"/>
                  <w:vAlign w:val="center"/>
                </w:tcPr>
                <w:p w14:paraId="45BC073F">
                  <w:pPr>
                    <w:pStyle w:val="154"/>
                    <w:rPr>
                      <w:sz w:val="21"/>
                      <w:szCs w:val="21"/>
                    </w:rPr>
                  </w:pPr>
                </w:p>
              </w:tc>
              <w:tc>
                <w:tcPr>
                  <w:tcW w:w="208" w:type="pct"/>
                  <w:vMerge w:val="restart"/>
                  <w:vAlign w:val="center"/>
                </w:tcPr>
                <w:p w14:paraId="56B6B465">
                  <w:pPr>
                    <w:pStyle w:val="154"/>
                    <w:rPr>
                      <w:sz w:val="21"/>
                      <w:szCs w:val="21"/>
                    </w:rPr>
                  </w:pPr>
                  <w:r>
                    <w:rPr>
                      <w:rFonts w:hint="eastAsia"/>
                      <w:sz w:val="21"/>
                      <w:szCs w:val="21"/>
                    </w:rPr>
                    <w:t>-3</w:t>
                  </w:r>
                </w:p>
              </w:tc>
              <w:tc>
                <w:tcPr>
                  <w:tcW w:w="208" w:type="pct"/>
                  <w:vMerge w:val="restart"/>
                  <w:vAlign w:val="center"/>
                </w:tcPr>
                <w:p w14:paraId="72547DDB">
                  <w:pPr>
                    <w:pStyle w:val="154"/>
                    <w:rPr>
                      <w:sz w:val="21"/>
                      <w:szCs w:val="21"/>
                    </w:rPr>
                  </w:pPr>
                  <w:r>
                    <w:rPr>
                      <w:rFonts w:hint="eastAsia"/>
                      <w:sz w:val="21"/>
                      <w:szCs w:val="21"/>
                    </w:rPr>
                    <w:t>8</w:t>
                  </w:r>
                </w:p>
              </w:tc>
              <w:tc>
                <w:tcPr>
                  <w:tcW w:w="260" w:type="pct"/>
                  <w:vMerge w:val="restart"/>
                  <w:vAlign w:val="center"/>
                </w:tcPr>
                <w:p w14:paraId="7A154128">
                  <w:pPr>
                    <w:pStyle w:val="154"/>
                    <w:rPr>
                      <w:sz w:val="21"/>
                      <w:szCs w:val="21"/>
                    </w:rPr>
                  </w:pPr>
                  <w:r>
                    <w:rPr>
                      <w:rFonts w:hint="eastAsia"/>
                      <w:sz w:val="21"/>
                      <w:szCs w:val="21"/>
                    </w:rPr>
                    <w:t>27</w:t>
                  </w:r>
                </w:p>
              </w:tc>
              <w:tc>
                <w:tcPr>
                  <w:tcW w:w="224" w:type="pct"/>
                  <w:tcBorders>
                    <w:top w:val="single" w:color="auto" w:sz="6" w:space="0"/>
                    <w:bottom w:val="single" w:color="auto" w:sz="6" w:space="0"/>
                  </w:tcBorders>
                  <w:vAlign w:val="center"/>
                </w:tcPr>
                <w:p w14:paraId="023BE551">
                  <w:pPr>
                    <w:pStyle w:val="154"/>
                    <w:rPr>
                      <w:sz w:val="21"/>
                      <w:szCs w:val="21"/>
                    </w:rPr>
                  </w:pPr>
                  <w:r>
                    <w:rPr>
                      <w:sz w:val="21"/>
                      <w:szCs w:val="21"/>
                    </w:rPr>
                    <w:t>E</w:t>
                  </w:r>
                </w:p>
              </w:tc>
              <w:tc>
                <w:tcPr>
                  <w:tcW w:w="225" w:type="pct"/>
                  <w:tcBorders>
                    <w:top w:val="single" w:color="auto" w:sz="6" w:space="0"/>
                    <w:bottom w:val="single" w:color="auto" w:sz="6" w:space="0"/>
                  </w:tcBorders>
                  <w:vAlign w:val="center"/>
                </w:tcPr>
                <w:p w14:paraId="0FAE2588">
                  <w:pPr>
                    <w:pStyle w:val="154"/>
                    <w:rPr>
                      <w:sz w:val="21"/>
                      <w:szCs w:val="21"/>
                    </w:rPr>
                  </w:pPr>
                  <w:r>
                    <w:rPr>
                      <w:rFonts w:hint="eastAsia"/>
                      <w:sz w:val="21"/>
                      <w:szCs w:val="21"/>
                    </w:rPr>
                    <w:t>35</w:t>
                  </w:r>
                </w:p>
              </w:tc>
              <w:tc>
                <w:tcPr>
                  <w:tcW w:w="309" w:type="pct"/>
                  <w:vAlign w:val="bottom"/>
                </w:tcPr>
                <w:p w14:paraId="59D725F6">
                  <w:pPr>
                    <w:pStyle w:val="154"/>
                    <w:rPr>
                      <w:sz w:val="21"/>
                      <w:szCs w:val="21"/>
                    </w:rPr>
                  </w:pPr>
                  <w:r>
                    <w:rPr>
                      <w:rFonts w:hint="eastAsia"/>
                      <w:sz w:val="21"/>
                      <w:szCs w:val="21"/>
                    </w:rPr>
                    <w:t>49.12</w:t>
                  </w:r>
                </w:p>
              </w:tc>
              <w:tc>
                <w:tcPr>
                  <w:tcW w:w="258" w:type="pct"/>
                  <w:vMerge w:val="restart"/>
                  <w:vAlign w:val="center"/>
                </w:tcPr>
                <w:p w14:paraId="7FE1B8F1">
                  <w:pPr>
                    <w:pStyle w:val="154"/>
                    <w:rPr>
                      <w:sz w:val="21"/>
                      <w:szCs w:val="21"/>
                    </w:rPr>
                  </w:pPr>
                  <w:r>
                    <w:rPr>
                      <w:rFonts w:hint="eastAsia"/>
                      <w:sz w:val="21"/>
                      <w:szCs w:val="21"/>
                    </w:rPr>
                    <w:t>昼间</w:t>
                  </w:r>
                </w:p>
              </w:tc>
              <w:tc>
                <w:tcPr>
                  <w:tcW w:w="258" w:type="pct"/>
                  <w:vAlign w:val="center"/>
                </w:tcPr>
                <w:p w14:paraId="2596A86B">
                  <w:pPr>
                    <w:pStyle w:val="154"/>
                    <w:rPr>
                      <w:sz w:val="21"/>
                      <w:szCs w:val="21"/>
                    </w:rPr>
                  </w:pPr>
                  <w:r>
                    <w:rPr>
                      <w:sz w:val="21"/>
                      <w:szCs w:val="21"/>
                    </w:rPr>
                    <w:t>20</w:t>
                  </w:r>
                </w:p>
              </w:tc>
              <w:tc>
                <w:tcPr>
                  <w:tcW w:w="257" w:type="pct"/>
                  <w:vAlign w:val="bottom"/>
                </w:tcPr>
                <w:p w14:paraId="4B327784">
                  <w:pPr>
                    <w:pStyle w:val="154"/>
                    <w:rPr>
                      <w:sz w:val="21"/>
                      <w:szCs w:val="21"/>
                    </w:rPr>
                  </w:pPr>
                  <w:r>
                    <w:rPr>
                      <w:rFonts w:hint="eastAsia"/>
                      <w:sz w:val="21"/>
                      <w:szCs w:val="21"/>
                    </w:rPr>
                    <w:t>29.12</w:t>
                  </w:r>
                </w:p>
              </w:tc>
              <w:tc>
                <w:tcPr>
                  <w:tcW w:w="251" w:type="pct"/>
                  <w:vAlign w:val="center"/>
                </w:tcPr>
                <w:p w14:paraId="5BBC9859">
                  <w:pPr>
                    <w:pStyle w:val="154"/>
                    <w:rPr>
                      <w:sz w:val="21"/>
                      <w:szCs w:val="21"/>
                    </w:rPr>
                  </w:pPr>
                  <w:r>
                    <w:rPr>
                      <w:sz w:val="21"/>
                      <w:szCs w:val="21"/>
                    </w:rPr>
                    <w:t>1</w:t>
                  </w:r>
                </w:p>
              </w:tc>
            </w:tr>
            <w:tr w14:paraId="424FB5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160" w:type="pct"/>
                  <w:vMerge w:val="continue"/>
                  <w:vAlign w:val="center"/>
                </w:tcPr>
                <w:p w14:paraId="115BF02D">
                  <w:pPr>
                    <w:pStyle w:val="154"/>
                    <w:rPr>
                      <w:sz w:val="21"/>
                      <w:szCs w:val="21"/>
                    </w:rPr>
                  </w:pPr>
                </w:p>
              </w:tc>
              <w:tc>
                <w:tcPr>
                  <w:tcW w:w="257" w:type="pct"/>
                  <w:vMerge w:val="continue"/>
                  <w:vAlign w:val="center"/>
                </w:tcPr>
                <w:p w14:paraId="47BF7B3B">
                  <w:pPr>
                    <w:pStyle w:val="154"/>
                    <w:rPr>
                      <w:sz w:val="21"/>
                      <w:szCs w:val="21"/>
                    </w:rPr>
                  </w:pPr>
                </w:p>
              </w:tc>
              <w:tc>
                <w:tcPr>
                  <w:tcW w:w="566" w:type="pct"/>
                  <w:vMerge w:val="continue"/>
                  <w:vAlign w:val="center"/>
                </w:tcPr>
                <w:p w14:paraId="3363273B">
                  <w:pPr>
                    <w:pStyle w:val="154"/>
                    <w:rPr>
                      <w:sz w:val="21"/>
                      <w:szCs w:val="21"/>
                    </w:rPr>
                  </w:pPr>
                </w:p>
              </w:tc>
              <w:tc>
                <w:tcPr>
                  <w:tcW w:w="208" w:type="pct"/>
                  <w:vMerge w:val="continue"/>
                  <w:vAlign w:val="center"/>
                </w:tcPr>
                <w:p w14:paraId="21F67CD2">
                  <w:pPr>
                    <w:pStyle w:val="154"/>
                    <w:rPr>
                      <w:sz w:val="21"/>
                      <w:szCs w:val="21"/>
                    </w:rPr>
                  </w:pPr>
                </w:p>
              </w:tc>
              <w:tc>
                <w:tcPr>
                  <w:tcW w:w="572" w:type="pct"/>
                  <w:vMerge w:val="continue"/>
                  <w:vAlign w:val="center"/>
                </w:tcPr>
                <w:p w14:paraId="69A130D9">
                  <w:pPr>
                    <w:pStyle w:val="154"/>
                    <w:rPr>
                      <w:sz w:val="21"/>
                      <w:szCs w:val="21"/>
                    </w:rPr>
                  </w:pPr>
                </w:p>
              </w:tc>
              <w:tc>
                <w:tcPr>
                  <w:tcW w:w="364" w:type="pct"/>
                  <w:vMerge w:val="continue"/>
                  <w:vAlign w:val="center"/>
                </w:tcPr>
                <w:p w14:paraId="22F1D60E">
                  <w:pPr>
                    <w:pStyle w:val="154"/>
                    <w:rPr>
                      <w:sz w:val="21"/>
                      <w:szCs w:val="21"/>
                    </w:rPr>
                  </w:pPr>
                </w:p>
              </w:tc>
              <w:tc>
                <w:tcPr>
                  <w:tcW w:w="415" w:type="pct"/>
                  <w:vMerge w:val="continue"/>
                  <w:vAlign w:val="center"/>
                </w:tcPr>
                <w:p w14:paraId="077B468D">
                  <w:pPr>
                    <w:pStyle w:val="154"/>
                    <w:rPr>
                      <w:sz w:val="21"/>
                      <w:szCs w:val="21"/>
                    </w:rPr>
                  </w:pPr>
                </w:p>
              </w:tc>
              <w:tc>
                <w:tcPr>
                  <w:tcW w:w="208" w:type="pct"/>
                  <w:vMerge w:val="continue"/>
                  <w:vAlign w:val="center"/>
                </w:tcPr>
                <w:p w14:paraId="2EBC907F">
                  <w:pPr>
                    <w:pStyle w:val="154"/>
                    <w:rPr>
                      <w:sz w:val="21"/>
                      <w:szCs w:val="21"/>
                    </w:rPr>
                  </w:pPr>
                </w:p>
              </w:tc>
              <w:tc>
                <w:tcPr>
                  <w:tcW w:w="208" w:type="pct"/>
                  <w:vMerge w:val="continue"/>
                  <w:vAlign w:val="center"/>
                </w:tcPr>
                <w:p w14:paraId="3C3C5B0A">
                  <w:pPr>
                    <w:pStyle w:val="154"/>
                    <w:rPr>
                      <w:sz w:val="21"/>
                      <w:szCs w:val="21"/>
                    </w:rPr>
                  </w:pPr>
                </w:p>
              </w:tc>
              <w:tc>
                <w:tcPr>
                  <w:tcW w:w="260" w:type="pct"/>
                  <w:vMerge w:val="continue"/>
                  <w:vAlign w:val="center"/>
                </w:tcPr>
                <w:p w14:paraId="077C7418">
                  <w:pPr>
                    <w:pStyle w:val="154"/>
                    <w:rPr>
                      <w:sz w:val="21"/>
                      <w:szCs w:val="21"/>
                    </w:rPr>
                  </w:pPr>
                </w:p>
              </w:tc>
              <w:tc>
                <w:tcPr>
                  <w:tcW w:w="224" w:type="pct"/>
                  <w:tcBorders>
                    <w:top w:val="single" w:color="auto" w:sz="6" w:space="0"/>
                    <w:bottom w:val="single" w:color="auto" w:sz="6" w:space="0"/>
                  </w:tcBorders>
                  <w:vAlign w:val="center"/>
                </w:tcPr>
                <w:p w14:paraId="448518F6">
                  <w:pPr>
                    <w:pStyle w:val="154"/>
                    <w:rPr>
                      <w:sz w:val="21"/>
                      <w:szCs w:val="21"/>
                    </w:rPr>
                  </w:pPr>
                  <w:r>
                    <w:rPr>
                      <w:rFonts w:hint="eastAsia"/>
                      <w:sz w:val="21"/>
                      <w:szCs w:val="21"/>
                    </w:rPr>
                    <w:t>W</w:t>
                  </w:r>
                </w:p>
              </w:tc>
              <w:tc>
                <w:tcPr>
                  <w:tcW w:w="225" w:type="pct"/>
                  <w:tcBorders>
                    <w:top w:val="single" w:color="auto" w:sz="6" w:space="0"/>
                    <w:bottom w:val="single" w:color="auto" w:sz="6" w:space="0"/>
                  </w:tcBorders>
                  <w:vAlign w:val="center"/>
                </w:tcPr>
                <w:p w14:paraId="3A800534">
                  <w:pPr>
                    <w:pStyle w:val="154"/>
                    <w:rPr>
                      <w:sz w:val="21"/>
                      <w:szCs w:val="21"/>
                    </w:rPr>
                  </w:pPr>
                  <w:r>
                    <w:rPr>
                      <w:rFonts w:hint="eastAsia"/>
                      <w:sz w:val="21"/>
                      <w:szCs w:val="21"/>
                    </w:rPr>
                    <w:t>3</w:t>
                  </w:r>
                </w:p>
              </w:tc>
              <w:tc>
                <w:tcPr>
                  <w:tcW w:w="309" w:type="pct"/>
                  <w:vAlign w:val="bottom"/>
                </w:tcPr>
                <w:p w14:paraId="5CD01EB2">
                  <w:pPr>
                    <w:pStyle w:val="154"/>
                    <w:rPr>
                      <w:sz w:val="21"/>
                      <w:szCs w:val="21"/>
                    </w:rPr>
                  </w:pPr>
                  <w:r>
                    <w:rPr>
                      <w:rFonts w:hint="eastAsia"/>
                      <w:sz w:val="21"/>
                      <w:szCs w:val="21"/>
                    </w:rPr>
                    <w:t>70.46</w:t>
                  </w:r>
                </w:p>
              </w:tc>
              <w:tc>
                <w:tcPr>
                  <w:tcW w:w="258" w:type="pct"/>
                  <w:vMerge w:val="continue"/>
                  <w:vAlign w:val="center"/>
                </w:tcPr>
                <w:p w14:paraId="63395D7A">
                  <w:pPr>
                    <w:pStyle w:val="154"/>
                    <w:rPr>
                      <w:sz w:val="21"/>
                      <w:szCs w:val="21"/>
                    </w:rPr>
                  </w:pPr>
                </w:p>
              </w:tc>
              <w:tc>
                <w:tcPr>
                  <w:tcW w:w="258" w:type="pct"/>
                  <w:vAlign w:val="center"/>
                </w:tcPr>
                <w:p w14:paraId="72654DC8">
                  <w:pPr>
                    <w:pStyle w:val="154"/>
                    <w:rPr>
                      <w:sz w:val="21"/>
                      <w:szCs w:val="21"/>
                    </w:rPr>
                  </w:pPr>
                  <w:r>
                    <w:rPr>
                      <w:sz w:val="21"/>
                      <w:szCs w:val="21"/>
                    </w:rPr>
                    <w:t>20</w:t>
                  </w:r>
                </w:p>
              </w:tc>
              <w:tc>
                <w:tcPr>
                  <w:tcW w:w="257" w:type="pct"/>
                  <w:vAlign w:val="bottom"/>
                </w:tcPr>
                <w:p w14:paraId="1F84A92A">
                  <w:pPr>
                    <w:pStyle w:val="154"/>
                    <w:rPr>
                      <w:sz w:val="21"/>
                      <w:szCs w:val="21"/>
                    </w:rPr>
                  </w:pPr>
                  <w:r>
                    <w:rPr>
                      <w:rFonts w:hint="eastAsia"/>
                      <w:sz w:val="21"/>
                      <w:szCs w:val="21"/>
                    </w:rPr>
                    <w:t>50.46</w:t>
                  </w:r>
                </w:p>
              </w:tc>
              <w:tc>
                <w:tcPr>
                  <w:tcW w:w="251" w:type="pct"/>
                  <w:vAlign w:val="center"/>
                </w:tcPr>
                <w:p w14:paraId="7D394F33">
                  <w:pPr>
                    <w:pStyle w:val="154"/>
                    <w:rPr>
                      <w:sz w:val="21"/>
                      <w:szCs w:val="21"/>
                    </w:rPr>
                  </w:pPr>
                  <w:r>
                    <w:rPr>
                      <w:sz w:val="21"/>
                      <w:szCs w:val="21"/>
                    </w:rPr>
                    <w:t>1</w:t>
                  </w:r>
                </w:p>
              </w:tc>
            </w:tr>
            <w:tr w14:paraId="62E45B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160" w:type="pct"/>
                  <w:vMerge w:val="continue"/>
                  <w:vAlign w:val="center"/>
                </w:tcPr>
                <w:p w14:paraId="5E19EE48">
                  <w:pPr>
                    <w:pStyle w:val="154"/>
                    <w:rPr>
                      <w:sz w:val="21"/>
                      <w:szCs w:val="21"/>
                    </w:rPr>
                  </w:pPr>
                </w:p>
              </w:tc>
              <w:tc>
                <w:tcPr>
                  <w:tcW w:w="257" w:type="pct"/>
                  <w:vMerge w:val="continue"/>
                  <w:vAlign w:val="center"/>
                </w:tcPr>
                <w:p w14:paraId="02A51302">
                  <w:pPr>
                    <w:pStyle w:val="154"/>
                    <w:rPr>
                      <w:sz w:val="21"/>
                      <w:szCs w:val="21"/>
                    </w:rPr>
                  </w:pPr>
                </w:p>
              </w:tc>
              <w:tc>
                <w:tcPr>
                  <w:tcW w:w="566" w:type="pct"/>
                  <w:vMerge w:val="continue"/>
                  <w:vAlign w:val="center"/>
                </w:tcPr>
                <w:p w14:paraId="114E638D">
                  <w:pPr>
                    <w:pStyle w:val="154"/>
                    <w:rPr>
                      <w:sz w:val="21"/>
                      <w:szCs w:val="21"/>
                    </w:rPr>
                  </w:pPr>
                </w:p>
              </w:tc>
              <w:tc>
                <w:tcPr>
                  <w:tcW w:w="208" w:type="pct"/>
                  <w:vMerge w:val="continue"/>
                  <w:vAlign w:val="center"/>
                </w:tcPr>
                <w:p w14:paraId="23A8D191">
                  <w:pPr>
                    <w:pStyle w:val="154"/>
                    <w:rPr>
                      <w:sz w:val="21"/>
                      <w:szCs w:val="21"/>
                    </w:rPr>
                  </w:pPr>
                </w:p>
              </w:tc>
              <w:tc>
                <w:tcPr>
                  <w:tcW w:w="572" w:type="pct"/>
                  <w:vMerge w:val="continue"/>
                  <w:vAlign w:val="center"/>
                </w:tcPr>
                <w:p w14:paraId="746464DA">
                  <w:pPr>
                    <w:pStyle w:val="154"/>
                    <w:rPr>
                      <w:sz w:val="21"/>
                      <w:szCs w:val="21"/>
                    </w:rPr>
                  </w:pPr>
                </w:p>
              </w:tc>
              <w:tc>
                <w:tcPr>
                  <w:tcW w:w="364" w:type="pct"/>
                  <w:vMerge w:val="continue"/>
                  <w:vAlign w:val="center"/>
                </w:tcPr>
                <w:p w14:paraId="4D229452">
                  <w:pPr>
                    <w:pStyle w:val="154"/>
                    <w:rPr>
                      <w:sz w:val="21"/>
                      <w:szCs w:val="21"/>
                    </w:rPr>
                  </w:pPr>
                </w:p>
              </w:tc>
              <w:tc>
                <w:tcPr>
                  <w:tcW w:w="415" w:type="pct"/>
                  <w:vMerge w:val="continue"/>
                  <w:vAlign w:val="center"/>
                </w:tcPr>
                <w:p w14:paraId="0167EC31">
                  <w:pPr>
                    <w:pStyle w:val="154"/>
                    <w:rPr>
                      <w:sz w:val="21"/>
                      <w:szCs w:val="21"/>
                    </w:rPr>
                  </w:pPr>
                </w:p>
              </w:tc>
              <w:tc>
                <w:tcPr>
                  <w:tcW w:w="208" w:type="pct"/>
                  <w:vMerge w:val="continue"/>
                  <w:vAlign w:val="center"/>
                </w:tcPr>
                <w:p w14:paraId="644D5D42">
                  <w:pPr>
                    <w:pStyle w:val="154"/>
                    <w:rPr>
                      <w:sz w:val="21"/>
                      <w:szCs w:val="21"/>
                    </w:rPr>
                  </w:pPr>
                </w:p>
              </w:tc>
              <w:tc>
                <w:tcPr>
                  <w:tcW w:w="208" w:type="pct"/>
                  <w:vMerge w:val="continue"/>
                  <w:vAlign w:val="center"/>
                </w:tcPr>
                <w:p w14:paraId="70F631DA">
                  <w:pPr>
                    <w:pStyle w:val="154"/>
                    <w:rPr>
                      <w:sz w:val="21"/>
                      <w:szCs w:val="21"/>
                    </w:rPr>
                  </w:pPr>
                </w:p>
              </w:tc>
              <w:tc>
                <w:tcPr>
                  <w:tcW w:w="260" w:type="pct"/>
                  <w:vMerge w:val="continue"/>
                  <w:vAlign w:val="center"/>
                </w:tcPr>
                <w:p w14:paraId="59FDC698">
                  <w:pPr>
                    <w:pStyle w:val="154"/>
                    <w:rPr>
                      <w:sz w:val="21"/>
                      <w:szCs w:val="21"/>
                    </w:rPr>
                  </w:pPr>
                </w:p>
              </w:tc>
              <w:tc>
                <w:tcPr>
                  <w:tcW w:w="224" w:type="pct"/>
                  <w:tcBorders>
                    <w:top w:val="single" w:color="auto" w:sz="6" w:space="0"/>
                    <w:bottom w:val="single" w:color="auto" w:sz="6" w:space="0"/>
                  </w:tcBorders>
                  <w:vAlign w:val="center"/>
                </w:tcPr>
                <w:p w14:paraId="05FE1464">
                  <w:pPr>
                    <w:pStyle w:val="154"/>
                    <w:rPr>
                      <w:sz w:val="21"/>
                      <w:szCs w:val="21"/>
                    </w:rPr>
                  </w:pPr>
                  <w:r>
                    <w:rPr>
                      <w:sz w:val="21"/>
                      <w:szCs w:val="21"/>
                    </w:rPr>
                    <w:t>S</w:t>
                  </w:r>
                </w:p>
              </w:tc>
              <w:tc>
                <w:tcPr>
                  <w:tcW w:w="225" w:type="pct"/>
                  <w:tcBorders>
                    <w:top w:val="single" w:color="auto" w:sz="6" w:space="0"/>
                    <w:bottom w:val="single" w:color="auto" w:sz="6" w:space="0"/>
                  </w:tcBorders>
                  <w:vAlign w:val="center"/>
                </w:tcPr>
                <w:p w14:paraId="04F96A5E">
                  <w:pPr>
                    <w:pStyle w:val="154"/>
                    <w:rPr>
                      <w:sz w:val="21"/>
                      <w:szCs w:val="21"/>
                    </w:rPr>
                  </w:pPr>
                  <w:r>
                    <w:rPr>
                      <w:rFonts w:hint="eastAsia"/>
                      <w:sz w:val="21"/>
                      <w:szCs w:val="21"/>
                    </w:rPr>
                    <w:t>8</w:t>
                  </w:r>
                </w:p>
              </w:tc>
              <w:tc>
                <w:tcPr>
                  <w:tcW w:w="309" w:type="pct"/>
                  <w:vAlign w:val="bottom"/>
                </w:tcPr>
                <w:p w14:paraId="084DF6A6">
                  <w:pPr>
                    <w:pStyle w:val="154"/>
                    <w:rPr>
                      <w:sz w:val="21"/>
                      <w:szCs w:val="21"/>
                    </w:rPr>
                  </w:pPr>
                  <w:r>
                    <w:rPr>
                      <w:rFonts w:hint="eastAsia"/>
                      <w:sz w:val="21"/>
                      <w:szCs w:val="21"/>
                    </w:rPr>
                    <w:t>61.94</w:t>
                  </w:r>
                </w:p>
              </w:tc>
              <w:tc>
                <w:tcPr>
                  <w:tcW w:w="258" w:type="pct"/>
                  <w:vMerge w:val="continue"/>
                  <w:vAlign w:val="center"/>
                </w:tcPr>
                <w:p w14:paraId="0F115251">
                  <w:pPr>
                    <w:pStyle w:val="154"/>
                    <w:rPr>
                      <w:sz w:val="21"/>
                      <w:szCs w:val="21"/>
                    </w:rPr>
                  </w:pPr>
                </w:p>
              </w:tc>
              <w:tc>
                <w:tcPr>
                  <w:tcW w:w="258" w:type="pct"/>
                  <w:vAlign w:val="center"/>
                </w:tcPr>
                <w:p w14:paraId="4DC003DA">
                  <w:pPr>
                    <w:pStyle w:val="154"/>
                    <w:rPr>
                      <w:sz w:val="21"/>
                      <w:szCs w:val="21"/>
                    </w:rPr>
                  </w:pPr>
                  <w:r>
                    <w:rPr>
                      <w:sz w:val="21"/>
                      <w:szCs w:val="21"/>
                    </w:rPr>
                    <w:t>20</w:t>
                  </w:r>
                </w:p>
              </w:tc>
              <w:tc>
                <w:tcPr>
                  <w:tcW w:w="257" w:type="pct"/>
                  <w:vAlign w:val="bottom"/>
                </w:tcPr>
                <w:p w14:paraId="72D00832">
                  <w:pPr>
                    <w:pStyle w:val="154"/>
                    <w:rPr>
                      <w:sz w:val="21"/>
                      <w:szCs w:val="21"/>
                    </w:rPr>
                  </w:pPr>
                  <w:r>
                    <w:rPr>
                      <w:rFonts w:hint="eastAsia"/>
                      <w:sz w:val="21"/>
                      <w:szCs w:val="21"/>
                    </w:rPr>
                    <w:t>41.94</w:t>
                  </w:r>
                </w:p>
              </w:tc>
              <w:tc>
                <w:tcPr>
                  <w:tcW w:w="251" w:type="pct"/>
                  <w:vAlign w:val="center"/>
                </w:tcPr>
                <w:p w14:paraId="43A5BE41">
                  <w:pPr>
                    <w:pStyle w:val="154"/>
                    <w:rPr>
                      <w:sz w:val="21"/>
                      <w:szCs w:val="21"/>
                    </w:rPr>
                  </w:pPr>
                  <w:r>
                    <w:rPr>
                      <w:sz w:val="21"/>
                      <w:szCs w:val="21"/>
                    </w:rPr>
                    <w:t>1</w:t>
                  </w:r>
                </w:p>
              </w:tc>
            </w:tr>
            <w:tr w14:paraId="7C395B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 w:hRule="atLeast"/>
                <w:jc w:val="center"/>
              </w:trPr>
              <w:tc>
                <w:tcPr>
                  <w:tcW w:w="160" w:type="pct"/>
                  <w:vMerge w:val="continue"/>
                  <w:vAlign w:val="center"/>
                </w:tcPr>
                <w:p w14:paraId="132EFE14">
                  <w:pPr>
                    <w:pStyle w:val="154"/>
                    <w:rPr>
                      <w:sz w:val="21"/>
                      <w:szCs w:val="21"/>
                    </w:rPr>
                  </w:pPr>
                </w:p>
              </w:tc>
              <w:tc>
                <w:tcPr>
                  <w:tcW w:w="257" w:type="pct"/>
                  <w:vMerge w:val="continue"/>
                  <w:vAlign w:val="center"/>
                </w:tcPr>
                <w:p w14:paraId="4FF0376B">
                  <w:pPr>
                    <w:pStyle w:val="154"/>
                    <w:rPr>
                      <w:sz w:val="21"/>
                      <w:szCs w:val="21"/>
                    </w:rPr>
                  </w:pPr>
                </w:p>
              </w:tc>
              <w:tc>
                <w:tcPr>
                  <w:tcW w:w="566" w:type="pct"/>
                  <w:vMerge w:val="continue"/>
                  <w:vAlign w:val="center"/>
                </w:tcPr>
                <w:p w14:paraId="54422272">
                  <w:pPr>
                    <w:pStyle w:val="154"/>
                    <w:rPr>
                      <w:sz w:val="21"/>
                      <w:szCs w:val="21"/>
                    </w:rPr>
                  </w:pPr>
                </w:p>
              </w:tc>
              <w:tc>
                <w:tcPr>
                  <w:tcW w:w="208" w:type="pct"/>
                  <w:vMerge w:val="continue"/>
                  <w:vAlign w:val="center"/>
                </w:tcPr>
                <w:p w14:paraId="60DD87A9">
                  <w:pPr>
                    <w:pStyle w:val="154"/>
                    <w:rPr>
                      <w:sz w:val="21"/>
                      <w:szCs w:val="21"/>
                    </w:rPr>
                  </w:pPr>
                </w:p>
              </w:tc>
              <w:tc>
                <w:tcPr>
                  <w:tcW w:w="572" w:type="pct"/>
                  <w:vMerge w:val="continue"/>
                  <w:vAlign w:val="center"/>
                </w:tcPr>
                <w:p w14:paraId="78F55AB6">
                  <w:pPr>
                    <w:pStyle w:val="154"/>
                    <w:rPr>
                      <w:sz w:val="21"/>
                      <w:szCs w:val="21"/>
                    </w:rPr>
                  </w:pPr>
                </w:p>
              </w:tc>
              <w:tc>
                <w:tcPr>
                  <w:tcW w:w="364" w:type="pct"/>
                  <w:vMerge w:val="continue"/>
                  <w:vAlign w:val="center"/>
                </w:tcPr>
                <w:p w14:paraId="715B920E">
                  <w:pPr>
                    <w:pStyle w:val="154"/>
                    <w:rPr>
                      <w:sz w:val="21"/>
                      <w:szCs w:val="21"/>
                    </w:rPr>
                  </w:pPr>
                </w:p>
              </w:tc>
              <w:tc>
                <w:tcPr>
                  <w:tcW w:w="415" w:type="pct"/>
                  <w:vMerge w:val="continue"/>
                  <w:vAlign w:val="center"/>
                </w:tcPr>
                <w:p w14:paraId="4C63AB87">
                  <w:pPr>
                    <w:pStyle w:val="154"/>
                    <w:rPr>
                      <w:sz w:val="21"/>
                      <w:szCs w:val="21"/>
                    </w:rPr>
                  </w:pPr>
                </w:p>
              </w:tc>
              <w:tc>
                <w:tcPr>
                  <w:tcW w:w="208" w:type="pct"/>
                  <w:vMerge w:val="continue"/>
                  <w:vAlign w:val="center"/>
                </w:tcPr>
                <w:p w14:paraId="10C04B54">
                  <w:pPr>
                    <w:pStyle w:val="154"/>
                    <w:rPr>
                      <w:sz w:val="21"/>
                      <w:szCs w:val="21"/>
                    </w:rPr>
                  </w:pPr>
                </w:p>
              </w:tc>
              <w:tc>
                <w:tcPr>
                  <w:tcW w:w="208" w:type="pct"/>
                  <w:vMerge w:val="continue"/>
                  <w:vAlign w:val="center"/>
                </w:tcPr>
                <w:p w14:paraId="7AFB3BC1">
                  <w:pPr>
                    <w:pStyle w:val="154"/>
                    <w:rPr>
                      <w:sz w:val="21"/>
                      <w:szCs w:val="21"/>
                    </w:rPr>
                  </w:pPr>
                </w:p>
              </w:tc>
              <w:tc>
                <w:tcPr>
                  <w:tcW w:w="260" w:type="pct"/>
                  <w:vMerge w:val="continue"/>
                  <w:vAlign w:val="center"/>
                </w:tcPr>
                <w:p w14:paraId="298631BB">
                  <w:pPr>
                    <w:pStyle w:val="154"/>
                    <w:rPr>
                      <w:sz w:val="21"/>
                      <w:szCs w:val="21"/>
                    </w:rPr>
                  </w:pPr>
                </w:p>
              </w:tc>
              <w:tc>
                <w:tcPr>
                  <w:tcW w:w="224" w:type="pct"/>
                  <w:tcBorders>
                    <w:top w:val="single" w:color="auto" w:sz="6" w:space="0"/>
                    <w:bottom w:val="single" w:color="auto" w:sz="6" w:space="0"/>
                  </w:tcBorders>
                  <w:vAlign w:val="center"/>
                </w:tcPr>
                <w:p w14:paraId="41CF2F0C">
                  <w:pPr>
                    <w:pStyle w:val="154"/>
                    <w:rPr>
                      <w:sz w:val="21"/>
                      <w:szCs w:val="21"/>
                    </w:rPr>
                  </w:pPr>
                  <w:r>
                    <w:rPr>
                      <w:sz w:val="21"/>
                      <w:szCs w:val="21"/>
                    </w:rPr>
                    <w:t>N</w:t>
                  </w:r>
                </w:p>
              </w:tc>
              <w:tc>
                <w:tcPr>
                  <w:tcW w:w="225" w:type="pct"/>
                  <w:tcBorders>
                    <w:top w:val="single" w:color="auto" w:sz="6" w:space="0"/>
                    <w:bottom w:val="single" w:color="auto" w:sz="6" w:space="0"/>
                  </w:tcBorders>
                  <w:vAlign w:val="center"/>
                </w:tcPr>
                <w:p w14:paraId="062F95FB">
                  <w:pPr>
                    <w:pStyle w:val="154"/>
                    <w:rPr>
                      <w:sz w:val="21"/>
                      <w:szCs w:val="21"/>
                    </w:rPr>
                  </w:pPr>
                  <w:r>
                    <w:rPr>
                      <w:rFonts w:hint="eastAsia"/>
                      <w:sz w:val="21"/>
                      <w:szCs w:val="21"/>
                    </w:rPr>
                    <w:t>24</w:t>
                  </w:r>
                </w:p>
              </w:tc>
              <w:tc>
                <w:tcPr>
                  <w:tcW w:w="309" w:type="pct"/>
                  <w:vAlign w:val="bottom"/>
                </w:tcPr>
                <w:p w14:paraId="5BB99A42">
                  <w:pPr>
                    <w:pStyle w:val="154"/>
                    <w:rPr>
                      <w:sz w:val="21"/>
                      <w:szCs w:val="21"/>
                    </w:rPr>
                  </w:pPr>
                  <w:r>
                    <w:rPr>
                      <w:rFonts w:hint="eastAsia"/>
                      <w:sz w:val="21"/>
                      <w:szCs w:val="21"/>
                    </w:rPr>
                    <w:t>52.40</w:t>
                  </w:r>
                </w:p>
              </w:tc>
              <w:tc>
                <w:tcPr>
                  <w:tcW w:w="258" w:type="pct"/>
                  <w:vMerge w:val="continue"/>
                  <w:vAlign w:val="center"/>
                </w:tcPr>
                <w:p w14:paraId="16A602A7">
                  <w:pPr>
                    <w:pStyle w:val="154"/>
                    <w:rPr>
                      <w:sz w:val="21"/>
                      <w:szCs w:val="21"/>
                    </w:rPr>
                  </w:pPr>
                </w:p>
              </w:tc>
              <w:tc>
                <w:tcPr>
                  <w:tcW w:w="258" w:type="pct"/>
                  <w:vAlign w:val="center"/>
                </w:tcPr>
                <w:p w14:paraId="51075574">
                  <w:pPr>
                    <w:pStyle w:val="154"/>
                    <w:rPr>
                      <w:sz w:val="21"/>
                      <w:szCs w:val="21"/>
                    </w:rPr>
                  </w:pPr>
                  <w:r>
                    <w:rPr>
                      <w:sz w:val="21"/>
                      <w:szCs w:val="21"/>
                    </w:rPr>
                    <w:t>20</w:t>
                  </w:r>
                </w:p>
              </w:tc>
              <w:tc>
                <w:tcPr>
                  <w:tcW w:w="257" w:type="pct"/>
                  <w:vAlign w:val="bottom"/>
                </w:tcPr>
                <w:p w14:paraId="4FFF3A1B">
                  <w:pPr>
                    <w:pStyle w:val="154"/>
                    <w:rPr>
                      <w:sz w:val="21"/>
                      <w:szCs w:val="21"/>
                    </w:rPr>
                  </w:pPr>
                  <w:r>
                    <w:rPr>
                      <w:rFonts w:hint="eastAsia"/>
                      <w:sz w:val="21"/>
                      <w:szCs w:val="21"/>
                    </w:rPr>
                    <w:t>32.40</w:t>
                  </w:r>
                </w:p>
              </w:tc>
              <w:tc>
                <w:tcPr>
                  <w:tcW w:w="251" w:type="pct"/>
                  <w:vAlign w:val="center"/>
                </w:tcPr>
                <w:p w14:paraId="7DF9379B">
                  <w:pPr>
                    <w:pStyle w:val="154"/>
                    <w:rPr>
                      <w:sz w:val="21"/>
                      <w:szCs w:val="21"/>
                    </w:rPr>
                  </w:pPr>
                  <w:r>
                    <w:rPr>
                      <w:sz w:val="21"/>
                      <w:szCs w:val="21"/>
                    </w:rPr>
                    <w:t>1</w:t>
                  </w:r>
                </w:p>
              </w:tc>
            </w:tr>
            <w:tr w14:paraId="5A748F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5A9A55F3">
                  <w:pPr>
                    <w:pStyle w:val="154"/>
                    <w:rPr>
                      <w:sz w:val="21"/>
                      <w:szCs w:val="21"/>
                    </w:rPr>
                  </w:pPr>
                  <w:r>
                    <w:rPr>
                      <w:rFonts w:hint="eastAsia"/>
                      <w:sz w:val="21"/>
                      <w:szCs w:val="21"/>
                    </w:rPr>
                    <w:t>4</w:t>
                  </w:r>
                </w:p>
              </w:tc>
              <w:tc>
                <w:tcPr>
                  <w:tcW w:w="257" w:type="pct"/>
                  <w:vMerge w:val="continue"/>
                  <w:vAlign w:val="center"/>
                </w:tcPr>
                <w:p w14:paraId="2057B0EB">
                  <w:pPr>
                    <w:pStyle w:val="154"/>
                    <w:rPr>
                      <w:sz w:val="21"/>
                      <w:szCs w:val="21"/>
                    </w:rPr>
                  </w:pPr>
                </w:p>
              </w:tc>
              <w:tc>
                <w:tcPr>
                  <w:tcW w:w="566" w:type="pct"/>
                  <w:vMerge w:val="restart"/>
                  <w:vAlign w:val="center"/>
                </w:tcPr>
                <w:p w14:paraId="67038327">
                  <w:pPr>
                    <w:pStyle w:val="154"/>
                    <w:rPr>
                      <w:sz w:val="21"/>
                      <w:szCs w:val="21"/>
                    </w:rPr>
                  </w:pPr>
                  <w:r>
                    <w:rPr>
                      <w:sz w:val="21"/>
                      <w:szCs w:val="21"/>
                    </w:rPr>
                    <w:t>注塑机1#</w:t>
                  </w:r>
                </w:p>
              </w:tc>
              <w:tc>
                <w:tcPr>
                  <w:tcW w:w="208" w:type="pct"/>
                  <w:vMerge w:val="restart"/>
                  <w:vAlign w:val="center"/>
                </w:tcPr>
                <w:p w14:paraId="03140605">
                  <w:pPr>
                    <w:pStyle w:val="154"/>
                    <w:rPr>
                      <w:sz w:val="21"/>
                      <w:szCs w:val="21"/>
                    </w:rPr>
                  </w:pPr>
                  <w:r>
                    <w:rPr>
                      <w:sz w:val="21"/>
                      <w:szCs w:val="21"/>
                    </w:rPr>
                    <w:t>/</w:t>
                  </w:r>
                </w:p>
              </w:tc>
              <w:tc>
                <w:tcPr>
                  <w:tcW w:w="572" w:type="pct"/>
                  <w:vMerge w:val="restart"/>
                  <w:vAlign w:val="center"/>
                </w:tcPr>
                <w:p w14:paraId="283F1290">
                  <w:pPr>
                    <w:pStyle w:val="154"/>
                    <w:rPr>
                      <w:sz w:val="21"/>
                      <w:szCs w:val="21"/>
                    </w:rPr>
                  </w:pPr>
                  <w:r>
                    <w:rPr>
                      <w:sz w:val="21"/>
                      <w:szCs w:val="21"/>
                    </w:rPr>
                    <w:t>/</w:t>
                  </w:r>
                </w:p>
              </w:tc>
              <w:tc>
                <w:tcPr>
                  <w:tcW w:w="364" w:type="pct"/>
                  <w:vMerge w:val="restart"/>
                  <w:vAlign w:val="center"/>
                </w:tcPr>
                <w:p w14:paraId="2BCB54E0">
                  <w:pPr>
                    <w:pStyle w:val="154"/>
                    <w:rPr>
                      <w:sz w:val="21"/>
                      <w:szCs w:val="21"/>
                    </w:rPr>
                  </w:pPr>
                  <w:r>
                    <w:rPr>
                      <w:sz w:val="21"/>
                      <w:szCs w:val="21"/>
                    </w:rPr>
                    <w:t>75</w:t>
                  </w:r>
                </w:p>
              </w:tc>
              <w:tc>
                <w:tcPr>
                  <w:tcW w:w="415" w:type="pct"/>
                  <w:vMerge w:val="continue"/>
                  <w:vAlign w:val="center"/>
                </w:tcPr>
                <w:p w14:paraId="15902DD7">
                  <w:pPr>
                    <w:pStyle w:val="154"/>
                    <w:rPr>
                      <w:sz w:val="21"/>
                      <w:szCs w:val="21"/>
                    </w:rPr>
                  </w:pPr>
                </w:p>
              </w:tc>
              <w:tc>
                <w:tcPr>
                  <w:tcW w:w="208" w:type="pct"/>
                  <w:vMerge w:val="restart"/>
                  <w:vAlign w:val="center"/>
                </w:tcPr>
                <w:p w14:paraId="0C730CC8">
                  <w:pPr>
                    <w:pStyle w:val="154"/>
                    <w:rPr>
                      <w:sz w:val="21"/>
                      <w:szCs w:val="21"/>
                    </w:rPr>
                  </w:pPr>
                  <w:r>
                    <w:rPr>
                      <w:rFonts w:hint="eastAsia"/>
                      <w:sz w:val="21"/>
                      <w:szCs w:val="21"/>
                    </w:rPr>
                    <w:t>25</w:t>
                  </w:r>
                </w:p>
              </w:tc>
              <w:tc>
                <w:tcPr>
                  <w:tcW w:w="208" w:type="pct"/>
                  <w:vMerge w:val="restart"/>
                  <w:vAlign w:val="center"/>
                </w:tcPr>
                <w:p w14:paraId="7FA5B49B">
                  <w:pPr>
                    <w:pStyle w:val="154"/>
                    <w:rPr>
                      <w:sz w:val="21"/>
                      <w:szCs w:val="21"/>
                    </w:rPr>
                  </w:pPr>
                  <w:r>
                    <w:rPr>
                      <w:rFonts w:hint="eastAsia"/>
                      <w:sz w:val="21"/>
                      <w:szCs w:val="21"/>
                    </w:rPr>
                    <w:t>3</w:t>
                  </w:r>
                </w:p>
              </w:tc>
              <w:tc>
                <w:tcPr>
                  <w:tcW w:w="260" w:type="pct"/>
                  <w:vMerge w:val="restart"/>
                  <w:vAlign w:val="center"/>
                </w:tcPr>
                <w:p w14:paraId="5A1BA055">
                  <w:pPr>
                    <w:pStyle w:val="154"/>
                    <w:rPr>
                      <w:sz w:val="21"/>
                      <w:szCs w:val="21"/>
                    </w:rPr>
                  </w:pPr>
                  <w:r>
                    <w:rPr>
                      <w:sz w:val="21"/>
                      <w:szCs w:val="21"/>
                    </w:rPr>
                    <w:t>1</w:t>
                  </w:r>
                </w:p>
              </w:tc>
              <w:tc>
                <w:tcPr>
                  <w:tcW w:w="224" w:type="pct"/>
                  <w:vAlign w:val="center"/>
                </w:tcPr>
                <w:p w14:paraId="4E539138">
                  <w:pPr>
                    <w:pStyle w:val="154"/>
                    <w:rPr>
                      <w:sz w:val="21"/>
                      <w:szCs w:val="21"/>
                    </w:rPr>
                  </w:pPr>
                  <w:r>
                    <w:rPr>
                      <w:sz w:val="21"/>
                      <w:szCs w:val="21"/>
                    </w:rPr>
                    <w:t>E</w:t>
                  </w:r>
                </w:p>
              </w:tc>
              <w:tc>
                <w:tcPr>
                  <w:tcW w:w="225" w:type="pct"/>
                  <w:vAlign w:val="center"/>
                </w:tcPr>
                <w:p w14:paraId="56155E3F">
                  <w:pPr>
                    <w:pStyle w:val="154"/>
                    <w:rPr>
                      <w:sz w:val="21"/>
                      <w:szCs w:val="21"/>
                    </w:rPr>
                  </w:pPr>
                  <w:r>
                    <w:rPr>
                      <w:rFonts w:hint="eastAsia"/>
                      <w:sz w:val="21"/>
                      <w:szCs w:val="21"/>
                    </w:rPr>
                    <w:t>10</w:t>
                  </w:r>
                </w:p>
              </w:tc>
              <w:tc>
                <w:tcPr>
                  <w:tcW w:w="309" w:type="pct"/>
                  <w:vAlign w:val="bottom"/>
                </w:tcPr>
                <w:p w14:paraId="30A2C475">
                  <w:pPr>
                    <w:pStyle w:val="154"/>
                    <w:rPr>
                      <w:sz w:val="21"/>
                      <w:szCs w:val="21"/>
                    </w:rPr>
                  </w:pPr>
                  <w:r>
                    <w:rPr>
                      <w:rFonts w:hint="eastAsia"/>
                      <w:sz w:val="21"/>
                      <w:szCs w:val="21"/>
                    </w:rPr>
                    <w:t>55.00</w:t>
                  </w:r>
                </w:p>
              </w:tc>
              <w:tc>
                <w:tcPr>
                  <w:tcW w:w="258" w:type="pct"/>
                  <w:vMerge w:val="restart"/>
                  <w:vAlign w:val="center"/>
                </w:tcPr>
                <w:p w14:paraId="473B0324">
                  <w:pPr>
                    <w:pStyle w:val="154"/>
                    <w:rPr>
                      <w:sz w:val="21"/>
                      <w:szCs w:val="21"/>
                    </w:rPr>
                  </w:pPr>
                  <w:r>
                    <w:rPr>
                      <w:rFonts w:hint="eastAsia"/>
                      <w:sz w:val="21"/>
                      <w:szCs w:val="21"/>
                    </w:rPr>
                    <w:t>昼间</w:t>
                  </w:r>
                </w:p>
              </w:tc>
              <w:tc>
                <w:tcPr>
                  <w:tcW w:w="258" w:type="pct"/>
                  <w:vAlign w:val="center"/>
                </w:tcPr>
                <w:p w14:paraId="1FE68E9A">
                  <w:pPr>
                    <w:pStyle w:val="154"/>
                    <w:rPr>
                      <w:sz w:val="21"/>
                      <w:szCs w:val="21"/>
                    </w:rPr>
                  </w:pPr>
                  <w:r>
                    <w:rPr>
                      <w:sz w:val="21"/>
                      <w:szCs w:val="21"/>
                    </w:rPr>
                    <w:t>20</w:t>
                  </w:r>
                </w:p>
              </w:tc>
              <w:tc>
                <w:tcPr>
                  <w:tcW w:w="257" w:type="pct"/>
                  <w:vAlign w:val="bottom"/>
                </w:tcPr>
                <w:p w14:paraId="4ED44C88">
                  <w:pPr>
                    <w:pStyle w:val="154"/>
                    <w:rPr>
                      <w:sz w:val="21"/>
                      <w:szCs w:val="21"/>
                    </w:rPr>
                  </w:pPr>
                  <w:r>
                    <w:rPr>
                      <w:rFonts w:hint="eastAsia"/>
                      <w:sz w:val="21"/>
                      <w:szCs w:val="21"/>
                    </w:rPr>
                    <w:t>35.00</w:t>
                  </w:r>
                </w:p>
              </w:tc>
              <w:tc>
                <w:tcPr>
                  <w:tcW w:w="251" w:type="pct"/>
                  <w:vAlign w:val="center"/>
                </w:tcPr>
                <w:p w14:paraId="18193915">
                  <w:pPr>
                    <w:pStyle w:val="154"/>
                    <w:rPr>
                      <w:sz w:val="21"/>
                      <w:szCs w:val="21"/>
                    </w:rPr>
                  </w:pPr>
                  <w:r>
                    <w:rPr>
                      <w:sz w:val="21"/>
                      <w:szCs w:val="21"/>
                    </w:rPr>
                    <w:t>1</w:t>
                  </w:r>
                </w:p>
              </w:tc>
            </w:tr>
            <w:tr w14:paraId="0C1108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0B489CC5">
                  <w:pPr>
                    <w:pStyle w:val="154"/>
                    <w:rPr>
                      <w:sz w:val="21"/>
                      <w:szCs w:val="21"/>
                    </w:rPr>
                  </w:pPr>
                </w:p>
              </w:tc>
              <w:tc>
                <w:tcPr>
                  <w:tcW w:w="257" w:type="pct"/>
                  <w:vMerge w:val="continue"/>
                  <w:vAlign w:val="center"/>
                </w:tcPr>
                <w:p w14:paraId="259D237F">
                  <w:pPr>
                    <w:pStyle w:val="154"/>
                    <w:rPr>
                      <w:sz w:val="21"/>
                      <w:szCs w:val="21"/>
                    </w:rPr>
                  </w:pPr>
                </w:p>
              </w:tc>
              <w:tc>
                <w:tcPr>
                  <w:tcW w:w="566" w:type="pct"/>
                  <w:vMerge w:val="continue"/>
                  <w:vAlign w:val="center"/>
                </w:tcPr>
                <w:p w14:paraId="319B04CF">
                  <w:pPr>
                    <w:pStyle w:val="154"/>
                    <w:rPr>
                      <w:sz w:val="21"/>
                      <w:szCs w:val="21"/>
                    </w:rPr>
                  </w:pPr>
                </w:p>
              </w:tc>
              <w:tc>
                <w:tcPr>
                  <w:tcW w:w="208" w:type="pct"/>
                  <w:vMerge w:val="continue"/>
                  <w:vAlign w:val="center"/>
                </w:tcPr>
                <w:p w14:paraId="70F433B5">
                  <w:pPr>
                    <w:pStyle w:val="154"/>
                    <w:rPr>
                      <w:sz w:val="21"/>
                      <w:szCs w:val="21"/>
                    </w:rPr>
                  </w:pPr>
                </w:p>
              </w:tc>
              <w:tc>
                <w:tcPr>
                  <w:tcW w:w="572" w:type="pct"/>
                  <w:vMerge w:val="continue"/>
                  <w:vAlign w:val="center"/>
                </w:tcPr>
                <w:p w14:paraId="46300771">
                  <w:pPr>
                    <w:pStyle w:val="154"/>
                    <w:rPr>
                      <w:sz w:val="21"/>
                      <w:szCs w:val="21"/>
                    </w:rPr>
                  </w:pPr>
                </w:p>
              </w:tc>
              <w:tc>
                <w:tcPr>
                  <w:tcW w:w="364" w:type="pct"/>
                  <w:vMerge w:val="continue"/>
                  <w:vAlign w:val="center"/>
                </w:tcPr>
                <w:p w14:paraId="4B526843">
                  <w:pPr>
                    <w:pStyle w:val="154"/>
                    <w:rPr>
                      <w:sz w:val="21"/>
                      <w:szCs w:val="21"/>
                    </w:rPr>
                  </w:pPr>
                </w:p>
              </w:tc>
              <w:tc>
                <w:tcPr>
                  <w:tcW w:w="415" w:type="pct"/>
                  <w:vMerge w:val="continue"/>
                  <w:vAlign w:val="center"/>
                </w:tcPr>
                <w:p w14:paraId="41939DC6">
                  <w:pPr>
                    <w:pStyle w:val="154"/>
                    <w:rPr>
                      <w:sz w:val="21"/>
                      <w:szCs w:val="21"/>
                    </w:rPr>
                  </w:pPr>
                </w:p>
              </w:tc>
              <w:tc>
                <w:tcPr>
                  <w:tcW w:w="208" w:type="pct"/>
                  <w:vMerge w:val="continue"/>
                  <w:vAlign w:val="center"/>
                </w:tcPr>
                <w:p w14:paraId="43D1EEBA">
                  <w:pPr>
                    <w:pStyle w:val="154"/>
                    <w:rPr>
                      <w:sz w:val="21"/>
                      <w:szCs w:val="21"/>
                    </w:rPr>
                  </w:pPr>
                </w:p>
              </w:tc>
              <w:tc>
                <w:tcPr>
                  <w:tcW w:w="208" w:type="pct"/>
                  <w:vMerge w:val="continue"/>
                  <w:vAlign w:val="center"/>
                </w:tcPr>
                <w:p w14:paraId="729527C7">
                  <w:pPr>
                    <w:pStyle w:val="154"/>
                    <w:rPr>
                      <w:sz w:val="21"/>
                      <w:szCs w:val="21"/>
                    </w:rPr>
                  </w:pPr>
                </w:p>
              </w:tc>
              <w:tc>
                <w:tcPr>
                  <w:tcW w:w="260" w:type="pct"/>
                  <w:vMerge w:val="continue"/>
                  <w:vAlign w:val="center"/>
                </w:tcPr>
                <w:p w14:paraId="077FFD70">
                  <w:pPr>
                    <w:pStyle w:val="154"/>
                    <w:rPr>
                      <w:sz w:val="21"/>
                      <w:szCs w:val="21"/>
                    </w:rPr>
                  </w:pPr>
                </w:p>
              </w:tc>
              <w:tc>
                <w:tcPr>
                  <w:tcW w:w="224" w:type="pct"/>
                  <w:vAlign w:val="center"/>
                </w:tcPr>
                <w:p w14:paraId="19748D8B">
                  <w:pPr>
                    <w:pStyle w:val="154"/>
                    <w:rPr>
                      <w:sz w:val="21"/>
                      <w:szCs w:val="21"/>
                    </w:rPr>
                  </w:pPr>
                  <w:r>
                    <w:rPr>
                      <w:rFonts w:hint="eastAsia"/>
                      <w:sz w:val="21"/>
                      <w:szCs w:val="21"/>
                    </w:rPr>
                    <w:t>W</w:t>
                  </w:r>
                </w:p>
              </w:tc>
              <w:tc>
                <w:tcPr>
                  <w:tcW w:w="225" w:type="pct"/>
                  <w:vAlign w:val="center"/>
                </w:tcPr>
                <w:p w14:paraId="7DE106D1">
                  <w:pPr>
                    <w:pStyle w:val="154"/>
                    <w:rPr>
                      <w:sz w:val="21"/>
                      <w:szCs w:val="21"/>
                    </w:rPr>
                  </w:pPr>
                  <w:r>
                    <w:rPr>
                      <w:rFonts w:hint="eastAsia"/>
                      <w:sz w:val="21"/>
                      <w:szCs w:val="21"/>
                    </w:rPr>
                    <w:t>25</w:t>
                  </w:r>
                </w:p>
              </w:tc>
              <w:tc>
                <w:tcPr>
                  <w:tcW w:w="309" w:type="pct"/>
                  <w:vAlign w:val="bottom"/>
                </w:tcPr>
                <w:p w14:paraId="0B539FE8">
                  <w:pPr>
                    <w:pStyle w:val="154"/>
                    <w:rPr>
                      <w:sz w:val="21"/>
                      <w:szCs w:val="21"/>
                    </w:rPr>
                  </w:pPr>
                  <w:r>
                    <w:rPr>
                      <w:rFonts w:hint="eastAsia"/>
                      <w:sz w:val="21"/>
                      <w:szCs w:val="21"/>
                    </w:rPr>
                    <w:t>47.04</w:t>
                  </w:r>
                </w:p>
              </w:tc>
              <w:tc>
                <w:tcPr>
                  <w:tcW w:w="258" w:type="pct"/>
                  <w:vMerge w:val="continue"/>
                  <w:vAlign w:val="center"/>
                </w:tcPr>
                <w:p w14:paraId="5B330B0A">
                  <w:pPr>
                    <w:pStyle w:val="154"/>
                    <w:rPr>
                      <w:sz w:val="21"/>
                      <w:szCs w:val="21"/>
                    </w:rPr>
                  </w:pPr>
                </w:p>
              </w:tc>
              <w:tc>
                <w:tcPr>
                  <w:tcW w:w="258" w:type="pct"/>
                  <w:vAlign w:val="center"/>
                </w:tcPr>
                <w:p w14:paraId="72558FF7">
                  <w:pPr>
                    <w:pStyle w:val="154"/>
                    <w:rPr>
                      <w:sz w:val="21"/>
                      <w:szCs w:val="21"/>
                    </w:rPr>
                  </w:pPr>
                  <w:r>
                    <w:rPr>
                      <w:sz w:val="21"/>
                      <w:szCs w:val="21"/>
                    </w:rPr>
                    <w:t>20</w:t>
                  </w:r>
                </w:p>
              </w:tc>
              <w:tc>
                <w:tcPr>
                  <w:tcW w:w="257" w:type="pct"/>
                  <w:vAlign w:val="bottom"/>
                </w:tcPr>
                <w:p w14:paraId="50462CB8">
                  <w:pPr>
                    <w:pStyle w:val="154"/>
                    <w:rPr>
                      <w:sz w:val="21"/>
                      <w:szCs w:val="21"/>
                    </w:rPr>
                  </w:pPr>
                  <w:r>
                    <w:rPr>
                      <w:rFonts w:hint="eastAsia"/>
                      <w:sz w:val="21"/>
                      <w:szCs w:val="21"/>
                    </w:rPr>
                    <w:t>27.04</w:t>
                  </w:r>
                </w:p>
              </w:tc>
              <w:tc>
                <w:tcPr>
                  <w:tcW w:w="251" w:type="pct"/>
                  <w:vAlign w:val="center"/>
                </w:tcPr>
                <w:p w14:paraId="02043820">
                  <w:pPr>
                    <w:pStyle w:val="154"/>
                    <w:rPr>
                      <w:sz w:val="21"/>
                      <w:szCs w:val="21"/>
                    </w:rPr>
                  </w:pPr>
                  <w:r>
                    <w:rPr>
                      <w:sz w:val="21"/>
                      <w:szCs w:val="21"/>
                    </w:rPr>
                    <w:t>1</w:t>
                  </w:r>
                </w:p>
              </w:tc>
            </w:tr>
            <w:tr w14:paraId="1784EE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667B0A46">
                  <w:pPr>
                    <w:pStyle w:val="154"/>
                    <w:rPr>
                      <w:sz w:val="21"/>
                      <w:szCs w:val="21"/>
                    </w:rPr>
                  </w:pPr>
                </w:p>
              </w:tc>
              <w:tc>
                <w:tcPr>
                  <w:tcW w:w="257" w:type="pct"/>
                  <w:vMerge w:val="continue"/>
                  <w:vAlign w:val="center"/>
                </w:tcPr>
                <w:p w14:paraId="069F9913">
                  <w:pPr>
                    <w:pStyle w:val="154"/>
                    <w:rPr>
                      <w:sz w:val="21"/>
                      <w:szCs w:val="21"/>
                    </w:rPr>
                  </w:pPr>
                </w:p>
              </w:tc>
              <w:tc>
                <w:tcPr>
                  <w:tcW w:w="566" w:type="pct"/>
                  <w:vMerge w:val="continue"/>
                  <w:vAlign w:val="center"/>
                </w:tcPr>
                <w:p w14:paraId="5FEFF6FC">
                  <w:pPr>
                    <w:pStyle w:val="154"/>
                    <w:rPr>
                      <w:sz w:val="21"/>
                      <w:szCs w:val="21"/>
                    </w:rPr>
                  </w:pPr>
                </w:p>
              </w:tc>
              <w:tc>
                <w:tcPr>
                  <w:tcW w:w="208" w:type="pct"/>
                  <w:vMerge w:val="continue"/>
                  <w:vAlign w:val="center"/>
                </w:tcPr>
                <w:p w14:paraId="2E9BA30E">
                  <w:pPr>
                    <w:pStyle w:val="154"/>
                    <w:rPr>
                      <w:sz w:val="21"/>
                      <w:szCs w:val="21"/>
                    </w:rPr>
                  </w:pPr>
                </w:p>
              </w:tc>
              <w:tc>
                <w:tcPr>
                  <w:tcW w:w="572" w:type="pct"/>
                  <w:vMerge w:val="continue"/>
                  <w:vAlign w:val="center"/>
                </w:tcPr>
                <w:p w14:paraId="38C1C3C3">
                  <w:pPr>
                    <w:pStyle w:val="154"/>
                    <w:rPr>
                      <w:sz w:val="21"/>
                      <w:szCs w:val="21"/>
                    </w:rPr>
                  </w:pPr>
                </w:p>
              </w:tc>
              <w:tc>
                <w:tcPr>
                  <w:tcW w:w="364" w:type="pct"/>
                  <w:vMerge w:val="continue"/>
                  <w:vAlign w:val="center"/>
                </w:tcPr>
                <w:p w14:paraId="586614C7">
                  <w:pPr>
                    <w:pStyle w:val="154"/>
                    <w:rPr>
                      <w:sz w:val="21"/>
                      <w:szCs w:val="21"/>
                    </w:rPr>
                  </w:pPr>
                </w:p>
              </w:tc>
              <w:tc>
                <w:tcPr>
                  <w:tcW w:w="415" w:type="pct"/>
                  <w:vMerge w:val="continue"/>
                  <w:vAlign w:val="center"/>
                </w:tcPr>
                <w:p w14:paraId="6AF54C72">
                  <w:pPr>
                    <w:pStyle w:val="154"/>
                    <w:rPr>
                      <w:sz w:val="21"/>
                      <w:szCs w:val="21"/>
                    </w:rPr>
                  </w:pPr>
                </w:p>
              </w:tc>
              <w:tc>
                <w:tcPr>
                  <w:tcW w:w="208" w:type="pct"/>
                  <w:vMerge w:val="continue"/>
                  <w:vAlign w:val="center"/>
                </w:tcPr>
                <w:p w14:paraId="61A7B7AA">
                  <w:pPr>
                    <w:pStyle w:val="154"/>
                    <w:rPr>
                      <w:sz w:val="21"/>
                      <w:szCs w:val="21"/>
                    </w:rPr>
                  </w:pPr>
                </w:p>
              </w:tc>
              <w:tc>
                <w:tcPr>
                  <w:tcW w:w="208" w:type="pct"/>
                  <w:vMerge w:val="continue"/>
                  <w:vAlign w:val="center"/>
                </w:tcPr>
                <w:p w14:paraId="17ED5AD3">
                  <w:pPr>
                    <w:pStyle w:val="154"/>
                    <w:rPr>
                      <w:sz w:val="21"/>
                      <w:szCs w:val="21"/>
                    </w:rPr>
                  </w:pPr>
                </w:p>
              </w:tc>
              <w:tc>
                <w:tcPr>
                  <w:tcW w:w="260" w:type="pct"/>
                  <w:vMerge w:val="continue"/>
                  <w:vAlign w:val="center"/>
                </w:tcPr>
                <w:p w14:paraId="7C373A00">
                  <w:pPr>
                    <w:pStyle w:val="154"/>
                    <w:rPr>
                      <w:sz w:val="21"/>
                      <w:szCs w:val="21"/>
                    </w:rPr>
                  </w:pPr>
                </w:p>
              </w:tc>
              <w:tc>
                <w:tcPr>
                  <w:tcW w:w="224" w:type="pct"/>
                  <w:vAlign w:val="center"/>
                </w:tcPr>
                <w:p w14:paraId="34989D5C">
                  <w:pPr>
                    <w:pStyle w:val="154"/>
                    <w:rPr>
                      <w:sz w:val="21"/>
                      <w:szCs w:val="21"/>
                    </w:rPr>
                  </w:pPr>
                  <w:r>
                    <w:rPr>
                      <w:sz w:val="21"/>
                      <w:szCs w:val="21"/>
                    </w:rPr>
                    <w:t>S</w:t>
                  </w:r>
                </w:p>
              </w:tc>
              <w:tc>
                <w:tcPr>
                  <w:tcW w:w="225" w:type="pct"/>
                  <w:vAlign w:val="center"/>
                </w:tcPr>
                <w:p w14:paraId="70B04273">
                  <w:pPr>
                    <w:pStyle w:val="154"/>
                    <w:rPr>
                      <w:sz w:val="21"/>
                      <w:szCs w:val="21"/>
                    </w:rPr>
                  </w:pPr>
                  <w:r>
                    <w:rPr>
                      <w:rFonts w:hint="eastAsia"/>
                      <w:sz w:val="21"/>
                      <w:szCs w:val="21"/>
                    </w:rPr>
                    <w:t>3</w:t>
                  </w:r>
                </w:p>
              </w:tc>
              <w:tc>
                <w:tcPr>
                  <w:tcW w:w="309" w:type="pct"/>
                  <w:vAlign w:val="bottom"/>
                </w:tcPr>
                <w:p w14:paraId="3AE01B65">
                  <w:pPr>
                    <w:pStyle w:val="154"/>
                    <w:rPr>
                      <w:sz w:val="21"/>
                      <w:szCs w:val="21"/>
                    </w:rPr>
                  </w:pPr>
                  <w:r>
                    <w:rPr>
                      <w:rFonts w:hint="eastAsia"/>
                      <w:sz w:val="21"/>
                      <w:szCs w:val="21"/>
                    </w:rPr>
                    <w:t>65.46</w:t>
                  </w:r>
                </w:p>
              </w:tc>
              <w:tc>
                <w:tcPr>
                  <w:tcW w:w="258" w:type="pct"/>
                  <w:vMerge w:val="continue"/>
                  <w:vAlign w:val="center"/>
                </w:tcPr>
                <w:p w14:paraId="0C8A3A19">
                  <w:pPr>
                    <w:pStyle w:val="154"/>
                    <w:rPr>
                      <w:sz w:val="21"/>
                      <w:szCs w:val="21"/>
                    </w:rPr>
                  </w:pPr>
                </w:p>
              </w:tc>
              <w:tc>
                <w:tcPr>
                  <w:tcW w:w="258" w:type="pct"/>
                  <w:vAlign w:val="center"/>
                </w:tcPr>
                <w:p w14:paraId="4B0C5531">
                  <w:pPr>
                    <w:pStyle w:val="154"/>
                    <w:rPr>
                      <w:sz w:val="21"/>
                      <w:szCs w:val="21"/>
                    </w:rPr>
                  </w:pPr>
                  <w:r>
                    <w:rPr>
                      <w:sz w:val="21"/>
                      <w:szCs w:val="21"/>
                    </w:rPr>
                    <w:t>20</w:t>
                  </w:r>
                </w:p>
              </w:tc>
              <w:tc>
                <w:tcPr>
                  <w:tcW w:w="257" w:type="pct"/>
                  <w:vAlign w:val="bottom"/>
                </w:tcPr>
                <w:p w14:paraId="27C46599">
                  <w:pPr>
                    <w:pStyle w:val="154"/>
                    <w:rPr>
                      <w:sz w:val="21"/>
                      <w:szCs w:val="21"/>
                    </w:rPr>
                  </w:pPr>
                  <w:r>
                    <w:rPr>
                      <w:rFonts w:hint="eastAsia"/>
                      <w:sz w:val="21"/>
                      <w:szCs w:val="21"/>
                    </w:rPr>
                    <w:t>45.46</w:t>
                  </w:r>
                </w:p>
              </w:tc>
              <w:tc>
                <w:tcPr>
                  <w:tcW w:w="251" w:type="pct"/>
                  <w:vAlign w:val="center"/>
                </w:tcPr>
                <w:p w14:paraId="0D6C5AEA">
                  <w:pPr>
                    <w:pStyle w:val="154"/>
                    <w:rPr>
                      <w:sz w:val="21"/>
                      <w:szCs w:val="21"/>
                    </w:rPr>
                  </w:pPr>
                  <w:r>
                    <w:rPr>
                      <w:sz w:val="21"/>
                      <w:szCs w:val="21"/>
                    </w:rPr>
                    <w:t>1</w:t>
                  </w:r>
                </w:p>
              </w:tc>
            </w:tr>
            <w:tr w14:paraId="01D040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tcBorders>
                    <w:bottom w:val="single" w:color="000000" w:sz="6" w:space="0"/>
                  </w:tcBorders>
                  <w:vAlign w:val="center"/>
                </w:tcPr>
                <w:p w14:paraId="4529B6A2">
                  <w:pPr>
                    <w:pStyle w:val="154"/>
                    <w:rPr>
                      <w:sz w:val="21"/>
                      <w:szCs w:val="21"/>
                    </w:rPr>
                  </w:pPr>
                </w:p>
              </w:tc>
              <w:tc>
                <w:tcPr>
                  <w:tcW w:w="257" w:type="pct"/>
                  <w:vMerge w:val="continue"/>
                  <w:vAlign w:val="center"/>
                </w:tcPr>
                <w:p w14:paraId="05A123C6">
                  <w:pPr>
                    <w:pStyle w:val="154"/>
                    <w:rPr>
                      <w:sz w:val="21"/>
                      <w:szCs w:val="21"/>
                    </w:rPr>
                  </w:pPr>
                </w:p>
              </w:tc>
              <w:tc>
                <w:tcPr>
                  <w:tcW w:w="566" w:type="pct"/>
                  <w:vMerge w:val="continue"/>
                  <w:tcBorders>
                    <w:bottom w:val="single" w:color="000000" w:sz="6" w:space="0"/>
                  </w:tcBorders>
                  <w:vAlign w:val="center"/>
                </w:tcPr>
                <w:p w14:paraId="3DFB88A8">
                  <w:pPr>
                    <w:pStyle w:val="154"/>
                    <w:rPr>
                      <w:sz w:val="21"/>
                      <w:szCs w:val="21"/>
                    </w:rPr>
                  </w:pPr>
                </w:p>
              </w:tc>
              <w:tc>
                <w:tcPr>
                  <w:tcW w:w="208" w:type="pct"/>
                  <w:vMerge w:val="continue"/>
                  <w:tcBorders>
                    <w:bottom w:val="single" w:color="000000" w:sz="6" w:space="0"/>
                  </w:tcBorders>
                  <w:vAlign w:val="center"/>
                </w:tcPr>
                <w:p w14:paraId="757C7E80">
                  <w:pPr>
                    <w:pStyle w:val="154"/>
                    <w:rPr>
                      <w:sz w:val="21"/>
                      <w:szCs w:val="21"/>
                    </w:rPr>
                  </w:pPr>
                </w:p>
              </w:tc>
              <w:tc>
                <w:tcPr>
                  <w:tcW w:w="572" w:type="pct"/>
                  <w:vMerge w:val="continue"/>
                  <w:tcBorders>
                    <w:bottom w:val="single" w:color="000000" w:sz="6" w:space="0"/>
                  </w:tcBorders>
                  <w:vAlign w:val="center"/>
                </w:tcPr>
                <w:p w14:paraId="258832D5">
                  <w:pPr>
                    <w:pStyle w:val="154"/>
                    <w:rPr>
                      <w:sz w:val="21"/>
                      <w:szCs w:val="21"/>
                    </w:rPr>
                  </w:pPr>
                </w:p>
              </w:tc>
              <w:tc>
                <w:tcPr>
                  <w:tcW w:w="364" w:type="pct"/>
                  <w:vMerge w:val="continue"/>
                  <w:tcBorders>
                    <w:bottom w:val="single" w:color="000000" w:sz="6" w:space="0"/>
                  </w:tcBorders>
                  <w:vAlign w:val="center"/>
                </w:tcPr>
                <w:p w14:paraId="32221A82">
                  <w:pPr>
                    <w:pStyle w:val="154"/>
                    <w:rPr>
                      <w:sz w:val="21"/>
                      <w:szCs w:val="21"/>
                    </w:rPr>
                  </w:pPr>
                </w:p>
              </w:tc>
              <w:tc>
                <w:tcPr>
                  <w:tcW w:w="415" w:type="pct"/>
                  <w:vMerge w:val="continue"/>
                  <w:vAlign w:val="center"/>
                </w:tcPr>
                <w:p w14:paraId="2436214F">
                  <w:pPr>
                    <w:pStyle w:val="154"/>
                    <w:rPr>
                      <w:sz w:val="21"/>
                      <w:szCs w:val="21"/>
                    </w:rPr>
                  </w:pPr>
                </w:p>
              </w:tc>
              <w:tc>
                <w:tcPr>
                  <w:tcW w:w="208" w:type="pct"/>
                  <w:vMerge w:val="continue"/>
                  <w:tcBorders>
                    <w:bottom w:val="single" w:color="000000" w:sz="6" w:space="0"/>
                  </w:tcBorders>
                  <w:vAlign w:val="center"/>
                </w:tcPr>
                <w:p w14:paraId="66505C3D">
                  <w:pPr>
                    <w:pStyle w:val="154"/>
                    <w:rPr>
                      <w:sz w:val="21"/>
                      <w:szCs w:val="21"/>
                    </w:rPr>
                  </w:pPr>
                </w:p>
              </w:tc>
              <w:tc>
                <w:tcPr>
                  <w:tcW w:w="208" w:type="pct"/>
                  <w:vMerge w:val="continue"/>
                  <w:tcBorders>
                    <w:bottom w:val="single" w:color="000000" w:sz="6" w:space="0"/>
                  </w:tcBorders>
                  <w:vAlign w:val="center"/>
                </w:tcPr>
                <w:p w14:paraId="45CAA798">
                  <w:pPr>
                    <w:pStyle w:val="154"/>
                    <w:rPr>
                      <w:sz w:val="21"/>
                      <w:szCs w:val="21"/>
                    </w:rPr>
                  </w:pPr>
                </w:p>
              </w:tc>
              <w:tc>
                <w:tcPr>
                  <w:tcW w:w="260" w:type="pct"/>
                  <w:vMerge w:val="continue"/>
                  <w:tcBorders>
                    <w:bottom w:val="single" w:color="000000" w:sz="6" w:space="0"/>
                  </w:tcBorders>
                  <w:vAlign w:val="center"/>
                </w:tcPr>
                <w:p w14:paraId="07B26680">
                  <w:pPr>
                    <w:pStyle w:val="154"/>
                    <w:rPr>
                      <w:sz w:val="21"/>
                      <w:szCs w:val="21"/>
                    </w:rPr>
                  </w:pPr>
                </w:p>
              </w:tc>
              <w:tc>
                <w:tcPr>
                  <w:tcW w:w="224" w:type="pct"/>
                  <w:tcBorders>
                    <w:bottom w:val="single" w:color="000000" w:sz="6" w:space="0"/>
                  </w:tcBorders>
                  <w:vAlign w:val="center"/>
                </w:tcPr>
                <w:p w14:paraId="3BBBEE8A">
                  <w:pPr>
                    <w:pStyle w:val="154"/>
                    <w:rPr>
                      <w:sz w:val="21"/>
                      <w:szCs w:val="21"/>
                    </w:rPr>
                  </w:pPr>
                  <w:r>
                    <w:rPr>
                      <w:sz w:val="21"/>
                      <w:szCs w:val="21"/>
                    </w:rPr>
                    <w:t>N</w:t>
                  </w:r>
                </w:p>
              </w:tc>
              <w:tc>
                <w:tcPr>
                  <w:tcW w:w="225" w:type="pct"/>
                  <w:tcBorders>
                    <w:bottom w:val="single" w:color="000000" w:sz="6" w:space="0"/>
                  </w:tcBorders>
                  <w:vAlign w:val="center"/>
                </w:tcPr>
                <w:p w14:paraId="75DD3233">
                  <w:pPr>
                    <w:pStyle w:val="154"/>
                    <w:rPr>
                      <w:sz w:val="21"/>
                      <w:szCs w:val="21"/>
                    </w:rPr>
                  </w:pPr>
                  <w:r>
                    <w:rPr>
                      <w:rFonts w:hint="eastAsia"/>
                      <w:sz w:val="21"/>
                      <w:szCs w:val="21"/>
                    </w:rPr>
                    <w:t>29</w:t>
                  </w:r>
                </w:p>
              </w:tc>
              <w:tc>
                <w:tcPr>
                  <w:tcW w:w="309" w:type="pct"/>
                  <w:tcBorders>
                    <w:bottom w:val="single" w:color="000000" w:sz="6" w:space="0"/>
                  </w:tcBorders>
                  <w:vAlign w:val="bottom"/>
                </w:tcPr>
                <w:p w14:paraId="1A9FFEBE">
                  <w:pPr>
                    <w:pStyle w:val="154"/>
                    <w:rPr>
                      <w:sz w:val="21"/>
                      <w:szCs w:val="21"/>
                    </w:rPr>
                  </w:pPr>
                  <w:r>
                    <w:rPr>
                      <w:rFonts w:hint="eastAsia"/>
                      <w:sz w:val="21"/>
                      <w:szCs w:val="21"/>
                    </w:rPr>
                    <w:t>45.75</w:t>
                  </w:r>
                </w:p>
              </w:tc>
              <w:tc>
                <w:tcPr>
                  <w:tcW w:w="258" w:type="pct"/>
                  <w:vMerge w:val="continue"/>
                  <w:tcBorders>
                    <w:bottom w:val="single" w:color="000000" w:sz="6" w:space="0"/>
                  </w:tcBorders>
                  <w:vAlign w:val="center"/>
                </w:tcPr>
                <w:p w14:paraId="37E882CC">
                  <w:pPr>
                    <w:pStyle w:val="154"/>
                    <w:rPr>
                      <w:sz w:val="21"/>
                      <w:szCs w:val="21"/>
                    </w:rPr>
                  </w:pPr>
                </w:p>
              </w:tc>
              <w:tc>
                <w:tcPr>
                  <w:tcW w:w="258" w:type="pct"/>
                  <w:tcBorders>
                    <w:bottom w:val="single" w:color="000000" w:sz="6" w:space="0"/>
                  </w:tcBorders>
                  <w:vAlign w:val="center"/>
                </w:tcPr>
                <w:p w14:paraId="290A897F">
                  <w:pPr>
                    <w:pStyle w:val="154"/>
                    <w:rPr>
                      <w:sz w:val="21"/>
                      <w:szCs w:val="21"/>
                    </w:rPr>
                  </w:pPr>
                  <w:r>
                    <w:rPr>
                      <w:sz w:val="21"/>
                      <w:szCs w:val="21"/>
                    </w:rPr>
                    <w:t>20</w:t>
                  </w:r>
                </w:p>
              </w:tc>
              <w:tc>
                <w:tcPr>
                  <w:tcW w:w="257" w:type="pct"/>
                  <w:tcBorders>
                    <w:bottom w:val="single" w:color="000000" w:sz="6" w:space="0"/>
                  </w:tcBorders>
                  <w:vAlign w:val="bottom"/>
                </w:tcPr>
                <w:p w14:paraId="078D5C69">
                  <w:pPr>
                    <w:pStyle w:val="154"/>
                    <w:rPr>
                      <w:sz w:val="21"/>
                      <w:szCs w:val="21"/>
                    </w:rPr>
                  </w:pPr>
                  <w:r>
                    <w:rPr>
                      <w:rFonts w:hint="eastAsia"/>
                      <w:sz w:val="21"/>
                      <w:szCs w:val="21"/>
                    </w:rPr>
                    <w:t>25.75</w:t>
                  </w:r>
                </w:p>
              </w:tc>
              <w:tc>
                <w:tcPr>
                  <w:tcW w:w="251" w:type="pct"/>
                  <w:tcBorders>
                    <w:bottom w:val="single" w:color="000000" w:sz="6" w:space="0"/>
                  </w:tcBorders>
                  <w:vAlign w:val="center"/>
                </w:tcPr>
                <w:p w14:paraId="3DBC2991">
                  <w:pPr>
                    <w:pStyle w:val="154"/>
                    <w:rPr>
                      <w:sz w:val="21"/>
                      <w:szCs w:val="21"/>
                    </w:rPr>
                  </w:pPr>
                  <w:r>
                    <w:rPr>
                      <w:sz w:val="21"/>
                      <w:szCs w:val="21"/>
                    </w:rPr>
                    <w:t>1</w:t>
                  </w:r>
                </w:p>
              </w:tc>
            </w:tr>
            <w:tr w14:paraId="5A24E0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12AE4924">
                  <w:pPr>
                    <w:pStyle w:val="154"/>
                    <w:rPr>
                      <w:sz w:val="21"/>
                      <w:szCs w:val="21"/>
                    </w:rPr>
                  </w:pPr>
                  <w:r>
                    <w:rPr>
                      <w:rFonts w:hint="eastAsia"/>
                      <w:sz w:val="21"/>
                      <w:szCs w:val="21"/>
                    </w:rPr>
                    <w:t>5</w:t>
                  </w:r>
                </w:p>
              </w:tc>
              <w:tc>
                <w:tcPr>
                  <w:tcW w:w="257" w:type="pct"/>
                  <w:vMerge w:val="continue"/>
                  <w:vAlign w:val="center"/>
                </w:tcPr>
                <w:p w14:paraId="3836C551">
                  <w:pPr>
                    <w:pStyle w:val="154"/>
                    <w:rPr>
                      <w:sz w:val="21"/>
                      <w:szCs w:val="21"/>
                    </w:rPr>
                  </w:pPr>
                </w:p>
              </w:tc>
              <w:tc>
                <w:tcPr>
                  <w:tcW w:w="566" w:type="pct"/>
                  <w:vMerge w:val="restart"/>
                  <w:vAlign w:val="center"/>
                </w:tcPr>
                <w:p w14:paraId="7E181223">
                  <w:pPr>
                    <w:pStyle w:val="154"/>
                    <w:rPr>
                      <w:sz w:val="21"/>
                      <w:szCs w:val="21"/>
                    </w:rPr>
                  </w:pPr>
                  <w:r>
                    <w:rPr>
                      <w:sz w:val="21"/>
                      <w:szCs w:val="21"/>
                    </w:rPr>
                    <w:t>注塑机2#</w:t>
                  </w:r>
                </w:p>
              </w:tc>
              <w:tc>
                <w:tcPr>
                  <w:tcW w:w="208" w:type="pct"/>
                  <w:vMerge w:val="restart"/>
                  <w:vAlign w:val="center"/>
                </w:tcPr>
                <w:p w14:paraId="11FA29D2">
                  <w:pPr>
                    <w:pStyle w:val="154"/>
                    <w:rPr>
                      <w:sz w:val="21"/>
                      <w:szCs w:val="21"/>
                    </w:rPr>
                  </w:pPr>
                  <w:r>
                    <w:rPr>
                      <w:sz w:val="21"/>
                      <w:szCs w:val="21"/>
                    </w:rPr>
                    <w:t>/</w:t>
                  </w:r>
                </w:p>
              </w:tc>
              <w:tc>
                <w:tcPr>
                  <w:tcW w:w="572" w:type="pct"/>
                  <w:vMerge w:val="restart"/>
                  <w:vAlign w:val="center"/>
                </w:tcPr>
                <w:p w14:paraId="337A145A">
                  <w:pPr>
                    <w:pStyle w:val="154"/>
                    <w:rPr>
                      <w:sz w:val="21"/>
                      <w:szCs w:val="21"/>
                    </w:rPr>
                  </w:pPr>
                  <w:r>
                    <w:rPr>
                      <w:sz w:val="21"/>
                      <w:szCs w:val="21"/>
                    </w:rPr>
                    <w:t>/</w:t>
                  </w:r>
                </w:p>
              </w:tc>
              <w:tc>
                <w:tcPr>
                  <w:tcW w:w="364" w:type="pct"/>
                  <w:vMerge w:val="restart"/>
                  <w:vAlign w:val="center"/>
                </w:tcPr>
                <w:p w14:paraId="10ACC0F9">
                  <w:pPr>
                    <w:pStyle w:val="154"/>
                    <w:rPr>
                      <w:sz w:val="21"/>
                      <w:szCs w:val="21"/>
                    </w:rPr>
                  </w:pPr>
                  <w:r>
                    <w:rPr>
                      <w:sz w:val="21"/>
                      <w:szCs w:val="21"/>
                    </w:rPr>
                    <w:t>75</w:t>
                  </w:r>
                </w:p>
              </w:tc>
              <w:tc>
                <w:tcPr>
                  <w:tcW w:w="415" w:type="pct"/>
                  <w:vMerge w:val="continue"/>
                  <w:vAlign w:val="center"/>
                </w:tcPr>
                <w:p w14:paraId="7F664AD5">
                  <w:pPr>
                    <w:pStyle w:val="154"/>
                    <w:rPr>
                      <w:sz w:val="21"/>
                      <w:szCs w:val="21"/>
                    </w:rPr>
                  </w:pPr>
                </w:p>
              </w:tc>
              <w:tc>
                <w:tcPr>
                  <w:tcW w:w="208" w:type="pct"/>
                  <w:vMerge w:val="restart"/>
                  <w:vAlign w:val="center"/>
                </w:tcPr>
                <w:p w14:paraId="3C29EA5D">
                  <w:pPr>
                    <w:pStyle w:val="154"/>
                    <w:rPr>
                      <w:sz w:val="21"/>
                      <w:szCs w:val="21"/>
                    </w:rPr>
                  </w:pPr>
                  <w:r>
                    <w:rPr>
                      <w:rFonts w:hint="eastAsia"/>
                      <w:sz w:val="21"/>
                      <w:szCs w:val="21"/>
                    </w:rPr>
                    <w:t>18</w:t>
                  </w:r>
                </w:p>
              </w:tc>
              <w:tc>
                <w:tcPr>
                  <w:tcW w:w="208" w:type="pct"/>
                  <w:vMerge w:val="restart"/>
                  <w:vAlign w:val="center"/>
                </w:tcPr>
                <w:p w14:paraId="59C8C1C6">
                  <w:pPr>
                    <w:pStyle w:val="154"/>
                    <w:rPr>
                      <w:sz w:val="21"/>
                      <w:szCs w:val="21"/>
                    </w:rPr>
                  </w:pPr>
                  <w:r>
                    <w:rPr>
                      <w:rFonts w:hint="eastAsia"/>
                      <w:sz w:val="21"/>
                      <w:szCs w:val="21"/>
                    </w:rPr>
                    <w:t>3</w:t>
                  </w:r>
                </w:p>
              </w:tc>
              <w:tc>
                <w:tcPr>
                  <w:tcW w:w="260" w:type="pct"/>
                  <w:vMerge w:val="restart"/>
                  <w:vAlign w:val="center"/>
                </w:tcPr>
                <w:p w14:paraId="1B2C3595">
                  <w:pPr>
                    <w:pStyle w:val="154"/>
                    <w:rPr>
                      <w:sz w:val="21"/>
                      <w:szCs w:val="21"/>
                    </w:rPr>
                  </w:pPr>
                  <w:r>
                    <w:rPr>
                      <w:sz w:val="21"/>
                      <w:szCs w:val="21"/>
                    </w:rPr>
                    <w:t>1</w:t>
                  </w:r>
                </w:p>
              </w:tc>
              <w:tc>
                <w:tcPr>
                  <w:tcW w:w="224" w:type="pct"/>
                  <w:vAlign w:val="center"/>
                </w:tcPr>
                <w:p w14:paraId="481D16B3">
                  <w:pPr>
                    <w:pStyle w:val="154"/>
                    <w:rPr>
                      <w:sz w:val="21"/>
                      <w:szCs w:val="21"/>
                    </w:rPr>
                  </w:pPr>
                  <w:r>
                    <w:rPr>
                      <w:sz w:val="21"/>
                      <w:szCs w:val="21"/>
                    </w:rPr>
                    <w:t>E</w:t>
                  </w:r>
                </w:p>
              </w:tc>
              <w:tc>
                <w:tcPr>
                  <w:tcW w:w="225" w:type="pct"/>
                  <w:vAlign w:val="center"/>
                </w:tcPr>
                <w:p w14:paraId="1F460E1B">
                  <w:pPr>
                    <w:pStyle w:val="154"/>
                    <w:rPr>
                      <w:sz w:val="21"/>
                      <w:szCs w:val="21"/>
                    </w:rPr>
                  </w:pPr>
                  <w:r>
                    <w:rPr>
                      <w:rFonts w:hint="eastAsia"/>
                      <w:sz w:val="21"/>
                      <w:szCs w:val="21"/>
                    </w:rPr>
                    <w:t>17</w:t>
                  </w:r>
                </w:p>
              </w:tc>
              <w:tc>
                <w:tcPr>
                  <w:tcW w:w="309" w:type="pct"/>
                  <w:vAlign w:val="bottom"/>
                </w:tcPr>
                <w:p w14:paraId="6671B186">
                  <w:pPr>
                    <w:pStyle w:val="154"/>
                    <w:rPr>
                      <w:sz w:val="21"/>
                      <w:szCs w:val="21"/>
                    </w:rPr>
                  </w:pPr>
                  <w:r>
                    <w:rPr>
                      <w:rFonts w:hint="eastAsia"/>
                      <w:sz w:val="21"/>
                      <w:szCs w:val="21"/>
                    </w:rPr>
                    <w:t>50.39</w:t>
                  </w:r>
                </w:p>
              </w:tc>
              <w:tc>
                <w:tcPr>
                  <w:tcW w:w="258" w:type="pct"/>
                  <w:vMerge w:val="restart"/>
                  <w:vAlign w:val="center"/>
                </w:tcPr>
                <w:p w14:paraId="338E688B">
                  <w:pPr>
                    <w:pStyle w:val="154"/>
                    <w:rPr>
                      <w:sz w:val="21"/>
                      <w:szCs w:val="21"/>
                    </w:rPr>
                  </w:pPr>
                  <w:r>
                    <w:rPr>
                      <w:rFonts w:hint="eastAsia"/>
                      <w:sz w:val="21"/>
                      <w:szCs w:val="21"/>
                    </w:rPr>
                    <w:t>昼间</w:t>
                  </w:r>
                </w:p>
              </w:tc>
              <w:tc>
                <w:tcPr>
                  <w:tcW w:w="258" w:type="pct"/>
                  <w:vAlign w:val="center"/>
                </w:tcPr>
                <w:p w14:paraId="0423B035">
                  <w:pPr>
                    <w:pStyle w:val="154"/>
                    <w:rPr>
                      <w:sz w:val="21"/>
                      <w:szCs w:val="21"/>
                    </w:rPr>
                  </w:pPr>
                  <w:r>
                    <w:rPr>
                      <w:sz w:val="21"/>
                      <w:szCs w:val="21"/>
                    </w:rPr>
                    <w:t>20</w:t>
                  </w:r>
                </w:p>
              </w:tc>
              <w:tc>
                <w:tcPr>
                  <w:tcW w:w="257" w:type="pct"/>
                  <w:vAlign w:val="bottom"/>
                </w:tcPr>
                <w:p w14:paraId="77ED4E31">
                  <w:pPr>
                    <w:pStyle w:val="154"/>
                    <w:rPr>
                      <w:sz w:val="21"/>
                      <w:szCs w:val="21"/>
                    </w:rPr>
                  </w:pPr>
                  <w:r>
                    <w:rPr>
                      <w:rFonts w:hint="eastAsia"/>
                      <w:sz w:val="21"/>
                      <w:szCs w:val="21"/>
                    </w:rPr>
                    <w:t>30.39</w:t>
                  </w:r>
                </w:p>
              </w:tc>
              <w:tc>
                <w:tcPr>
                  <w:tcW w:w="251" w:type="pct"/>
                  <w:vAlign w:val="center"/>
                </w:tcPr>
                <w:p w14:paraId="1CBEC218">
                  <w:pPr>
                    <w:pStyle w:val="154"/>
                    <w:rPr>
                      <w:sz w:val="21"/>
                      <w:szCs w:val="21"/>
                    </w:rPr>
                  </w:pPr>
                  <w:r>
                    <w:rPr>
                      <w:sz w:val="21"/>
                      <w:szCs w:val="21"/>
                    </w:rPr>
                    <w:t>1</w:t>
                  </w:r>
                </w:p>
              </w:tc>
            </w:tr>
            <w:tr w14:paraId="512DBD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450848A6">
                  <w:pPr>
                    <w:pStyle w:val="154"/>
                    <w:rPr>
                      <w:sz w:val="21"/>
                      <w:szCs w:val="21"/>
                    </w:rPr>
                  </w:pPr>
                </w:p>
              </w:tc>
              <w:tc>
                <w:tcPr>
                  <w:tcW w:w="257" w:type="pct"/>
                  <w:vMerge w:val="continue"/>
                  <w:vAlign w:val="center"/>
                </w:tcPr>
                <w:p w14:paraId="0D9DB35F">
                  <w:pPr>
                    <w:pStyle w:val="154"/>
                    <w:rPr>
                      <w:sz w:val="21"/>
                      <w:szCs w:val="21"/>
                    </w:rPr>
                  </w:pPr>
                </w:p>
              </w:tc>
              <w:tc>
                <w:tcPr>
                  <w:tcW w:w="566" w:type="pct"/>
                  <w:vMerge w:val="continue"/>
                  <w:vAlign w:val="center"/>
                </w:tcPr>
                <w:p w14:paraId="3A353A1F">
                  <w:pPr>
                    <w:pStyle w:val="154"/>
                    <w:rPr>
                      <w:sz w:val="21"/>
                      <w:szCs w:val="21"/>
                    </w:rPr>
                  </w:pPr>
                </w:p>
              </w:tc>
              <w:tc>
                <w:tcPr>
                  <w:tcW w:w="208" w:type="pct"/>
                  <w:vMerge w:val="continue"/>
                  <w:vAlign w:val="center"/>
                </w:tcPr>
                <w:p w14:paraId="49274A45">
                  <w:pPr>
                    <w:pStyle w:val="154"/>
                    <w:rPr>
                      <w:sz w:val="21"/>
                      <w:szCs w:val="21"/>
                    </w:rPr>
                  </w:pPr>
                </w:p>
              </w:tc>
              <w:tc>
                <w:tcPr>
                  <w:tcW w:w="572" w:type="pct"/>
                  <w:vMerge w:val="continue"/>
                  <w:vAlign w:val="center"/>
                </w:tcPr>
                <w:p w14:paraId="39F137D0">
                  <w:pPr>
                    <w:pStyle w:val="154"/>
                    <w:rPr>
                      <w:sz w:val="21"/>
                      <w:szCs w:val="21"/>
                    </w:rPr>
                  </w:pPr>
                </w:p>
              </w:tc>
              <w:tc>
                <w:tcPr>
                  <w:tcW w:w="364" w:type="pct"/>
                  <w:vMerge w:val="continue"/>
                  <w:vAlign w:val="center"/>
                </w:tcPr>
                <w:p w14:paraId="49D68879">
                  <w:pPr>
                    <w:pStyle w:val="154"/>
                    <w:rPr>
                      <w:sz w:val="21"/>
                      <w:szCs w:val="21"/>
                    </w:rPr>
                  </w:pPr>
                </w:p>
              </w:tc>
              <w:tc>
                <w:tcPr>
                  <w:tcW w:w="415" w:type="pct"/>
                  <w:vMerge w:val="continue"/>
                  <w:vAlign w:val="center"/>
                </w:tcPr>
                <w:p w14:paraId="4423BF77">
                  <w:pPr>
                    <w:pStyle w:val="154"/>
                    <w:rPr>
                      <w:sz w:val="21"/>
                      <w:szCs w:val="21"/>
                    </w:rPr>
                  </w:pPr>
                </w:p>
              </w:tc>
              <w:tc>
                <w:tcPr>
                  <w:tcW w:w="208" w:type="pct"/>
                  <w:vMerge w:val="continue"/>
                  <w:vAlign w:val="center"/>
                </w:tcPr>
                <w:p w14:paraId="4BFF4CE5">
                  <w:pPr>
                    <w:pStyle w:val="154"/>
                    <w:rPr>
                      <w:sz w:val="21"/>
                      <w:szCs w:val="21"/>
                    </w:rPr>
                  </w:pPr>
                </w:p>
              </w:tc>
              <w:tc>
                <w:tcPr>
                  <w:tcW w:w="208" w:type="pct"/>
                  <w:vMerge w:val="continue"/>
                  <w:vAlign w:val="center"/>
                </w:tcPr>
                <w:p w14:paraId="7E255BB1">
                  <w:pPr>
                    <w:pStyle w:val="154"/>
                    <w:rPr>
                      <w:sz w:val="21"/>
                      <w:szCs w:val="21"/>
                    </w:rPr>
                  </w:pPr>
                </w:p>
              </w:tc>
              <w:tc>
                <w:tcPr>
                  <w:tcW w:w="260" w:type="pct"/>
                  <w:vMerge w:val="continue"/>
                  <w:vAlign w:val="center"/>
                </w:tcPr>
                <w:p w14:paraId="42955E80">
                  <w:pPr>
                    <w:pStyle w:val="154"/>
                    <w:rPr>
                      <w:sz w:val="21"/>
                      <w:szCs w:val="21"/>
                    </w:rPr>
                  </w:pPr>
                </w:p>
              </w:tc>
              <w:tc>
                <w:tcPr>
                  <w:tcW w:w="224" w:type="pct"/>
                  <w:vAlign w:val="center"/>
                </w:tcPr>
                <w:p w14:paraId="331B2526">
                  <w:pPr>
                    <w:pStyle w:val="154"/>
                    <w:rPr>
                      <w:sz w:val="21"/>
                      <w:szCs w:val="21"/>
                    </w:rPr>
                  </w:pPr>
                  <w:r>
                    <w:rPr>
                      <w:rFonts w:hint="eastAsia"/>
                      <w:sz w:val="21"/>
                      <w:szCs w:val="21"/>
                    </w:rPr>
                    <w:t>W</w:t>
                  </w:r>
                </w:p>
              </w:tc>
              <w:tc>
                <w:tcPr>
                  <w:tcW w:w="225" w:type="pct"/>
                  <w:vAlign w:val="center"/>
                </w:tcPr>
                <w:p w14:paraId="3060BDCC">
                  <w:pPr>
                    <w:pStyle w:val="154"/>
                    <w:rPr>
                      <w:sz w:val="21"/>
                      <w:szCs w:val="21"/>
                    </w:rPr>
                  </w:pPr>
                  <w:r>
                    <w:rPr>
                      <w:rFonts w:hint="eastAsia"/>
                      <w:sz w:val="21"/>
                      <w:szCs w:val="21"/>
                    </w:rPr>
                    <w:t>18</w:t>
                  </w:r>
                </w:p>
              </w:tc>
              <w:tc>
                <w:tcPr>
                  <w:tcW w:w="309" w:type="pct"/>
                  <w:vAlign w:val="bottom"/>
                </w:tcPr>
                <w:p w14:paraId="77F962E3">
                  <w:pPr>
                    <w:pStyle w:val="154"/>
                    <w:rPr>
                      <w:sz w:val="21"/>
                      <w:szCs w:val="21"/>
                    </w:rPr>
                  </w:pPr>
                  <w:r>
                    <w:rPr>
                      <w:rFonts w:hint="eastAsia"/>
                      <w:sz w:val="21"/>
                      <w:szCs w:val="21"/>
                    </w:rPr>
                    <w:t>49.89</w:t>
                  </w:r>
                </w:p>
              </w:tc>
              <w:tc>
                <w:tcPr>
                  <w:tcW w:w="258" w:type="pct"/>
                  <w:vMerge w:val="continue"/>
                  <w:vAlign w:val="center"/>
                </w:tcPr>
                <w:p w14:paraId="0B99F7DC">
                  <w:pPr>
                    <w:pStyle w:val="154"/>
                    <w:rPr>
                      <w:sz w:val="21"/>
                      <w:szCs w:val="21"/>
                    </w:rPr>
                  </w:pPr>
                </w:p>
              </w:tc>
              <w:tc>
                <w:tcPr>
                  <w:tcW w:w="258" w:type="pct"/>
                  <w:vAlign w:val="center"/>
                </w:tcPr>
                <w:p w14:paraId="40AD8DA3">
                  <w:pPr>
                    <w:pStyle w:val="154"/>
                    <w:rPr>
                      <w:sz w:val="21"/>
                      <w:szCs w:val="21"/>
                    </w:rPr>
                  </w:pPr>
                  <w:r>
                    <w:rPr>
                      <w:sz w:val="21"/>
                      <w:szCs w:val="21"/>
                    </w:rPr>
                    <w:t>20</w:t>
                  </w:r>
                </w:p>
              </w:tc>
              <w:tc>
                <w:tcPr>
                  <w:tcW w:w="257" w:type="pct"/>
                  <w:vAlign w:val="bottom"/>
                </w:tcPr>
                <w:p w14:paraId="1B75615A">
                  <w:pPr>
                    <w:pStyle w:val="154"/>
                    <w:rPr>
                      <w:sz w:val="21"/>
                      <w:szCs w:val="21"/>
                    </w:rPr>
                  </w:pPr>
                  <w:r>
                    <w:rPr>
                      <w:rFonts w:hint="eastAsia"/>
                      <w:sz w:val="21"/>
                      <w:szCs w:val="21"/>
                    </w:rPr>
                    <w:t>29.89</w:t>
                  </w:r>
                </w:p>
              </w:tc>
              <w:tc>
                <w:tcPr>
                  <w:tcW w:w="251" w:type="pct"/>
                  <w:vAlign w:val="center"/>
                </w:tcPr>
                <w:p w14:paraId="749C9019">
                  <w:pPr>
                    <w:pStyle w:val="154"/>
                    <w:rPr>
                      <w:sz w:val="21"/>
                      <w:szCs w:val="21"/>
                    </w:rPr>
                  </w:pPr>
                  <w:r>
                    <w:rPr>
                      <w:sz w:val="21"/>
                      <w:szCs w:val="21"/>
                    </w:rPr>
                    <w:t>1</w:t>
                  </w:r>
                </w:p>
              </w:tc>
            </w:tr>
            <w:tr w14:paraId="424D8F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72588CCC">
                  <w:pPr>
                    <w:pStyle w:val="154"/>
                    <w:rPr>
                      <w:sz w:val="21"/>
                      <w:szCs w:val="21"/>
                    </w:rPr>
                  </w:pPr>
                </w:p>
              </w:tc>
              <w:tc>
                <w:tcPr>
                  <w:tcW w:w="257" w:type="pct"/>
                  <w:vMerge w:val="continue"/>
                  <w:vAlign w:val="center"/>
                </w:tcPr>
                <w:p w14:paraId="278872D3">
                  <w:pPr>
                    <w:pStyle w:val="154"/>
                    <w:rPr>
                      <w:sz w:val="21"/>
                      <w:szCs w:val="21"/>
                    </w:rPr>
                  </w:pPr>
                </w:p>
              </w:tc>
              <w:tc>
                <w:tcPr>
                  <w:tcW w:w="566" w:type="pct"/>
                  <w:vMerge w:val="continue"/>
                  <w:vAlign w:val="center"/>
                </w:tcPr>
                <w:p w14:paraId="1B170F6F">
                  <w:pPr>
                    <w:pStyle w:val="154"/>
                    <w:rPr>
                      <w:sz w:val="21"/>
                      <w:szCs w:val="21"/>
                    </w:rPr>
                  </w:pPr>
                </w:p>
              </w:tc>
              <w:tc>
                <w:tcPr>
                  <w:tcW w:w="208" w:type="pct"/>
                  <w:vMerge w:val="continue"/>
                  <w:vAlign w:val="center"/>
                </w:tcPr>
                <w:p w14:paraId="552CE445">
                  <w:pPr>
                    <w:pStyle w:val="154"/>
                    <w:rPr>
                      <w:sz w:val="21"/>
                      <w:szCs w:val="21"/>
                    </w:rPr>
                  </w:pPr>
                </w:p>
              </w:tc>
              <w:tc>
                <w:tcPr>
                  <w:tcW w:w="572" w:type="pct"/>
                  <w:vMerge w:val="continue"/>
                  <w:vAlign w:val="center"/>
                </w:tcPr>
                <w:p w14:paraId="7F5F9823">
                  <w:pPr>
                    <w:pStyle w:val="154"/>
                    <w:rPr>
                      <w:sz w:val="21"/>
                      <w:szCs w:val="21"/>
                    </w:rPr>
                  </w:pPr>
                </w:p>
              </w:tc>
              <w:tc>
                <w:tcPr>
                  <w:tcW w:w="364" w:type="pct"/>
                  <w:vMerge w:val="continue"/>
                  <w:vAlign w:val="center"/>
                </w:tcPr>
                <w:p w14:paraId="51912E57">
                  <w:pPr>
                    <w:pStyle w:val="154"/>
                    <w:rPr>
                      <w:sz w:val="21"/>
                      <w:szCs w:val="21"/>
                    </w:rPr>
                  </w:pPr>
                </w:p>
              </w:tc>
              <w:tc>
                <w:tcPr>
                  <w:tcW w:w="415" w:type="pct"/>
                  <w:vMerge w:val="continue"/>
                  <w:vAlign w:val="center"/>
                </w:tcPr>
                <w:p w14:paraId="462CD00A">
                  <w:pPr>
                    <w:pStyle w:val="154"/>
                    <w:rPr>
                      <w:sz w:val="21"/>
                      <w:szCs w:val="21"/>
                    </w:rPr>
                  </w:pPr>
                </w:p>
              </w:tc>
              <w:tc>
                <w:tcPr>
                  <w:tcW w:w="208" w:type="pct"/>
                  <w:vMerge w:val="continue"/>
                  <w:vAlign w:val="center"/>
                </w:tcPr>
                <w:p w14:paraId="79A72BB8">
                  <w:pPr>
                    <w:pStyle w:val="154"/>
                    <w:rPr>
                      <w:sz w:val="21"/>
                      <w:szCs w:val="21"/>
                    </w:rPr>
                  </w:pPr>
                </w:p>
              </w:tc>
              <w:tc>
                <w:tcPr>
                  <w:tcW w:w="208" w:type="pct"/>
                  <w:vMerge w:val="continue"/>
                  <w:vAlign w:val="center"/>
                </w:tcPr>
                <w:p w14:paraId="1CCE80DB">
                  <w:pPr>
                    <w:pStyle w:val="154"/>
                    <w:rPr>
                      <w:sz w:val="21"/>
                      <w:szCs w:val="21"/>
                    </w:rPr>
                  </w:pPr>
                </w:p>
              </w:tc>
              <w:tc>
                <w:tcPr>
                  <w:tcW w:w="260" w:type="pct"/>
                  <w:vMerge w:val="continue"/>
                  <w:vAlign w:val="center"/>
                </w:tcPr>
                <w:p w14:paraId="7C3A395F">
                  <w:pPr>
                    <w:pStyle w:val="154"/>
                    <w:rPr>
                      <w:sz w:val="21"/>
                      <w:szCs w:val="21"/>
                    </w:rPr>
                  </w:pPr>
                </w:p>
              </w:tc>
              <w:tc>
                <w:tcPr>
                  <w:tcW w:w="224" w:type="pct"/>
                  <w:vAlign w:val="center"/>
                </w:tcPr>
                <w:p w14:paraId="3FEFC8C0">
                  <w:pPr>
                    <w:pStyle w:val="154"/>
                    <w:rPr>
                      <w:sz w:val="21"/>
                      <w:szCs w:val="21"/>
                    </w:rPr>
                  </w:pPr>
                  <w:r>
                    <w:rPr>
                      <w:sz w:val="21"/>
                      <w:szCs w:val="21"/>
                    </w:rPr>
                    <w:t>S</w:t>
                  </w:r>
                </w:p>
              </w:tc>
              <w:tc>
                <w:tcPr>
                  <w:tcW w:w="225" w:type="pct"/>
                  <w:vAlign w:val="center"/>
                </w:tcPr>
                <w:p w14:paraId="5CC34EB1">
                  <w:pPr>
                    <w:pStyle w:val="154"/>
                    <w:rPr>
                      <w:sz w:val="21"/>
                      <w:szCs w:val="21"/>
                    </w:rPr>
                  </w:pPr>
                  <w:r>
                    <w:rPr>
                      <w:rFonts w:hint="eastAsia"/>
                      <w:sz w:val="21"/>
                      <w:szCs w:val="21"/>
                    </w:rPr>
                    <w:t>3</w:t>
                  </w:r>
                </w:p>
              </w:tc>
              <w:tc>
                <w:tcPr>
                  <w:tcW w:w="309" w:type="pct"/>
                  <w:vAlign w:val="bottom"/>
                </w:tcPr>
                <w:p w14:paraId="5D92F1B0">
                  <w:pPr>
                    <w:pStyle w:val="154"/>
                    <w:rPr>
                      <w:sz w:val="21"/>
                      <w:szCs w:val="21"/>
                    </w:rPr>
                  </w:pPr>
                  <w:r>
                    <w:rPr>
                      <w:rFonts w:hint="eastAsia"/>
                      <w:sz w:val="21"/>
                      <w:szCs w:val="21"/>
                    </w:rPr>
                    <w:t>65.46</w:t>
                  </w:r>
                </w:p>
              </w:tc>
              <w:tc>
                <w:tcPr>
                  <w:tcW w:w="258" w:type="pct"/>
                  <w:vMerge w:val="continue"/>
                  <w:vAlign w:val="center"/>
                </w:tcPr>
                <w:p w14:paraId="4285DDAA">
                  <w:pPr>
                    <w:pStyle w:val="154"/>
                    <w:rPr>
                      <w:sz w:val="21"/>
                      <w:szCs w:val="21"/>
                    </w:rPr>
                  </w:pPr>
                </w:p>
              </w:tc>
              <w:tc>
                <w:tcPr>
                  <w:tcW w:w="258" w:type="pct"/>
                  <w:vAlign w:val="center"/>
                </w:tcPr>
                <w:p w14:paraId="0FDF9102">
                  <w:pPr>
                    <w:pStyle w:val="154"/>
                    <w:rPr>
                      <w:sz w:val="21"/>
                      <w:szCs w:val="21"/>
                    </w:rPr>
                  </w:pPr>
                  <w:r>
                    <w:rPr>
                      <w:sz w:val="21"/>
                      <w:szCs w:val="21"/>
                    </w:rPr>
                    <w:t>20</w:t>
                  </w:r>
                </w:p>
              </w:tc>
              <w:tc>
                <w:tcPr>
                  <w:tcW w:w="257" w:type="pct"/>
                  <w:vAlign w:val="bottom"/>
                </w:tcPr>
                <w:p w14:paraId="4F728F1F">
                  <w:pPr>
                    <w:pStyle w:val="154"/>
                    <w:rPr>
                      <w:sz w:val="21"/>
                      <w:szCs w:val="21"/>
                    </w:rPr>
                  </w:pPr>
                  <w:r>
                    <w:rPr>
                      <w:rFonts w:hint="eastAsia"/>
                      <w:sz w:val="21"/>
                      <w:szCs w:val="21"/>
                    </w:rPr>
                    <w:t>45.46</w:t>
                  </w:r>
                </w:p>
              </w:tc>
              <w:tc>
                <w:tcPr>
                  <w:tcW w:w="251" w:type="pct"/>
                  <w:vAlign w:val="center"/>
                </w:tcPr>
                <w:p w14:paraId="402D9AB7">
                  <w:pPr>
                    <w:pStyle w:val="154"/>
                    <w:rPr>
                      <w:sz w:val="21"/>
                      <w:szCs w:val="21"/>
                    </w:rPr>
                  </w:pPr>
                  <w:r>
                    <w:rPr>
                      <w:sz w:val="21"/>
                      <w:szCs w:val="21"/>
                    </w:rPr>
                    <w:t>1</w:t>
                  </w:r>
                </w:p>
              </w:tc>
            </w:tr>
            <w:tr w14:paraId="66CF0A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07BECCDF">
                  <w:pPr>
                    <w:pStyle w:val="154"/>
                    <w:rPr>
                      <w:sz w:val="21"/>
                      <w:szCs w:val="21"/>
                    </w:rPr>
                  </w:pPr>
                </w:p>
              </w:tc>
              <w:tc>
                <w:tcPr>
                  <w:tcW w:w="257" w:type="pct"/>
                  <w:vMerge w:val="continue"/>
                  <w:vAlign w:val="center"/>
                </w:tcPr>
                <w:p w14:paraId="62DB3F6D">
                  <w:pPr>
                    <w:pStyle w:val="154"/>
                    <w:rPr>
                      <w:sz w:val="21"/>
                      <w:szCs w:val="21"/>
                    </w:rPr>
                  </w:pPr>
                </w:p>
              </w:tc>
              <w:tc>
                <w:tcPr>
                  <w:tcW w:w="566" w:type="pct"/>
                  <w:vMerge w:val="continue"/>
                  <w:vAlign w:val="center"/>
                </w:tcPr>
                <w:p w14:paraId="18F43658">
                  <w:pPr>
                    <w:pStyle w:val="154"/>
                    <w:rPr>
                      <w:sz w:val="21"/>
                      <w:szCs w:val="21"/>
                    </w:rPr>
                  </w:pPr>
                </w:p>
              </w:tc>
              <w:tc>
                <w:tcPr>
                  <w:tcW w:w="208" w:type="pct"/>
                  <w:vMerge w:val="continue"/>
                  <w:vAlign w:val="center"/>
                </w:tcPr>
                <w:p w14:paraId="64202DE6">
                  <w:pPr>
                    <w:pStyle w:val="154"/>
                    <w:rPr>
                      <w:sz w:val="21"/>
                      <w:szCs w:val="21"/>
                    </w:rPr>
                  </w:pPr>
                </w:p>
              </w:tc>
              <w:tc>
                <w:tcPr>
                  <w:tcW w:w="572" w:type="pct"/>
                  <w:vMerge w:val="continue"/>
                  <w:vAlign w:val="center"/>
                </w:tcPr>
                <w:p w14:paraId="1FFE4EB0">
                  <w:pPr>
                    <w:pStyle w:val="154"/>
                    <w:rPr>
                      <w:sz w:val="21"/>
                      <w:szCs w:val="21"/>
                    </w:rPr>
                  </w:pPr>
                </w:p>
              </w:tc>
              <w:tc>
                <w:tcPr>
                  <w:tcW w:w="364" w:type="pct"/>
                  <w:vMerge w:val="continue"/>
                  <w:vAlign w:val="center"/>
                </w:tcPr>
                <w:p w14:paraId="11FC9520">
                  <w:pPr>
                    <w:pStyle w:val="154"/>
                    <w:rPr>
                      <w:sz w:val="21"/>
                      <w:szCs w:val="21"/>
                    </w:rPr>
                  </w:pPr>
                </w:p>
              </w:tc>
              <w:tc>
                <w:tcPr>
                  <w:tcW w:w="415" w:type="pct"/>
                  <w:vMerge w:val="continue"/>
                  <w:vAlign w:val="center"/>
                </w:tcPr>
                <w:p w14:paraId="28F73372">
                  <w:pPr>
                    <w:pStyle w:val="154"/>
                    <w:rPr>
                      <w:sz w:val="21"/>
                      <w:szCs w:val="21"/>
                    </w:rPr>
                  </w:pPr>
                </w:p>
              </w:tc>
              <w:tc>
                <w:tcPr>
                  <w:tcW w:w="208" w:type="pct"/>
                  <w:vMerge w:val="continue"/>
                  <w:vAlign w:val="center"/>
                </w:tcPr>
                <w:p w14:paraId="4DD9D0BC">
                  <w:pPr>
                    <w:pStyle w:val="154"/>
                    <w:rPr>
                      <w:sz w:val="21"/>
                      <w:szCs w:val="21"/>
                    </w:rPr>
                  </w:pPr>
                </w:p>
              </w:tc>
              <w:tc>
                <w:tcPr>
                  <w:tcW w:w="208" w:type="pct"/>
                  <w:vMerge w:val="continue"/>
                  <w:vAlign w:val="center"/>
                </w:tcPr>
                <w:p w14:paraId="25D7D230">
                  <w:pPr>
                    <w:pStyle w:val="154"/>
                    <w:rPr>
                      <w:sz w:val="21"/>
                      <w:szCs w:val="21"/>
                    </w:rPr>
                  </w:pPr>
                </w:p>
              </w:tc>
              <w:tc>
                <w:tcPr>
                  <w:tcW w:w="260" w:type="pct"/>
                  <w:vMerge w:val="continue"/>
                  <w:vAlign w:val="center"/>
                </w:tcPr>
                <w:p w14:paraId="34759ACA">
                  <w:pPr>
                    <w:pStyle w:val="154"/>
                    <w:rPr>
                      <w:sz w:val="21"/>
                      <w:szCs w:val="21"/>
                    </w:rPr>
                  </w:pPr>
                </w:p>
              </w:tc>
              <w:tc>
                <w:tcPr>
                  <w:tcW w:w="224" w:type="pct"/>
                  <w:vAlign w:val="center"/>
                </w:tcPr>
                <w:p w14:paraId="6B69EF8F">
                  <w:pPr>
                    <w:pStyle w:val="154"/>
                    <w:rPr>
                      <w:sz w:val="21"/>
                      <w:szCs w:val="21"/>
                    </w:rPr>
                  </w:pPr>
                  <w:r>
                    <w:rPr>
                      <w:sz w:val="21"/>
                      <w:szCs w:val="21"/>
                    </w:rPr>
                    <w:t>N</w:t>
                  </w:r>
                </w:p>
              </w:tc>
              <w:tc>
                <w:tcPr>
                  <w:tcW w:w="225" w:type="pct"/>
                  <w:vAlign w:val="center"/>
                </w:tcPr>
                <w:p w14:paraId="55B40199">
                  <w:pPr>
                    <w:pStyle w:val="154"/>
                    <w:rPr>
                      <w:sz w:val="21"/>
                      <w:szCs w:val="21"/>
                    </w:rPr>
                  </w:pPr>
                  <w:r>
                    <w:rPr>
                      <w:rFonts w:hint="eastAsia"/>
                      <w:sz w:val="21"/>
                      <w:szCs w:val="21"/>
                    </w:rPr>
                    <w:t>29</w:t>
                  </w:r>
                </w:p>
              </w:tc>
              <w:tc>
                <w:tcPr>
                  <w:tcW w:w="309" w:type="pct"/>
                  <w:vAlign w:val="bottom"/>
                </w:tcPr>
                <w:p w14:paraId="4ABE1C02">
                  <w:pPr>
                    <w:pStyle w:val="154"/>
                    <w:rPr>
                      <w:sz w:val="21"/>
                      <w:szCs w:val="21"/>
                    </w:rPr>
                  </w:pPr>
                  <w:r>
                    <w:rPr>
                      <w:rFonts w:hint="eastAsia"/>
                      <w:sz w:val="21"/>
                      <w:szCs w:val="21"/>
                    </w:rPr>
                    <w:t>45.75</w:t>
                  </w:r>
                </w:p>
              </w:tc>
              <w:tc>
                <w:tcPr>
                  <w:tcW w:w="258" w:type="pct"/>
                  <w:vMerge w:val="continue"/>
                  <w:vAlign w:val="center"/>
                </w:tcPr>
                <w:p w14:paraId="49903D67">
                  <w:pPr>
                    <w:pStyle w:val="154"/>
                    <w:rPr>
                      <w:sz w:val="21"/>
                      <w:szCs w:val="21"/>
                    </w:rPr>
                  </w:pPr>
                </w:p>
              </w:tc>
              <w:tc>
                <w:tcPr>
                  <w:tcW w:w="258" w:type="pct"/>
                  <w:vAlign w:val="center"/>
                </w:tcPr>
                <w:p w14:paraId="261CB2E5">
                  <w:pPr>
                    <w:pStyle w:val="154"/>
                    <w:rPr>
                      <w:sz w:val="21"/>
                      <w:szCs w:val="21"/>
                    </w:rPr>
                  </w:pPr>
                  <w:r>
                    <w:rPr>
                      <w:sz w:val="21"/>
                      <w:szCs w:val="21"/>
                    </w:rPr>
                    <w:t>20</w:t>
                  </w:r>
                </w:p>
              </w:tc>
              <w:tc>
                <w:tcPr>
                  <w:tcW w:w="257" w:type="pct"/>
                  <w:vAlign w:val="bottom"/>
                </w:tcPr>
                <w:p w14:paraId="67B3071C">
                  <w:pPr>
                    <w:pStyle w:val="154"/>
                    <w:rPr>
                      <w:sz w:val="21"/>
                      <w:szCs w:val="21"/>
                    </w:rPr>
                  </w:pPr>
                  <w:r>
                    <w:rPr>
                      <w:rFonts w:hint="eastAsia"/>
                      <w:sz w:val="21"/>
                      <w:szCs w:val="21"/>
                    </w:rPr>
                    <w:t>25.75</w:t>
                  </w:r>
                </w:p>
              </w:tc>
              <w:tc>
                <w:tcPr>
                  <w:tcW w:w="251" w:type="pct"/>
                  <w:vAlign w:val="center"/>
                </w:tcPr>
                <w:p w14:paraId="146F7B8B">
                  <w:pPr>
                    <w:pStyle w:val="154"/>
                    <w:rPr>
                      <w:sz w:val="21"/>
                      <w:szCs w:val="21"/>
                    </w:rPr>
                  </w:pPr>
                  <w:r>
                    <w:rPr>
                      <w:sz w:val="21"/>
                      <w:szCs w:val="21"/>
                    </w:rPr>
                    <w:t>1</w:t>
                  </w:r>
                </w:p>
              </w:tc>
            </w:tr>
            <w:tr w14:paraId="49A4BA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7100841B">
                  <w:pPr>
                    <w:pStyle w:val="154"/>
                    <w:rPr>
                      <w:sz w:val="21"/>
                      <w:szCs w:val="21"/>
                    </w:rPr>
                  </w:pPr>
                  <w:r>
                    <w:rPr>
                      <w:rFonts w:hint="eastAsia"/>
                      <w:sz w:val="21"/>
                      <w:szCs w:val="21"/>
                    </w:rPr>
                    <w:t>6</w:t>
                  </w:r>
                </w:p>
              </w:tc>
              <w:tc>
                <w:tcPr>
                  <w:tcW w:w="257" w:type="pct"/>
                  <w:vMerge w:val="continue"/>
                  <w:vAlign w:val="center"/>
                </w:tcPr>
                <w:p w14:paraId="40C14DE4">
                  <w:pPr>
                    <w:pStyle w:val="154"/>
                    <w:rPr>
                      <w:sz w:val="21"/>
                      <w:szCs w:val="21"/>
                    </w:rPr>
                  </w:pPr>
                </w:p>
              </w:tc>
              <w:tc>
                <w:tcPr>
                  <w:tcW w:w="566" w:type="pct"/>
                  <w:vMerge w:val="restart"/>
                  <w:vAlign w:val="center"/>
                </w:tcPr>
                <w:p w14:paraId="6538D3B8">
                  <w:pPr>
                    <w:pStyle w:val="154"/>
                    <w:rPr>
                      <w:sz w:val="21"/>
                      <w:szCs w:val="21"/>
                    </w:rPr>
                  </w:pPr>
                  <w:r>
                    <w:rPr>
                      <w:sz w:val="21"/>
                      <w:szCs w:val="21"/>
                    </w:rPr>
                    <w:t>注塑机3#</w:t>
                  </w:r>
                </w:p>
              </w:tc>
              <w:tc>
                <w:tcPr>
                  <w:tcW w:w="208" w:type="pct"/>
                  <w:vMerge w:val="restart"/>
                  <w:vAlign w:val="center"/>
                </w:tcPr>
                <w:p w14:paraId="0B5312C8">
                  <w:pPr>
                    <w:pStyle w:val="154"/>
                    <w:rPr>
                      <w:sz w:val="21"/>
                      <w:szCs w:val="21"/>
                    </w:rPr>
                  </w:pPr>
                  <w:r>
                    <w:rPr>
                      <w:sz w:val="21"/>
                      <w:szCs w:val="21"/>
                    </w:rPr>
                    <w:t>/</w:t>
                  </w:r>
                </w:p>
              </w:tc>
              <w:tc>
                <w:tcPr>
                  <w:tcW w:w="572" w:type="pct"/>
                  <w:vMerge w:val="restart"/>
                  <w:vAlign w:val="center"/>
                </w:tcPr>
                <w:p w14:paraId="5446E28C">
                  <w:pPr>
                    <w:pStyle w:val="154"/>
                    <w:rPr>
                      <w:sz w:val="21"/>
                      <w:szCs w:val="21"/>
                    </w:rPr>
                  </w:pPr>
                  <w:r>
                    <w:rPr>
                      <w:sz w:val="21"/>
                      <w:szCs w:val="21"/>
                    </w:rPr>
                    <w:t>/</w:t>
                  </w:r>
                </w:p>
              </w:tc>
              <w:tc>
                <w:tcPr>
                  <w:tcW w:w="364" w:type="pct"/>
                  <w:vMerge w:val="restart"/>
                  <w:vAlign w:val="center"/>
                </w:tcPr>
                <w:p w14:paraId="5A646DC7">
                  <w:pPr>
                    <w:pStyle w:val="154"/>
                    <w:rPr>
                      <w:sz w:val="21"/>
                      <w:szCs w:val="21"/>
                    </w:rPr>
                  </w:pPr>
                  <w:r>
                    <w:rPr>
                      <w:sz w:val="21"/>
                      <w:szCs w:val="21"/>
                    </w:rPr>
                    <w:t>75</w:t>
                  </w:r>
                </w:p>
              </w:tc>
              <w:tc>
                <w:tcPr>
                  <w:tcW w:w="415" w:type="pct"/>
                  <w:vMerge w:val="continue"/>
                  <w:vAlign w:val="center"/>
                </w:tcPr>
                <w:p w14:paraId="3E06B7B9">
                  <w:pPr>
                    <w:pStyle w:val="154"/>
                    <w:rPr>
                      <w:sz w:val="21"/>
                      <w:szCs w:val="21"/>
                    </w:rPr>
                  </w:pPr>
                </w:p>
              </w:tc>
              <w:tc>
                <w:tcPr>
                  <w:tcW w:w="208" w:type="pct"/>
                  <w:vMerge w:val="restart"/>
                  <w:vAlign w:val="center"/>
                </w:tcPr>
                <w:p w14:paraId="4C6C2C33">
                  <w:pPr>
                    <w:pStyle w:val="154"/>
                    <w:rPr>
                      <w:sz w:val="21"/>
                      <w:szCs w:val="21"/>
                    </w:rPr>
                  </w:pPr>
                  <w:r>
                    <w:rPr>
                      <w:rFonts w:hint="eastAsia"/>
                      <w:sz w:val="21"/>
                      <w:szCs w:val="21"/>
                    </w:rPr>
                    <w:t>13</w:t>
                  </w:r>
                </w:p>
              </w:tc>
              <w:tc>
                <w:tcPr>
                  <w:tcW w:w="208" w:type="pct"/>
                  <w:vMerge w:val="restart"/>
                  <w:vAlign w:val="center"/>
                </w:tcPr>
                <w:p w14:paraId="534C482D">
                  <w:pPr>
                    <w:pStyle w:val="154"/>
                    <w:rPr>
                      <w:sz w:val="21"/>
                      <w:szCs w:val="21"/>
                    </w:rPr>
                  </w:pPr>
                  <w:r>
                    <w:rPr>
                      <w:rFonts w:hint="eastAsia"/>
                      <w:sz w:val="21"/>
                      <w:szCs w:val="21"/>
                    </w:rPr>
                    <w:t>3</w:t>
                  </w:r>
                </w:p>
              </w:tc>
              <w:tc>
                <w:tcPr>
                  <w:tcW w:w="260" w:type="pct"/>
                  <w:vMerge w:val="restart"/>
                  <w:vAlign w:val="center"/>
                </w:tcPr>
                <w:p w14:paraId="3F257E2C">
                  <w:pPr>
                    <w:pStyle w:val="154"/>
                    <w:rPr>
                      <w:sz w:val="21"/>
                      <w:szCs w:val="21"/>
                    </w:rPr>
                  </w:pPr>
                  <w:r>
                    <w:rPr>
                      <w:sz w:val="21"/>
                      <w:szCs w:val="21"/>
                    </w:rPr>
                    <w:t>1</w:t>
                  </w:r>
                </w:p>
              </w:tc>
              <w:tc>
                <w:tcPr>
                  <w:tcW w:w="224" w:type="pct"/>
                  <w:vAlign w:val="center"/>
                </w:tcPr>
                <w:p w14:paraId="6F03A41B">
                  <w:pPr>
                    <w:pStyle w:val="154"/>
                    <w:rPr>
                      <w:sz w:val="21"/>
                      <w:szCs w:val="21"/>
                    </w:rPr>
                  </w:pPr>
                  <w:r>
                    <w:rPr>
                      <w:sz w:val="21"/>
                      <w:szCs w:val="21"/>
                    </w:rPr>
                    <w:t>E</w:t>
                  </w:r>
                </w:p>
              </w:tc>
              <w:tc>
                <w:tcPr>
                  <w:tcW w:w="225" w:type="pct"/>
                  <w:vAlign w:val="center"/>
                </w:tcPr>
                <w:p w14:paraId="583EA6A1">
                  <w:pPr>
                    <w:pStyle w:val="154"/>
                    <w:rPr>
                      <w:sz w:val="21"/>
                      <w:szCs w:val="21"/>
                    </w:rPr>
                  </w:pPr>
                  <w:r>
                    <w:rPr>
                      <w:rFonts w:hint="eastAsia"/>
                      <w:sz w:val="21"/>
                      <w:szCs w:val="21"/>
                    </w:rPr>
                    <w:t>23</w:t>
                  </w:r>
                </w:p>
              </w:tc>
              <w:tc>
                <w:tcPr>
                  <w:tcW w:w="309" w:type="pct"/>
                  <w:vAlign w:val="center"/>
                </w:tcPr>
                <w:p w14:paraId="2B9F3F11">
                  <w:pPr>
                    <w:jc w:val="center"/>
                    <w:rPr>
                      <w:rFonts w:ascii="Times New Roman" w:hAnsi="Times New Roman" w:cs="Times New Roman"/>
                      <w:color w:val="000000"/>
                      <w:sz w:val="21"/>
                      <w:szCs w:val="21"/>
                    </w:rPr>
                  </w:pPr>
                  <w:r>
                    <w:rPr>
                      <w:rFonts w:ascii="Times New Roman" w:hAnsi="Times New Roman" w:cs="Times New Roman"/>
                      <w:color w:val="000000"/>
                      <w:sz w:val="21"/>
                      <w:szCs w:val="21"/>
                    </w:rPr>
                    <w:t>47.77</w:t>
                  </w:r>
                </w:p>
              </w:tc>
              <w:tc>
                <w:tcPr>
                  <w:tcW w:w="258" w:type="pct"/>
                  <w:vMerge w:val="restart"/>
                  <w:vAlign w:val="center"/>
                </w:tcPr>
                <w:p w14:paraId="4B4B794C">
                  <w:pPr>
                    <w:pStyle w:val="154"/>
                    <w:rPr>
                      <w:sz w:val="21"/>
                      <w:szCs w:val="21"/>
                    </w:rPr>
                  </w:pPr>
                  <w:r>
                    <w:rPr>
                      <w:rFonts w:hint="eastAsia"/>
                      <w:sz w:val="21"/>
                      <w:szCs w:val="21"/>
                    </w:rPr>
                    <w:t>昼间</w:t>
                  </w:r>
                </w:p>
              </w:tc>
              <w:tc>
                <w:tcPr>
                  <w:tcW w:w="258" w:type="pct"/>
                  <w:vAlign w:val="center"/>
                </w:tcPr>
                <w:p w14:paraId="090D4FC5">
                  <w:pPr>
                    <w:pStyle w:val="154"/>
                    <w:rPr>
                      <w:sz w:val="21"/>
                      <w:szCs w:val="21"/>
                    </w:rPr>
                  </w:pPr>
                  <w:r>
                    <w:rPr>
                      <w:sz w:val="21"/>
                      <w:szCs w:val="21"/>
                    </w:rPr>
                    <w:t>20</w:t>
                  </w:r>
                </w:p>
              </w:tc>
              <w:tc>
                <w:tcPr>
                  <w:tcW w:w="257" w:type="pct"/>
                  <w:vAlign w:val="bottom"/>
                </w:tcPr>
                <w:p w14:paraId="6948AD71">
                  <w:pPr>
                    <w:pStyle w:val="154"/>
                    <w:rPr>
                      <w:sz w:val="21"/>
                      <w:szCs w:val="21"/>
                    </w:rPr>
                  </w:pPr>
                  <w:r>
                    <w:rPr>
                      <w:rFonts w:hint="eastAsia"/>
                      <w:sz w:val="21"/>
                      <w:szCs w:val="21"/>
                    </w:rPr>
                    <w:t>27.77</w:t>
                  </w:r>
                </w:p>
              </w:tc>
              <w:tc>
                <w:tcPr>
                  <w:tcW w:w="251" w:type="pct"/>
                  <w:vAlign w:val="center"/>
                </w:tcPr>
                <w:p w14:paraId="73BBB80C">
                  <w:pPr>
                    <w:pStyle w:val="154"/>
                    <w:rPr>
                      <w:sz w:val="21"/>
                      <w:szCs w:val="21"/>
                    </w:rPr>
                  </w:pPr>
                  <w:r>
                    <w:rPr>
                      <w:rFonts w:hint="eastAsia"/>
                      <w:sz w:val="21"/>
                      <w:szCs w:val="21"/>
                    </w:rPr>
                    <w:t>1</w:t>
                  </w:r>
                </w:p>
              </w:tc>
            </w:tr>
            <w:tr w14:paraId="054249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21B0715E">
                  <w:pPr>
                    <w:pStyle w:val="154"/>
                    <w:rPr>
                      <w:sz w:val="21"/>
                      <w:szCs w:val="21"/>
                    </w:rPr>
                  </w:pPr>
                </w:p>
              </w:tc>
              <w:tc>
                <w:tcPr>
                  <w:tcW w:w="257" w:type="pct"/>
                  <w:vMerge w:val="continue"/>
                  <w:vAlign w:val="center"/>
                </w:tcPr>
                <w:p w14:paraId="2C47786E">
                  <w:pPr>
                    <w:pStyle w:val="154"/>
                    <w:rPr>
                      <w:sz w:val="21"/>
                      <w:szCs w:val="21"/>
                    </w:rPr>
                  </w:pPr>
                </w:p>
              </w:tc>
              <w:tc>
                <w:tcPr>
                  <w:tcW w:w="566" w:type="pct"/>
                  <w:vMerge w:val="continue"/>
                  <w:vAlign w:val="center"/>
                </w:tcPr>
                <w:p w14:paraId="2B352B44">
                  <w:pPr>
                    <w:pStyle w:val="154"/>
                    <w:rPr>
                      <w:sz w:val="21"/>
                      <w:szCs w:val="21"/>
                    </w:rPr>
                  </w:pPr>
                </w:p>
              </w:tc>
              <w:tc>
                <w:tcPr>
                  <w:tcW w:w="208" w:type="pct"/>
                  <w:vMerge w:val="continue"/>
                  <w:vAlign w:val="center"/>
                </w:tcPr>
                <w:p w14:paraId="3F504A6E">
                  <w:pPr>
                    <w:pStyle w:val="154"/>
                    <w:rPr>
                      <w:sz w:val="21"/>
                      <w:szCs w:val="21"/>
                    </w:rPr>
                  </w:pPr>
                </w:p>
              </w:tc>
              <w:tc>
                <w:tcPr>
                  <w:tcW w:w="572" w:type="pct"/>
                  <w:vMerge w:val="continue"/>
                  <w:vAlign w:val="center"/>
                </w:tcPr>
                <w:p w14:paraId="709BA711">
                  <w:pPr>
                    <w:pStyle w:val="154"/>
                    <w:rPr>
                      <w:sz w:val="21"/>
                      <w:szCs w:val="21"/>
                    </w:rPr>
                  </w:pPr>
                </w:p>
              </w:tc>
              <w:tc>
                <w:tcPr>
                  <w:tcW w:w="364" w:type="pct"/>
                  <w:vMerge w:val="continue"/>
                  <w:vAlign w:val="center"/>
                </w:tcPr>
                <w:p w14:paraId="2C41F454">
                  <w:pPr>
                    <w:pStyle w:val="154"/>
                    <w:rPr>
                      <w:sz w:val="21"/>
                      <w:szCs w:val="21"/>
                    </w:rPr>
                  </w:pPr>
                </w:p>
              </w:tc>
              <w:tc>
                <w:tcPr>
                  <w:tcW w:w="415" w:type="pct"/>
                  <w:vMerge w:val="continue"/>
                  <w:vAlign w:val="center"/>
                </w:tcPr>
                <w:p w14:paraId="2BF5FDA6">
                  <w:pPr>
                    <w:pStyle w:val="154"/>
                    <w:rPr>
                      <w:sz w:val="21"/>
                      <w:szCs w:val="21"/>
                    </w:rPr>
                  </w:pPr>
                </w:p>
              </w:tc>
              <w:tc>
                <w:tcPr>
                  <w:tcW w:w="208" w:type="pct"/>
                  <w:vMerge w:val="continue"/>
                  <w:vAlign w:val="center"/>
                </w:tcPr>
                <w:p w14:paraId="4671FDAA">
                  <w:pPr>
                    <w:pStyle w:val="154"/>
                    <w:rPr>
                      <w:sz w:val="21"/>
                      <w:szCs w:val="21"/>
                    </w:rPr>
                  </w:pPr>
                </w:p>
              </w:tc>
              <w:tc>
                <w:tcPr>
                  <w:tcW w:w="208" w:type="pct"/>
                  <w:vMerge w:val="continue"/>
                  <w:vAlign w:val="center"/>
                </w:tcPr>
                <w:p w14:paraId="2529C10F">
                  <w:pPr>
                    <w:pStyle w:val="154"/>
                    <w:rPr>
                      <w:sz w:val="21"/>
                      <w:szCs w:val="21"/>
                    </w:rPr>
                  </w:pPr>
                </w:p>
              </w:tc>
              <w:tc>
                <w:tcPr>
                  <w:tcW w:w="260" w:type="pct"/>
                  <w:vMerge w:val="continue"/>
                  <w:vAlign w:val="center"/>
                </w:tcPr>
                <w:p w14:paraId="2C9BF72A">
                  <w:pPr>
                    <w:pStyle w:val="154"/>
                    <w:rPr>
                      <w:sz w:val="21"/>
                      <w:szCs w:val="21"/>
                    </w:rPr>
                  </w:pPr>
                </w:p>
              </w:tc>
              <w:tc>
                <w:tcPr>
                  <w:tcW w:w="224" w:type="pct"/>
                  <w:vAlign w:val="center"/>
                </w:tcPr>
                <w:p w14:paraId="33C5B4E9">
                  <w:pPr>
                    <w:pStyle w:val="154"/>
                    <w:rPr>
                      <w:sz w:val="21"/>
                      <w:szCs w:val="21"/>
                    </w:rPr>
                  </w:pPr>
                  <w:r>
                    <w:rPr>
                      <w:rFonts w:hint="eastAsia"/>
                      <w:sz w:val="21"/>
                      <w:szCs w:val="21"/>
                    </w:rPr>
                    <w:t>W</w:t>
                  </w:r>
                </w:p>
              </w:tc>
              <w:tc>
                <w:tcPr>
                  <w:tcW w:w="225" w:type="pct"/>
                  <w:vAlign w:val="center"/>
                </w:tcPr>
                <w:p w14:paraId="5794BB6C">
                  <w:pPr>
                    <w:pStyle w:val="154"/>
                    <w:rPr>
                      <w:sz w:val="21"/>
                      <w:szCs w:val="21"/>
                    </w:rPr>
                  </w:pPr>
                  <w:r>
                    <w:rPr>
                      <w:rFonts w:hint="eastAsia"/>
                      <w:sz w:val="21"/>
                      <w:szCs w:val="21"/>
                    </w:rPr>
                    <w:t>13</w:t>
                  </w:r>
                </w:p>
              </w:tc>
              <w:tc>
                <w:tcPr>
                  <w:tcW w:w="309" w:type="pct"/>
                  <w:vAlign w:val="center"/>
                </w:tcPr>
                <w:p w14:paraId="7A5FBB5A">
                  <w:pPr>
                    <w:jc w:val="center"/>
                    <w:rPr>
                      <w:rFonts w:ascii="Times New Roman" w:hAnsi="Times New Roman" w:cs="Times New Roman"/>
                      <w:color w:val="000000"/>
                      <w:sz w:val="21"/>
                      <w:szCs w:val="21"/>
                    </w:rPr>
                  </w:pPr>
                  <w:r>
                    <w:rPr>
                      <w:rFonts w:ascii="Times New Roman" w:hAnsi="Times New Roman" w:cs="Times New Roman"/>
                      <w:color w:val="000000"/>
                      <w:sz w:val="21"/>
                      <w:szCs w:val="21"/>
                    </w:rPr>
                    <w:t>52.72</w:t>
                  </w:r>
                </w:p>
              </w:tc>
              <w:tc>
                <w:tcPr>
                  <w:tcW w:w="258" w:type="pct"/>
                  <w:vMerge w:val="continue"/>
                  <w:vAlign w:val="center"/>
                </w:tcPr>
                <w:p w14:paraId="3EBD5498">
                  <w:pPr>
                    <w:pStyle w:val="154"/>
                    <w:rPr>
                      <w:sz w:val="21"/>
                      <w:szCs w:val="21"/>
                    </w:rPr>
                  </w:pPr>
                </w:p>
              </w:tc>
              <w:tc>
                <w:tcPr>
                  <w:tcW w:w="258" w:type="pct"/>
                  <w:vAlign w:val="center"/>
                </w:tcPr>
                <w:p w14:paraId="52B7D454">
                  <w:pPr>
                    <w:pStyle w:val="154"/>
                    <w:rPr>
                      <w:sz w:val="21"/>
                      <w:szCs w:val="21"/>
                    </w:rPr>
                  </w:pPr>
                  <w:r>
                    <w:rPr>
                      <w:sz w:val="21"/>
                      <w:szCs w:val="21"/>
                    </w:rPr>
                    <w:t>20</w:t>
                  </w:r>
                </w:p>
              </w:tc>
              <w:tc>
                <w:tcPr>
                  <w:tcW w:w="257" w:type="pct"/>
                  <w:vAlign w:val="bottom"/>
                </w:tcPr>
                <w:p w14:paraId="6316E329">
                  <w:pPr>
                    <w:pStyle w:val="154"/>
                    <w:rPr>
                      <w:sz w:val="21"/>
                      <w:szCs w:val="21"/>
                    </w:rPr>
                  </w:pPr>
                  <w:r>
                    <w:rPr>
                      <w:rFonts w:hint="eastAsia"/>
                      <w:sz w:val="21"/>
                      <w:szCs w:val="21"/>
                    </w:rPr>
                    <w:t>32.72</w:t>
                  </w:r>
                </w:p>
              </w:tc>
              <w:tc>
                <w:tcPr>
                  <w:tcW w:w="251" w:type="pct"/>
                  <w:vAlign w:val="center"/>
                </w:tcPr>
                <w:p w14:paraId="41F9A1C3">
                  <w:pPr>
                    <w:pStyle w:val="154"/>
                    <w:rPr>
                      <w:sz w:val="21"/>
                      <w:szCs w:val="21"/>
                    </w:rPr>
                  </w:pPr>
                  <w:r>
                    <w:rPr>
                      <w:rFonts w:hint="eastAsia"/>
                      <w:sz w:val="21"/>
                      <w:szCs w:val="21"/>
                    </w:rPr>
                    <w:t>1</w:t>
                  </w:r>
                </w:p>
              </w:tc>
            </w:tr>
            <w:tr w14:paraId="64CC92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3EAD72F9">
                  <w:pPr>
                    <w:pStyle w:val="154"/>
                    <w:rPr>
                      <w:sz w:val="21"/>
                      <w:szCs w:val="21"/>
                    </w:rPr>
                  </w:pPr>
                </w:p>
              </w:tc>
              <w:tc>
                <w:tcPr>
                  <w:tcW w:w="257" w:type="pct"/>
                  <w:vMerge w:val="continue"/>
                  <w:vAlign w:val="center"/>
                </w:tcPr>
                <w:p w14:paraId="6540AE3A">
                  <w:pPr>
                    <w:pStyle w:val="154"/>
                    <w:rPr>
                      <w:sz w:val="21"/>
                      <w:szCs w:val="21"/>
                    </w:rPr>
                  </w:pPr>
                </w:p>
              </w:tc>
              <w:tc>
                <w:tcPr>
                  <w:tcW w:w="566" w:type="pct"/>
                  <w:vMerge w:val="continue"/>
                  <w:vAlign w:val="center"/>
                </w:tcPr>
                <w:p w14:paraId="7D1B6BA4">
                  <w:pPr>
                    <w:pStyle w:val="154"/>
                    <w:rPr>
                      <w:sz w:val="21"/>
                      <w:szCs w:val="21"/>
                    </w:rPr>
                  </w:pPr>
                </w:p>
              </w:tc>
              <w:tc>
                <w:tcPr>
                  <w:tcW w:w="208" w:type="pct"/>
                  <w:vMerge w:val="continue"/>
                  <w:vAlign w:val="center"/>
                </w:tcPr>
                <w:p w14:paraId="432EE892">
                  <w:pPr>
                    <w:pStyle w:val="154"/>
                    <w:rPr>
                      <w:sz w:val="21"/>
                      <w:szCs w:val="21"/>
                    </w:rPr>
                  </w:pPr>
                </w:p>
              </w:tc>
              <w:tc>
                <w:tcPr>
                  <w:tcW w:w="572" w:type="pct"/>
                  <w:vMerge w:val="continue"/>
                  <w:vAlign w:val="center"/>
                </w:tcPr>
                <w:p w14:paraId="283F341A">
                  <w:pPr>
                    <w:pStyle w:val="154"/>
                    <w:rPr>
                      <w:sz w:val="21"/>
                      <w:szCs w:val="21"/>
                    </w:rPr>
                  </w:pPr>
                </w:p>
              </w:tc>
              <w:tc>
                <w:tcPr>
                  <w:tcW w:w="364" w:type="pct"/>
                  <w:vMerge w:val="continue"/>
                  <w:vAlign w:val="center"/>
                </w:tcPr>
                <w:p w14:paraId="52C92171">
                  <w:pPr>
                    <w:pStyle w:val="154"/>
                    <w:rPr>
                      <w:sz w:val="21"/>
                      <w:szCs w:val="21"/>
                    </w:rPr>
                  </w:pPr>
                </w:p>
              </w:tc>
              <w:tc>
                <w:tcPr>
                  <w:tcW w:w="415" w:type="pct"/>
                  <w:vMerge w:val="continue"/>
                  <w:vAlign w:val="center"/>
                </w:tcPr>
                <w:p w14:paraId="2C21A350">
                  <w:pPr>
                    <w:pStyle w:val="154"/>
                    <w:rPr>
                      <w:sz w:val="21"/>
                      <w:szCs w:val="21"/>
                    </w:rPr>
                  </w:pPr>
                </w:p>
              </w:tc>
              <w:tc>
                <w:tcPr>
                  <w:tcW w:w="208" w:type="pct"/>
                  <w:vMerge w:val="continue"/>
                  <w:vAlign w:val="center"/>
                </w:tcPr>
                <w:p w14:paraId="518F13EA">
                  <w:pPr>
                    <w:pStyle w:val="154"/>
                    <w:rPr>
                      <w:sz w:val="21"/>
                      <w:szCs w:val="21"/>
                    </w:rPr>
                  </w:pPr>
                </w:p>
              </w:tc>
              <w:tc>
                <w:tcPr>
                  <w:tcW w:w="208" w:type="pct"/>
                  <w:vMerge w:val="continue"/>
                  <w:vAlign w:val="center"/>
                </w:tcPr>
                <w:p w14:paraId="29AC2C46">
                  <w:pPr>
                    <w:pStyle w:val="154"/>
                    <w:rPr>
                      <w:sz w:val="21"/>
                      <w:szCs w:val="21"/>
                    </w:rPr>
                  </w:pPr>
                </w:p>
              </w:tc>
              <w:tc>
                <w:tcPr>
                  <w:tcW w:w="260" w:type="pct"/>
                  <w:vMerge w:val="continue"/>
                  <w:vAlign w:val="center"/>
                </w:tcPr>
                <w:p w14:paraId="6CFBA12F">
                  <w:pPr>
                    <w:pStyle w:val="154"/>
                    <w:rPr>
                      <w:sz w:val="21"/>
                      <w:szCs w:val="21"/>
                    </w:rPr>
                  </w:pPr>
                </w:p>
              </w:tc>
              <w:tc>
                <w:tcPr>
                  <w:tcW w:w="224" w:type="pct"/>
                  <w:vAlign w:val="center"/>
                </w:tcPr>
                <w:p w14:paraId="66E96FE7">
                  <w:pPr>
                    <w:pStyle w:val="154"/>
                    <w:rPr>
                      <w:sz w:val="21"/>
                      <w:szCs w:val="21"/>
                    </w:rPr>
                  </w:pPr>
                  <w:r>
                    <w:rPr>
                      <w:sz w:val="21"/>
                      <w:szCs w:val="21"/>
                    </w:rPr>
                    <w:t>S</w:t>
                  </w:r>
                </w:p>
              </w:tc>
              <w:tc>
                <w:tcPr>
                  <w:tcW w:w="225" w:type="pct"/>
                  <w:vAlign w:val="center"/>
                </w:tcPr>
                <w:p w14:paraId="07BA08C4">
                  <w:pPr>
                    <w:pStyle w:val="154"/>
                    <w:rPr>
                      <w:sz w:val="21"/>
                      <w:szCs w:val="21"/>
                    </w:rPr>
                  </w:pPr>
                  <w:r>
                    <w:rPr>
                      <w:rFonts w:hint="eastAsia"/>
                      <w:sz w:val="21"/>
                      <w:szCs w:val="21"/>
                    </w:rPr>
                    <w:t>3</w:t>
                  </w:r>
                </w:p>
              </w:tc>
              <w:tc>
                <w:tcPr>
                  <w:tcW w:w="309" w:type="pct"/>
                  <w:vAlign w:val="center"/>
                </w:tcPr>
                <w:p w14:paraId="06966C27">
                  <w:pPr>
                    <w:jc w:val="center"/>
                    <w:rPr>
                      <w:rFonts w:ascii="Times New Roman" w:hAnsi="Times New Roman" w:cs="Times New Roman"/>
                      <w:color w:val="000000"/>
                      <w:sz w:val="21"/>
                      <w:szCs w:val="21"/>
                    </w:rPr>
                  </w:pPr>
                  <w:r>
                    <w:rPr>
                      <w:rFonts w:ascii="Times New Roman" w:hAnsi="Times New Roman" w:cs="Times New Roman"/>
                      <w:color w:val="000000"/>
                      <w:sz w:val="21"/>
                      <w:szCs w:val="21"/>
                    </w:rPr>
                    <w:t>65.46</w:t>
                  </w:r>
                </w:p>
              </w:tc>
              <w:tc>
                <w:tcPr>
                  <w:tcW w:w="258" w:type="pct"/>
                  <w:vMerge w:val="continue"/>
                  <w:vAlign w:val="center"/>
                </w:tcPr>
                <w:p w14:paraId="009D18A7">
                  <w:pPr>
                    <w:pStyle w:val="154"/>
                    <w:rPr>
                      <w:sz w:val="21"/>
                      <w:szCs w:val="21"/>
                    </w:rPr>
                  </w:pPr>
                </w:p>
              </w:tc>
              <w:tc>
                <w:tcPr>
                  <w:tcW w:w="258" w:type="pct"/>
                  <w:vAlign w:val="center"/>
                </w:tcPr>
                <w:p w14:paraId="52DB1436">
                  <w:pPr>
                    <w:pStyle w:val="154"/>
                    <w:rPr>
                      <w:sz w:val="21"/>
                      <w:szCs w:val="21"/>
                    </w:rPr>
                  </w:pPr>
                  <w:r>
                    <w:rPr>
                      <w:sz w:val="21"/>
                      <w:szCs w:val="21"/>
                    </w:rPr>
                    <w:t>20</w:t>
                  </w:r>
                </w:p>
              </w:tc>
              <w:tc>
                <w:tcPr>
                  <w:tcW w:w="257" w:type="pct"/>
                  <w:vAlign w:val="bottom"/>
                </w:tcPr>
                <w:p w14:paraId="587AC3EE">
                  <w:pPr>
                    <w:pStyle w:val="154"/>
                    <w:rPr>
                      <w:sz w:val="21"/>
                      <w:szCs w:val="21"/>
                    </w:rPr>
                  </w:pPr>
                  <w:r>
                    <w:rPr>
                      <w:rFonts w:hint="eastAsia"/>
                      <w:sz w:val="21"/>
                      <w:szCs w:val="21"/>
                    </w:rPr>
                    <w:t>45.46</w:t>
                  </w:r>
                </w:p>
              </w:tc>
              <w:tc>
                <w:tcPr>
                  <w:tcW w:w="251" w:type="pct"/>
                  <w:vAlign w:val="center"/>
                </w:tcPr>
                <w:p w14:paraId="035A25DE">
                  <w:pPr>
                    <w:pStyle w:val="154"/>
                    <w:rPr>
                      <w:sz w:val="21"/>
                      <w:szCs w:val="21"/>
                    </w:rPr>
                  </w:pPr>
                  <w:r>
                    <w:rPr>
                      <w:rFonts w:hint="eastAsia"/>
                      <w:sz w:val="21"/>
                      <w:szCs w:val="21"/>
                    </w:rPr>
                    <w:t>1</w:t>
                  </w:r>
                </w:p>
              </w:tc>
            </w:tr>
            <w:tr w14:paraId="7B583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6B8A7A78">
                  <w:pPr>
                    <w:pStyle w:val="154"/>
                    <w:rPr>
                      <w:sz w:val="21"/>
                      <w:szCs w:val="21"/>
                    </w:rPr>
                  </w:pPr>
                </w:p>
              </w:tc>
              <w:tc>
                <w:tcPr>
                  <w:tcW w:w="257" w:type="pct"/>
                  <w:vMerge w:val="continue"/>
                  <w:vAlign w:val="center"/>
                </w:tcPr>
                <w:p w14:paraId="19CD95E1">
                  <w:pPr>
                    <w:pStyle w:val="154"/>
                    <w:rPr>
                      <w:sz w:val="21"/>
                      <w:szCs w:val="21"/>
                    </w:rPr>
                  </w:pPr>
                </w:p>
              </w:tc>
              <w:tc>
                <w:tcPr>
                  <w:tcW w:w="566" w:type="pct"/>
                  <w:vMerge w:val="continue"/>
                  <w:vAlign w:val="center"/>
                </w:tcPr>
                <w:p w14:paraId="736621D6">
                  <w:pPr>
                    <w:pStyle w:val="154"/>
                    <w:rPr>
                      <w:sz w:val="21"/>
                      <w:szCs w:val="21"/>
                    </w:rPr>
                  </w:pPr>
                </w:p>
              </w:tc>
              <w:tc>
                <w:tcPr>
                  <w:tcW w:w="208" w:type="pct"/>
                  <w:vMerge w:val="continue"/>
                  <w:vAlign w:val="center"/>
                </w:tcPr>
                <w:p w14:paraId="6035AEB8">
                  <w:pPr>
                    <w:pStyle w:val="154"/>
                    <w:rPr>
                      <w:sz w:val="21"/>
                      <w:szCs w:val="21"/>
                    </w:rPr>
                  </w:pPr>
                </w:p>
              </w:tc>
              <w:tc>
                <w:tcPr>
                  <w:tcW w:w="572" w:type="pct"/>
                  <w:vMerge w:val="continue"/>
                  <w:vAlign w:val="center"/>
                </w:tcPr>
                <w:p w14:paraId="29AB36DB">
                  <w:pPr>
                    <w:pStyle w:val="154"/>
                    <w:rPr>
                      <w:sz w:val="21"/>
                      <w:szCs w:val="21"/>
                    </w:rPr>
                  </w:pPr>
                </w:p>
              </w:tc>
              <w:tc>
                <w:tcPr>
                  <w:tcW w:w="364" w:type="pct"/>
                  <w:vMerge w:val="continue"/>
                  <w:vAlign w:val="center"/>
                </w:tcPr>
                <w:p w14:paraId="67C01A7C">
                  <w:pPr>
                    <w:pStyle w:val="154"/>
                    <w:rPr>
                      <w:sz w:val="21"/>
                      <w:szCs w:val="21"/>
                    </w:rPr>
                  </w:pPr>
                </w:p>
              </w:tc>
              <w:tc>
                <w:tcPr>
                  <w:tcW w:w="415" w:type="pct"/>
                  <w:vMerge w:val="continue"/>
                  <w:vAlign w:val="center"/>
                </w:tcPr>
                <w:p w14:paraId="2016267D">
                  <w:pPr>
                    <w:pStyle w:val="154"/>
                    <w:rPr>
                      <w:sz w:val="21"/>
                      <w:szCs w:val="21"/>
                    </w:rPr>
                  </w:pPr>
                </w:p>
              </w:tc>
              <w:tc>
                <w:tcPr>
                  <w:tcW w:w="208" w:type="pct"/>
                  <w:vMerge w:val="continue"/>
                  <w:vAlign w:val="center"/>
                </w:tcPr>
                <w:p w14:paraId="20A21E05">
                  <w:pPr>
                    <w:pStyle w:val="154"/>
                    <w:rPr>
                      <w:sz w:val="21"/>
                      <w:szCs w:val="21"/>
                    </w:rPr>
                  </w:pPr>
                </w:p>
              </w:tc>
              <w:tc>
                <w:tcPr>
                  <w:tcW w:w="208" w:type="pct"/>
                  <w:vMerge w:val="continue"/>
                  <w:vAlign w:val="center"/>
                </w:tcPr>
                <w:p w14:paraId="21909261">
                  <w:pPr>
                    <w:pStyle w:val="154"/>
                    <w:rPr>
                      <w:sz w:val="21"/>
                      <w:szCs w:val="21"/>
                    </w:rPr>
                  </w:pPr>
                </w:p>
              </w:tc>
              <w:tc>
                <w:tcPr>
                  <w:tcW w:w="260" w:type="pct"/>
                  <w:vMerge w:val="continue"/>
                  <w:vAlign w:val="center"/>
                </w:tcPr>
                <w:p w14:paraId="0A807227">
                  <w:pPr>
                    <w:pStyle w:val="154"/>
                    <w:rPr>
                      <w:sz w:val="21"/>
                      <w:szCs w:val="21"/>
                    </w:rPr>
                  </w:pPr>
                </w:p>
              </w:tc>
              <w:tc>
                <w:tcPr>
                  <w:tcW w:w="224" w:type="pct"/>
                  <w:vAlign w:val="center"/>
                </w:tcPr>
                <w:p w14:paraId="758E8AA2">
                  <w:pPr>
                    <w:pStyle w:val="154"/>
                    <w:rPr>
                      <w:sz w:val="21"/>
                      <w:szCs w:val="21"/>
                    </w:rPr>
                  </w:pPr>
                  <w:r>
                    <w:rPr>
                      <w:sz w:val="21"/>
                      <w:szCs w:val="21"/>
                    </w:rPr>
                    <w:t>N</w:t>
                  </w:r>
                </w:p>
              </w:tc>
              <w:tc>
                <w:tcPr>
                  <w:tcW w:w="225" w:type="pct"/>
                  <w:vAlign w:val="center"/>
                </w:tcPr>
                <w:p w14:paraId="36916FE1">
                  <w:pPr>
                    <w:pStyle w:val="154"/>
                    <w:rPr>
                      <w:sz w:val="21"/>
                      <w:szCs w:val="21"/>
                    </w:rPr>
                  </w:pPr>
                  <w:r>
                    <w:rPr>
                      <w:rFonts w:hint="eastAsia"/>
                      <w:sz w:val="21"/>
                      <w:szCs w:val="21"/>
                    </w:rPr>
                    <w:t>29</w:t>
                  </w:r>
                </w:p>
              </w:tc>
              <w:tc>
                <w:tcPr>
                  <w:tcW w:w="309" w:type="pct"/>
                  <w:vAlign w:val="center"/>
                </w:tcPr>
                <w:p w14:paraId="6BFBC938">
                  <w:pPr>
                    <w:jc w:val="center"/>
                    <w:rPr>
                      <w:rFonts w:ascii="Times New Roman" w:hAnsi="Times New Roman" w:cs="Times New Roman"/>
                      <w:color w:val="000000"/>
                      <w:sz w:val="21"/>
                      <w:szCs w:val="21"/>
                    </w:rPr>
                  </w:pPr>
                  <w:r>
                    <w:rPr>
                      <w:rFonts w:ascii="Times New Roman" w:hAnsi="Times New Roman" w:cs="Times New Roman"/>
                      <w:color w:val="000000"/>
                      <w:sz w:val="21"/>
                      <w:szCs w:val="21"/>
                    </w:rPr>
                    <w:t>45.75</w:t>
                  </w:r>
                </w:p>
              </w:tc>
              <w:tc>
                <w:tcPr>
                  <w:tcW w:w="258" w:type="pct"/>
                  <w:vMerge w:val="continue"/>
                  <w:vAlign w:val="center"/>
                </w:tcPr>
                <w:p w14:paraId="628E46F5">
                  <w:pPr>
                    <w:pStyle w:val="154"/>
                    <w:rPr>
                      <w:sz w:val="21"/>
                      <w:szCs w:val="21"/>
                    </w:rPr>
                  </w:pPr>
                </w:p>
              </w:tc>
              <w:tc>
                <w:tcPr>
                  <w:tcW w:w="258" w:type="pct"/>
                  <w:vAlign w:val="center"/>
                </w:tcPr>
                <w:p w14:paraId="697374DD">
                  <w:pPr>
                    <w:pStyle w:val="154"/>
                    <w:rPr>
                      <w:sz w:val="21"/>
                      <w:szCs w:val="21"/>
                    </w:rPr>
                  </w:pPr>
                  <w:r>
                    <w:rPr>
                      <w:sz w:val="21"/>
                      <w:szCs w:val="21"/>
                    </w:rPr>
                    <w:t>20</w:t>
                  </w:r>
                </w:p>
              </w:tc>
              <w:tc>
                <w:tcPr>
                  <w:tcW w:w="257" w:type="pct"/>
                  <w:vAlign w:val="bottom"/>
                </w:tcPr>
                <w:p w14:paraId="2BA23096">
                  <w:pPr>
                    <w:pStyle w:val="154"/>
                    <w:rPr>
                      <w:sz w:val="21"/>
                      <w:szCs w:val="21"/>
                    </w:rPr>
                  </w:pPr>
                  <w:r>
                    <w:rPr>
                      <w:rFonts w:hint="eastAsia"/>
                      <w:sz w:val="21"/>
                      <w:szCs w:val="21"/>
                    </w:rPr>
                    <w:t>25.75</w:t>
                  </w:r>
                </w:p>
              </w:tc>
              <w:tc>
                <w:tcPr>
                  <w:tcW w:w="251" w:type="pct"/>
                  <w:vAlign w:val="center"/>
                </w:tcPr>
                <w:p w14:paraId="5AD60680">
                  <w:pPr>
                    <w:pStyle w:val="154"/>
                    <w:rPr>
                      <w:sz w:val="21"/>
                      <w:szCs w:val="21"/>
                    </w:rPr>
                  </w:pPr>
                  <w:r>
                    <w:rPr>
                      <w:rFonts w:hint="eastAsia"/>
                      <w:sz w:val="21"/>
                      <w:szCs w:val="21"/>
                    </w:rPr>
                    <w:t>1</w:t>
                  </w:r>
                </w:p>
              </w:tc>
            </w:tr>
            <w:tr w14:paraId="77268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7AAB5AAE">
                  <w:pPr>
                    <w:pStyle w:val="154"/>
                    <w:rPr>
                      <w:sz w:val="21"/>
                      <w:szCs w:val="21"/>
                    </w:rPr>
                  </w:pPr>
                  <w:r>
                    <w:rPr>
                      <w:rFonts w:hint="eastAsia"/>
                      <w:sz w:val="21"/>
                      <w:szCs w:val="21"/>
                    </w:rPr>
                    <w:t>7</w:t>
                  </w:r>
                </w:p>
              </w:tc>
              <w:tc>
                <w:tcPr>
                  <w:tcW w:w="257" w:type="pct"/>
                  <w:vMerge w:val="continue"/>
                  <w:vAlign w:val="center"/>
                </w:tcPr>
                <w:p w14:paraId="3F5CB7C2">
                  <w:pPr>
                    <w:pStyle w:val="154"/>
                    <w:rPr>
                      <w:sz w:val="21"/>
                      <w:szCs w:val="21"/>
                    </w:rPr>
                  </w:pPr>
                </w:p>
              </w:tc>
              <w:tc>
                <w:tcPr>
                  <w:tcW w:w="566" w:type="pct"/>
                  <w:vMerge w:val="restart"/>
                  <w:vAlign w:val="center"/>
                </w:tcPr>
                <w:p w14:paraId="3EDC9066">
                  <w:pPr>
                    <w:pStyle w:val="154"/>
                    <w:rPr>
                      <w:sz w:val="21"/>
                      <w:szCs w:val="21"/>
                    </w:rPr>
                  </w:pPr>
                  <w:r>
                    <w:rPr>
                      <w:sz w:val="21"/>
                      <w:szCs w:val="21"/>
                    </w:rPr>
                    <w:t>注塑机</w:t>
                  </w:r>
                  <w:r>
                    <w:rPr>
                      <w:rFonts w:hint="eastAsia"/>
                      <w:sz w:val="21"/>
                      <w:szCs w:val="21"/>
                    </w:rPr>
                    <w:t>4</w:t>
                  </w:r>
                  <w:r>
                    <w:rPr>
                      <w:sz w:val="21"/>
                      <w:szCs w:val="21"/>
                    </w:rPr>
                    <w:t>#</w:t>
                  </w:r>
                </w:p>
              </w:tc>
              <w:tc>
                <w:tcPr>
                  <w:tcW w:w="208" w:type="pct"/>
                  <w:vMerge w:val="restart"/>
                  <w:vAlign w:val="center"/>
                </w:tcPr>
                <w:p w14:paraId="284F1453">
                  <w:pPr>
                    <w:pStyle w:val="154"/>
                    <w:rPr>
                      <w:sz w:val="21"/>
                      <w:szCs w:val="21"/>
                    </w:rPr>
                  </w:pPr>
                  <w:r>
                    <w:rPr>
                      <w:sz w:val="21"/>
                      <w:szCs w:val="21"/>
                    </w:rPr>
                    <w:t>/</w:t>
                  </w:r>
                </w:p>
              </w:tc>
              <w:tc>
                <w:tcPr>
                  <w:tcW w:w="572" w:type="pct"/>
                  <w:vMerge w:val="restart"/>
                  <w:vAlign w:val="center"/>
                </w:tcPr>
                <w:p w14:paraId="286BBD8E">
                  <w:pPr>
                    <w:pStyle w:val="154"/>
                    <w:rPr>
                      <w:sz w:val="21"/>
                      <w:szCs w:val="21"/>
                    </w:rPr>
                  </w:pPr>
                  <w:r>
                    <w:rPr>
                      <w:sz w:val="21"/>
                      <w:szCs w:val="21"/>
                    </w:rPr>
                    <w:t>/</w:t>
                  </w:r>
                </w:p>
              </w:tc>
              <w:tc>
                <w:tcPr>
                  <w:tcW w:w="364" w:type="pct"/>
                  <w:vMerge w:val="restart"/>
                  <w:vAlign w:val="center"/>
                </w:tcPr>
                <w:p w14:paraId="2AAFD4B6">
                  <w:pPr>
                    <w:pStyle w:val="154"/>
                    <w:rPr>
                      <w:sz w:val="21"/>
                      <w:szCs w:val="21"/>
                    </w:rPr>
                  </w:pPr>
                  <w:r>
                    <w:rPr>
                      <w:sz w:val="21"/>
                      <w:szCs w:val="21"/>
                    </w:rPr>
                    <w:t>75</w:t>
                  </w:r>
                </w:p>
              </w:tc>
              <w:tc>
                <w:tcPr>
                  <w:tcW w:w="415" w:type="pct"/>
                  <w:vMerge w:val="continue"/>
                  <w:vAlign w:val="center"/>
                </w:tcPr>
                <w:p w14:paraId="0071723F">
                  <w:pPr>
                    <w:pStyle w:val="154"/>
                    <w:rPr>
                      <w:sz w:val="21"/>
                      <w:szCs w:val="21"/>
                    </w:rPr>
                  </w:pPr>
                </w:p>
              </w:tc>
              <w:tc>
                <w:tcPr>
                  <w:tcW w:w="208" w:type="pct"/>
                  <w:vMerge w:val="restart"/>
                  <w:vAlign w:val="center"/>
                </w:tcPr>
                <w:p w14:paraId="0CF3BA48">
                  <w:pPr>
                    <w:pStyle w:val="154"/>
                    <w:rPr>
                      <w:sz w:val="21"/>
                      <w:szCs w:val="21"/>
                    </w:rPr>
                  </w:pPr>
                  <w:r>
                    <w:rPr>
                      <w:rFonts w:hint="eastAsia"/>
                      <w:sz w:val="21"/>
                      <w:szCs w:val="21"/>
                    </w:rPr>
                    <w:t>20</w:t>
                  </w:r>
                </w:p>
              </w:tc>
              <w:tc>
                <w:tcPr>
                  <w:tcW w:w="208" w:type="pct"/>
                  <w:vMerge w:val="restart"/>
                  <w:vAlign w:val="center"/>
                </w:tcPr>
                <w:p w14:paraId="14D99805">
                  <w:pPr>
                    <w:pStyle w:val="154"/>
                    <w:rPr>
                      <w:sz w:val="21"/>
                      <w:szCs w:val="21"/>
                    </w:rPr>
                  </w:pPr>
                  <w:r>
                    <w:rPr>
                      <w:rFonts w:hint="eastAsia"/>
                      <w:sz w:val="21"/>
                      <w:szCs w:val="21"/>
                    </w:rPr>
                    <w:t>5</w:t>
                  </w:r>
                </w:p>
              </w:tc>
              <w:tc>
                <w:tcPr>
                  <w:tcW w:w="260" w:type="pct"/>
                  <w:vMerge w:val="restart"/>
                  <w:vAlign w:val="center"/>
                </w:tcPr>
                <w:p w14:paraId="030B41D3">
                  <w:pPr>
                    <w:pStyle w:val="154"/>
                    <w:rPr>
                      <w:sz w:val="21"/>
                      <w:szCs w:val="21"/>
                    </w:rPr>
                  </w:pPr>
                  <w:r>
                    <w:rPr>
                      <w:sz w:val="21"/>
                      <w:szCs w:val="21"/>
                    </w:rPr>
                    <w:t>1</w:t>
                  </w:r>
                </w:p>
              </w:tc>
              <w:tc>
                <w:tcPr>
                  <w:tcW w:w="224" w:type="pct"/>
                  <w:vAlign w:val="center"/>
                </w:tcPr>
                <w:p w14:paraId="75DE3EB8">
                  <w:pPr>
                    <w:pStyle w:val="154"/>
                    <w:rPr>
                      <w:sz w:val="21"/>
                      <w:szCs w:val="21"/>
                    </w:rPr>
                  </w:pPr>
                  <w:r>
                    <w:rPr>
                      <w:sz w:val="21"/>
                      <w:szCs w:val="21"/>
                    </w:rPr>
                    <w:t>E</w:t>
                  </w:r>
                </w:p>
              </w:tc>
              <w:tc>
                <w:tcPr>
                  <w:tcW w:w="225" w:type="pct"/>
                  <w:vAlign w:val="center"/>
                </w:tcPr>
                <w:p w14:paraId="3DD1AAEB">
                  <w:pPr>
                    <w:pStyle w:val="154"/>
                    <w:rPr>
                      <w:sz w:val="21"/>
                      <w:szCs w:val="21"/>
                    </w:rPr>
                  </w:pPr>
                  <w:r>
                    <w:rPr>
                      <w:rFonts w:hint="eastAsia"/>
                      <w:sz w:val="21"/>
                      <w:szCs w:val="21"/>
                    </w:rPr>
                    <w:t>15</w:t>
                  </w:r>
                </w:p>
              </w:tc>
              <w:tc>
                <w:tcPr>
                  <w:tcW w:w="309" w:type="pct"/>
                  <w:vAlign w:val="center"/>
                </w:tcPr>
                <w:p w14:paraId="6982B05A">
                  <w:pPr>
                    <w:jc w:val="center"/>
                    <w:rPr>
                      <w:rFonts w:ascii="Times New Roman" w:hAnsi="Times New Roman" w:cs="Times New Roman"/>
                      <w:color w:val="000000"/>
                      <w:sz w:val="21"/>
                      <w:szCs w:val="21"/>
                    </w:rPr>
                  </w:pPr>
                  <w:r>
                    <w:rPr>
                      <w:rFonts w:ascii="Times New Roman" w:hAnsi="Times New Roman" w:cs="Times New Roman"/>
                      <w:color w:val="000000"/>
                      <w:sz w:val="21"/>
                      <w:szCs w:val="21"/>
                    </w:rPr>
                    <w:t>51.48</w:t>
                  </w:r>
                </w:p>
              </w:tc>
              <w:tc>
                <w:tcPr>
                  <w:tcW w:w="258" w:type="pct"/>
                  <w:vMerge w:val="restart"/>
                  <w:vAlign w:val="center"/>
                </w:tcPr>
                <w:p w14:paraId="381FAD5F">
                  <w:pPr>
                    <w:pStyle w:val="154"/>
                    <w:rPr>
                      <w:sz w:val="21"/>
                      <w:szCs w:val="21"/>
                    </w:rPr>
                  </w:pPr>
                  <w:r>
                    <w:rPr>
                      <w:rFonts w:hint="eastAsia"/>
                      <w:sz w:val="21"/>
                      <w:szCs w:val="21"/>
                    </w:rPr>
                    <w:t>昼间</w:t>
                  </w:r>
                </w:p>
              </w:tc>
              <w:tc>
                <w:tcPr>
                  <w:tcW w:w="258" w:type="pct"/>
                  <w:vAlign w:val="center"/>
                </w:tcPr>
                <w:p w14:paraId="78CF2863">
                  <w:pPr>
                    <w:pStyle w:val="154"/>
                    <w:rPr>
                      <w:sz w:val="21"/>
                      <w:szCs w:val="21"/>
                    </w:rPr>
                  </w:pPr>
                  <w:r>
                    <w:rPr>
                      <w:sz w:val="21"/>
                      <w:szCs w:val="21"/>
                    </w:rPr>
                    <w:t>20</w:t>
                  </w:r>
                </w:p>
              </w:tc>
              <w:tc>
                <w:tcPr>
                  <w:tcW w:w="257" w:type="pct"/>
                  <w:vAlign w:val="bottom"/>
                </w:tcPr>
                <w:p w14:paraId="56CB162B">
                  <w:pPr>
                    <w:pStyle w:val="154"/>
                    <w:rPr>
                      <w:sz w:val="21"/>
                      <w:szCs w:val="21"/>
                    </w:rPr>
                  </w:pPr>
                  <w:r>
                    <w:rPr>
                      <w:rFonts w:hint="eastAsia"/>
                      <w:sz w:val="21"/>
                      <w:szCs w:val="21"/>
                    </w:rPr>
                    <w:t>31.48</w:t>
                  </w:r>
                </w:p>
              </w:tc>
              <w:tc>
                <w:tcPr>
                  <w:tcW w:w="251" w:type="pct"/>
                  <w:vAlign w:val="center"/>
                </w:tcPr>
                <w:p w14:paraId="33095220">
                  <w:pPr>
                    <w:pStyle w:val="154"/>
                    <w:rPr>
                      <w:sz w:val="21"/>
                      <w:szCs w:val="21"/>
                    </w:rPr>
                  </w:pPr>
                  <w:r>
                    <w:rPr>
                      <w:sz w:val="21"/>
                      <w:szCs w:val="21"/>
                    </w:rPr>
                    <w:t>1</w:t>
                  </w:r>
                </w:p>
              </w:tc>
            </w:tr>
            <w:tr w14:paraId="224435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562D131F">
                  <w:pPr>
                    <w:pStyle w:val="154"/>
                    <w:rPr>
                      <w:sz w:val="21"/>
                      <w:szCs w:val="21"/>
                    </w:rPr>
                  </w:pPr>
                </w:p>
              </w:tc>
              <w:tc>
                <w:tcPr>
                  <w:tcW w:w="257" w:type="pct"/>
                  <w:vMerge w:val="continue"/>
                  <w:vAlign w:val="center"/>
                </w:tcPr>
                <w:p w14:paraId="0E9B3BC2">
                  <w:pPr>
                    <w:pStyle w:val="154"/>
                    <w:rPr>
                      <w:sz w:val="21"/>
                      <w:szCs w:val="21"/>
                    </w:rPr>
                  </w:pPr>
                </w:p>
              </w:tc>
              <w:tc>
                <w:tcPr>
                  <w:tcW w:w="566" w:type="pct"/>
                  <w:vMerge w:val="continue"/>
                  <w:vAlign w:val="center"/>
                </w:tcPr>
                <w:p w14:paraId="7491F7BD">
                  <w:pPr>
                    <w:pStyle w:val="154"/>
                    <w:rPr>
                      <w:sz w:val="21"/>
                      <w:szCs w:val="21"/>
                    </w:rPr>
                  </w:pPr>
                </w:p>
              </w:tc>
              <w:tc>
                <w:tcPr>
                  <w:tcW w:w="208" w:type="pct"/>
                  <w:vMerge w:val="continue"/>
                  <w:vAlign w:val="center"/>
                </w:tcPr>
                <w:p w14:paraId="07770F6E">
                  <w:pPr>
                    <w:pStyle w:val="154"/>
                    <w:rPr>
                      <w:sz w:val="21"/>
                      <w:szCs w:val="21"/>
                    </w:rPr>
                  </w:pPr>
                </w:p>
              </w:tc>
              <w:tc>
                <w:tcPr>
                  <w:tcW w:w="572" w:type="pct"/>
                  <w:vMerge w:val="continue"/>
                  <w:vAlign w:val="center"/>
                </w:tcPr>
                <w:p w14:paraId="7C621B75">
                  <w:pPr>
                    <w:pStyle w:val="154"/>
                    <w:rPr>
                      <w:sz w:val="21"/>
                      <w:szCs w:val="21"/>
                    </w:rPr>
                  </w:pPr>
                </w:p>
              </w:tc>
              <w:tc>
                <w:tcPr>
                  <w:tcW w:w="364" w:type="pct"/>
                  <w:vMerge w:val="continue"/>
                  <w:vAlign w:val="center"/>
                </w:tcPr>
                <w:p w14:paraId="38B4117A">
                  <w:pPr>
                    <w:pStyle w:val="154"/>
                    <w:rPr>
                      <w:sz w:val="21"/>
                      <w:szCs w:val="21"/>
                    </w:rPr>
                  </w:pPr>
                </w:p>
              </w:tc>
              <w:tc>
                <w:tcPr>
                  <w:tcW w:w="415" w:type="pct"/>
                  <w:vMerge w:val="continue"/>
                  <w:vAlign w:val="center"/>
                </w:tcPr>
                <w:p w14:paraId="710CA5AA">
                  <w:pPr>
                    <w:pStyle w:val="154"/>
                    <w:rPr>
                      <w:sz w:val="21"/>
                      <w:szCs w:val="21"/>
                    </w:rPr>
                  </w:pPr>
                </w:p>
              </w:tc>
              <w:tc>
                <w:tcPr>
                  <w:tcW w:w="208" w:type="pct"/>
                  <w:vMerge w:val="continue"/>
                  <w:vAlign w:val="center"/>
                </w:tcPr>
                <w:p w14:paraId="089353F2">
                  <w:pPr>
                    <w:pStyle w:val="154"/>
                    <w:rPr>
                      <w:sz w:val="21"/>
                      <w:szCs w:val="21"/>
                    </w:rPr>
                  </w:pPr>
                </w:p>
              </w:tc>
              <w:tc>
                <w:tcPr>
                  <w:tcW w:w="208" w:type="pct"/>
                  <w:vMerge w:val="continue"/>
                  <w:vAlign w:val="center"/>
                </w:tcPr>
                <w:p w14:paraId="5FE4995A">
                  <w:pPr>
                    <w:pStyle w:val="154"/>
                    <w:rPr>
                      <w:sz w:val="21"/>
                      <w:szCs w:val="21"/>
                    </w:rPr>
                  </w:pPr>
                </w:p>
              </w:tc>
              <w:tc>
                <w:tcPr>
                  <w:tcW w:w="260" w:type="pct"/>
                  <w:vMerge w:val="continue"/>
                  <w:vAlign w:val="center"/>
                </w:tcPr>
                <w:p w14:paraId="493E8D27">
                  <w:pPr>
                    <w:pStyle w:val="154"/>
                    <w:rPr>
                      <w:sz w:val="21"/>
                      <w:szCs w:val="21"/>
                    </w:rPr>
                  </w:pPr>
                </w:p>
              </w:tc>
              <w:tc>
                <w:tcPr>
                  <w:tcW w:w="224" w:type="pct"/>
                  <w:vAlign w:val="center"/>
                </w:tcPr>
                <w:p w14:paraId="2341DB4F">
                  <w:pPr>
                    <w:pStyle w:val="154"/>
                    <w:rPr>
                      <w:sz w:val="21"/>
                      <w:szCs w:val="21"/>
                    </w:rPr>
                  </w:pPr>
                  <w:r>
                    <w:rPr>
                      <w:rFonts w:hint="eastAsia"/>
                      <w:sz w:val="21"/>
                      <w:szCs w:val="21"/>
                    </w:rPr>
                    <w:t>W</w:t>
                  </w:r>
                </w:p>
              </w:tc>
              <w:tc>
                <w:tcPr>
                  <w:tcW w:w="225" w:type="pct"/>
                  <w:vAlign w:val="center"/>
                </w:tcPr>
                <w:p w14:paraId="61A8E684">
                  <w:pPr>
                    <w:pStyle w:val="154"/>
                    <w:rPr>
                      <w:sz w:val="21"/>
                      <w:szCs w:val="21"/>
                    </w:rPr>
                  </w:pPr>
                  <w:r>
                    <w:rPr>
                      <w:rFonts w:hint="eastAsia"/>
                      <w:sz w:val="21"/>
                      <w:szCs w:val="21"/>
                    </w:rPr>
                    <w:t>20</w:t>
                  </w:r>
                </w:p>
              </w:tc>
              <w:tc>
                <w:tcPr>
                  <w:tcW w:w="309" w:type="pct"/>
                  <w:vAlign w:val="center"/>
                </w:tcPr>
                <w:p w14:paraId="6C97D09C">
                  <w:pPr>
                    <w:jc w:val="center"/>
                    <w:rPr>
                      <w:rFonts w:ascii="Times New Roman" w:hAnsi="Times New Roman" w:cs="Times New Roman"/>
                      <w:color w:val="000000"/>
                      <w:sz w:val="21"/>
                      <w:szCs w:val="21"/>
                    </w:rPr>
                  </w:pPr>
                  <w:r>
                    <w:rPr>
                      <w:rFonts w:ascii="Times New Roman" w:hAnsi="Times New Roman" w:cs="Times New Roman"/>
                      <w:color w:val="000000"/>
                      <w:sz w:val="21"/>
                      <w:szCs w:val="21"/>
                    </w:rPr>
                    <w:t>48.98</w:t>
                  </w:r>
                </w:p>
              </w:tc>
              <w:tc>
                <w:tcPr>
                  <w:tcW w:w="258" w:type="pct"/>
                  <w:vMerge w:val="continue"/>
                  <w:vAlign w:val="center"/>
                </w:tcPr>
                <w:p w14:paraId="093E7D6C">
                  <w:pPr>
                    <w:pStyle w:val="154"/>
                    <w:rPr>
                      <w:sz w:val="21"/>
                      <w:szCs w:val="21"/>
                    </w:rPr>
                  </w:pPr>
                </w:p>
              </w:tc>
              <w:tc>
                <w:tcPr>
                  <w:tcW w:w="258" w:type="pct"/>
                  <w:vAlign w:val="center"/>
                </w:tcPr>
                <w:p w14:paraId="61F27459">
                  <w:pPr>
                    <w:pStyle w:val="154"/>
                    <w:rPr>
                      <w:sz w:val="21"/>
                      <w:szCs w:val="21"/>
                    </w:rPr>
                  </w:pPr>
                  <w:r>
                    <w:rPr>
                      <w:sz w:val="21"/>
                      <w:szCs w:val="21"/>
                    </w:rPr>
                    <w:t>20</w:t>
                  </w:r>
                </w:p>
              </w:tc>
              <w:tc>
                <w:tcPr>
                  <w:tcW w:w="257" w:type="pct"/>
                  <w:vAlign w:val="bottom"/>
                </w:tcPr>
                <w:p w14:paraId="50FC7EB1">
                  <w:pPr>
                    <w:pStyle w:val="154"/>
                    <w:rPr>
                      <w:sz w:val="21"/>
                      <w:szCs w:val="21"/>
                    </w:rPr>
                  </w:pPr>
                  <w:r>
                    <w:rPr>
                      <w:rFonts w:hint="eastAsia"/>
                      <w:sz w:val="21"/>
                      <w:szCs w:val="21"/>
                    </w:rPr>
                    <w:t>28.98</w:t>
                  </w:r>
                </w:p>
              </w:tc>
              <w:tc>
                <w:tcPr>
                  <w:tcW w:w="251" w:type="pct"/>
                  <w:vAlign w:val="center"/>
                </w:tcPr>
                <w:p w14:paraId="1B7A0EA9">
                  <w:pPr>
                    <w:pStyle w:val="154"/>
                    <w:rPr>
                      <w:sz w:val="21"/>
                      <w:szCs w:val="21"/>
                    </w:rPr>
                  </w:pPr>
                  <w:r>
                    <w:rPr>
                      <w:sz w:val="21"/>
                      <w:szCs w:val="21"/>
                    </w:rPr>
                    <w:t>1</w:t>
                  </w:r>
                </w:p>
              </w:tc>
            </w:tr>
            <w:tr w14:paraId="40044A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2DCB3A17">
                  <w:pPr>
                    <w:pStyle w:val="154"/>
                    <w:rPr>
                      <w:sz w:val="21"/>
                      <w:szCs w:val="21"/>
                    </w:rPr>
                  </w:pPr>
                </w:p>
              </w:tc>
              <w:tc>
                <w:tcPr>
                  <w:tcW w:w="257" w:type="pct"/>
                  <w:vMerge w:val="continue"/>
                  <w:vAlign w:val="center"/>
                </w:tcPr>
                <w:p w14:paraId="2D1D44F6">
                  <w:pPr>
                    <w:pStyle w:val="154"/>
                    <w:rPr>
                      <w:sz w:val="21"/>
                      <w:szCs w:val="21"/>
                    </w:rPr>
                  </w:pPr>
                </w:p>
              </w:tc>
              <w:tc>
                <w:tcPr>
                  <w:tcW w:w="566" w:type="pct"/>
                  <w:vMerge w:val="continue"/>
                  <w:vAlign w:val="center"/>
                </w:tcPr>
                <w:p w14:paraId="3B83EE65">
                  <w:pPr>
                    <w:pStyle w:val="154"/>
                    <w:rPr>
                      <w:sz w:val="21"/>
                      <w:szCs w:val="21"/>
                    </w:rPr>
                  </w:pPr>
                </w:p>
              </w:tc>
              <w:tc>
                <w:tcPr>
                  <w:tcW w:w="208" w:type="pct"/>
                  <w:vMerge w:val="continue"/>
                  <w:vAlign w:val="center"/>
                </w:tcPr>
                <w:p w14:paraId="1F219864">
                  <w:pPr>
                    <w:pStyle w:val="154"/>
                    <w:rPr>
                      <w:sz w:val="21"/>
                      <w:szCs w:val="21"/>
                    </w:rPr>
                  </w:pPr>
                </w:p>
              </w:tc>
              <w:tc>
                <w:tcPr>
                  <w:tcW w:w="572" w:type="pct"/>
                  <w:vMerge w:val="continue"/>
                  <w:vAlign w:val="center"/>
                </w:tcPr>
                <w:p w14:paraId="3F1EF9DA">
                  <w:pPr>
                    <w:pStyle w:val="154"/>
                    <w:rPr>
                      <w:sz w:val="21"/>
                      <w:szCs w:val="21"/>
                    </w:rPr>
                  </w:pPr>
                </w:p>
              </w:tc>
              <w:tc>
                <w:tcPr>
                  <w:tcW w:w="364" w:type="pct"/>
                  <w:vMerge w:val="continue"/>
                  <w:vAlign w:val="center"/>
                </w:tcPr>
                <w:p w14:paraId="4085BADF">
                  <w:pPr>
                    <w:pStyle w:val="154"/>
                    <w:rPr>
                      <w:sz w:val="21"/>
                      <w:szCs w:val="21"/>
                    </w:rPr>
                  </w:pPr>
                </w:p>
              </w:tc>
              <w:tc>
                <w:tcPr>
                  <w:tcW w:w="415" w:type="pct"/>
                  <w:vMerge w:val="continue"/>
                  <w:vAlign w:val="center"/>
                </w:tcPr>
                <w:p w14:paraId="47D3414B">
                  <w:pPr>
                    <w:pStyle w:val="154"/>
                    <w:rPr>
                      <w:sz w:val="21"/>
                      <w:szCs w:val="21"/>
                    </w:rPr>
                  </w:pPr>
                </w:p>
              </w:tc>
              <w:tc>
                <w:tcPr>
                  <w:tcW w:w="208" w:type="pct"/>
                  <w:vMerge w:val="continue"/>
                  <w:vAlign w:val="center"/>
                </w:tcPr>
                <w:p w14:paraId="6D40E425">
                  <w:pPr>
                    <w:pStyle w:val="154"/>
                    <w:rPr>
                      <w:sz w:val="21"/>
                      <w:szCs w:val="21"/>
                    </w:rPr>
                  </w:pPr>
                </w:p>
              </w:tc>
              <w:tc>
                <w:tcPr>
                  <w:tcW w:w="208" w:type="pct"/>
                  <w:vMerge w:val="continue"/>
                  <w:vAlign w:val="center"/>
                </w:tcPr>
                <w:p w14:paraId="00850323">
                  <w:pPr>
                    <w:pStyle w:val="154"/>
                    <w:rPr>
                      <w:sz w:val="21"/>
                      <w:szCs w:val="21"/>
                    </w:rPr>
                  </w:pPr>
                </w:p>
              </w:tc>
              <w:tc>
                <w:tcPr>
                  <w:tcW w:w="260" w:type="pct"/>
                  <w:vMerge w:val="continue"/>
                  <w:vAlign w:val="center"/>
                </w:tcPr>
                <w:p w14:paraId="303031CB">
                  <w:pPr>
                    <w:pStyle w:val="154"/>
                    <w:rPr>
                      <w:sz w:val="21"/>
                      <w:szCs w:val="21"/>
                    </w:rPr>
                  </w:pPr>
                </w:p>
              </w:tc>
              <w:tc>
                <w:tcPr>
                  <w:tcW w:w="224" w:type="pct"/>
                  <w:vAlign w:val="center"/>
                </w:tcPr>
                <w:p w14:paraId="28E15C72">
                  <w:pPr>
                    <w:pStyle w:val="154"/>
                    <w:rPr>
                      <w:sz w:val="21"/>
                      <w:szCs w:val="21"/>
                    </w:rPr>
                  </w:pPr>
                  <w:r>
                    <w:rPr>
                      <w:sz w:val="21"/>
                      <w:szCs w:val="21"/>
                    </w:rPr>
                    <w:t>S</w:t>
                  </w:r>
                </w:p>
              </w:tc>
              <w:tc>
                <w:tcPr>
                  <w:tcW w:w="225" w:type="pct"/>
                  <w:vAlign w:val="center"/>
                </w:tcPr>
                <w:p w14:paraId="4B9F30E3">
                  <w:pPr>
                    <w:pStyle w:val="154"/>
                    <w:rPr>
                      <w:sz w:val="21"/>
                      <w:szCs w:val="21"/>
                    </w:rPr>
                  </w:pPr>
                  <w:r>
                    <w:rPr>
                      <w:rFonts w:hint="eastAsia"/>
                      <w:sz w:val="21"/>
                      <w:szCs w:val="21"/>
                    </w:rPr>
                    <w:t>5</w:t>
                  </w:r>
                </w:p>
              </w:tc>
              <w:tc>
                <w:tcPr>
                  <w:tcW w:w="309" w:type="pct"/>
                  <w:vAlign w:val="center"/>
                </w:tcPr>
                <w:p w14:paraId="29FC560B">
                  <w:pPr>
                    <w:jc w:val="center"/>
                    <w:rPr>
                      <w:rFonts w:ascii="Times New Roman" w:hAnsi="Times New Roman" w:cs="Times New Roman"/>
                      <w:color w:val="000000"/>
                      <w:sz w:val="21"/>
                      <w:szCs w:val="21"/>
                    </w:rPr>
                  </w:pPr>
                  <w:r>
                    <w:rPr>
                      <w:rFonts w:ascii="Times New Roman" w:hAnsi="Times New Roman" w:cs="Times New Roman"/>
                      <w:color w:val="000000"/>
                      <w:sz w:val="21"/>
                      <w:szCs w:val="21"/>
                    </w:rPr>
                    <w:t>61.02</w:t>
                  </w:r>
                </w:p>
              </w:tc>
              <w:tc>
                <w:tcPr>
                  <w:tcW w:w="258" w:type="pct"/>
                  <w:vMerge w:val="continue"/>
                  <w:vAlign w:val="center"/>
                </w:tcPr>
                <w:p w14:paraId="26085997">
                  <w:pPr>
                    <w:pStyle w:val="154"/>
                    <w:rPr>
                      <w:sz w:val="21"/>
                      <w:szCs w:val="21"/>
                    </w:rPr>
                  </w:pPr>
                </w:p>
              </w:tc>
              <w:tc>
                <w:tcPr>
                  <w:tcW w:w="258" w:type="pct"/>
                  <w:vAlign w:val="center"/>
                </w:tcPr>
                <w:p w14:paraId="04E110DB">
                  <w:pPr>
                    <w:pStyle w:val="154"/>
                    <w:rPr>
                      <w:sz w:val="21"/>
                      <w:szCs w:val="21"/>
                    </w:rPr>
                  </w:pPr>
                  <w:r>
                    <w:rPr>
                      <w:sz w:val="21"/>
                      <w:szCs w:val="21"/>
                    </w:rPr>
                    <w:t>20</w:t>
                  </w:r>
                </w:p>
              </w:tc>
              <w:tc>
                <w:tcPr>
                  <w:tcW w:w="257" w:type="pct"/>
                  <w:vAlign w:val="bottom"/>
                </w:tcPr>
                <w:p w14:paraId="25365F4A">
                  <w:pPr>
                    <w:pStyle w:val="154"/>
                    <w:rPr>
                      <w:sz w:val="21"/>
                      <w:szCs w:val="21"/>
                    </w:rPr>
                  </w:pPr>
                  <w:r>
                    <w:rPr>
                      <w:rFonts w:hint="eastAsia"/>
                      <w:sz w:val="21"/>
                      <w:szCs w:val="21"/>
                    </w:rPr>
                    <w:t>41.02</w:t>
                  </w:r>
                </w:p>
              </w:tc>
              <w:tc>
                <w:tcPr>
                  <w:tcW w:w="251" w:type="pct"/>
                  <w:vAlign w:val="center"/>
                </w:tcPr>
                <w:p w14:paraId="60B61432">
                  <w:pPr>
                    <w:pStyle w:val="154"/>
                    <w:rPr>
                      <w:sz w:val="21"/>
                      <w:szCs w:val="21"/>
                    </w:rPr>
                  </w:pPr>
                  <w:r>
                    <w:rPr>
                      <w:sz w:val="21"/>
                      <w:szCs w:val="21"/>
                    </w:rPr>
                    <w:t>1</w:t>
                  </w:r>
                </w:p>
              </w:tc>
            </w:tr>
            <w:tr w14:paraId="4C6A5B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220D650C">
                  <w:pPr>
                    <w:pStyle w:val="154"/>
                    <w:rPr>
                      <w:sz w:val="21"/>
                      <w:szCs w:val="21"/>
                    </w:rPr>
                  </w:pPr>
                </w:p>
              </w:tc>
              <w:tc>
                <w:tcPr>
                  <w:tcW w:w="257" w:type="pct"/>
                  <w:vMerge w:val="continue"/>
                  <w:vAlign w:val="center"/>
                </w:tcPr>
                <w:p w14:paraId="784B0975">
                  <w:pPr>
                    <w:pStyle w:val="154"/>
                    <w:rPr>
                      <w:sz w:val="21"/>
                      <w:szCs w:val="21"/>
                    </w:rPr>
                  </w:pPr>
                </w:p>
              </w:tc>
              <w:tc>
                <w:tcPr>
                  <w:tcW w:w="566" w:type="pct"/>
                  <w:vMerge w:val="continue"/>
                  <w:vAlign w:val="center"/>
                </w:tcPr>
                <w:p w14:paraId="570D8504">
                  <w:pPr>
                    <w:pStyle w:val="154"/>
                    <w:rPr>
                      <w:sz w:val="21"/>
                      <w:szCs w:val="21"/>
                    </w:rPr>
                  </w:pPr>
                </w:p>
              </w:tc>
              <w:tc>
                <w:tcPr>
                  <w:tcW w:w="208" w:type="pct"/>
                  <w:vMerge w:val="continue"/>
                  <w:vAlign w:val="center"/>
                </w:tcPr>
                <w:p w14:paraId="609CA8C5">
                  <w:pPr>
                    <w:pStyle w:val="154"/>
                    <w:rPr>
                      <w:sz w:val="21"/>
                      <w:szCs w:val="21"/>
                    </w:rPr>
                  </w:pPr>
                </w:p>
              </w:tc>
              <w:tc>
                <w:tcPr>
                  <w:tcW w:w="572" w:type="pct"/>
                  <w:vMerge w:val="continue"/>
                  <w:vAlign w:val="center"/>
                </w:tcPr>
                <w:p w14:paraId="1D1F329C">
                  <w:pPr>
                    <w:pStyle w:val="154"/>
                    <w:rPr>
                      <w:sz w:val="21"/>
                      <w:szCs w:val="21"/>
                    </w:rPr>
                  </w:pPr>
                </w:p>
              </w:tc>
              <w:tc>
                <w:tcPr>
                  <w:tcW w:w="364" w:type="pct"/>
                  <w:vMerge w:val="continue"/>
                  <w:vAlign w:val="center"/>
                </w:tcPr>
                <w:p w14:paraId="47BE136E">
                  <w:pPr>
                    <w:pStyle w:val="154"/>
                    <w:rPr>
                      <w:sz w:val="21"/>
                      <w:szCs w:val="21"/>
                    </w:rPr>
                  </w:pPr>
                </w:p>
              </w:tc>
              <w:tc>
                <w:tcPr>
                  <w:tcW w:w="415" w:type="pct"/>
                  <w:vMerge w:val="continue"/>
                  <w:vAlign w:val="center"/>
                </w:tcPr>
                <w:p w14:paraId="3159EFEB">
                  <w:pPr>
                    <w:pStyle w:val="154"/>
                    <w:rPr>
                      <w:sz w:val="21"/>
                      <w:szCs w:val="21"/>
                    </w:rPr>
                  </w:pPr>
                </w:p>
              </w:tc>
              <w:tc>
                <w:tcPr>
                  <w:tcW w:w="208" w:type="pct"/>
                  <w:vMerge w:val="continue"/>
                  <w:vAlign w:val="center"/>
                </w:tcPr>
                <w:p w14:paraId="28B57F77">
                  <w:pPr>
                    <w:pStyle w:val="154"/>
                    <w:rPr>
                      <w:sz w:val="21"/>
                      <w:szCs w:val="21"/>
                    </w:rPr>
                  </w:pPr>
                </w:p>
              </w:tc>
              <w:tc>
                <w:tcPr>
                  <w:tcW w:w="208" w:type="pct"/>
                  <w:vMerge w:val="continue"/>
                  <w:vAlign w:val="center"/>
                </w:tcPr>
                <w:p w14:paraId="4EC69C70">
                  <w:pPr>
                    <w:pStyle w:val="154"/>
                    <w:rPr>
                      <w:sz w:val="21"/>
                      <w:szCs w:val="21"/>
                    </w:rPr>
                  </w:pPr>
                </w:p>
              </w:tc>
              <w:tc>
                <w:tcPr>
                  <w:tcW w:w="260" w:type="pct"/>
                  <w:vMerge w:val="continue"/>
                  <w:vAlign w:val="center"/>
                </w:tcPr>
                <w:p w14:paraId="09A67114">
                  <w:pPr>
                    <w:pStyle w:val="154"/>
                    <w:rPr>
                      <w:sz w:val="21"/>
                      <w:szCs w:val="21"/>
                    </w:rPr>
                  </w:pPr>
                </w:p>
              </w:tc>
              <w:tc>
                <w:tcPr>
                  <w:tcW w:w="224" w:type="pct"/>
                  <w:vAlign w:val="center"/>
                </w:tcPr>
                <w:p w14:paraId="23912216">
                  <w:pPr>
                    <w:pStyle w:val="154"/>
                    <w:rPr>
                      <w:sz w:val="21"/>
                      <w:szCs w:val="21"/>
                    </w:rPr>
                  </w:pPr>
                  <w:r>
                    <w:rPr>
                      <w:sz w:val="21"/>
                      <w:szCs w:val="21"/>
                    </w:rPr>
                    <w:t>N</w:t>
                  </w:r>
                </w:p>
              </w:tc>
              <w:tc>
                <w:tcPr>
                  <w:tcW w:w="225" w:type="pct"/>
                  <w:vAlign w:val="center"/>
                </w:tcPr>
                <w:p w14:paraId="180EB271">
                  <w:pPr>
                    <w:pStyle w:val="154"/>
                    <w:rPr>
                      <w:sz w:val="21"/>
                      <w:szCs w:val="21"/>
                    </w:rPr>
                  </w:pPr>
                  <w:r>
                    <w:rPr>
                      <w:rFonts w:hint="eastAsia"/>
                      <w:sz w:val="21"/>
                      <w:szCs w:val="21"/>
                    </w:rPr>
                    <w:t>25</w:t>
                  </w:r>
                </w:p>
              </w:tc>
              <w:tc>
                <w:tcPr>
                  <w:tcW w:w="309" w:type="pct"/>
                  <w:vAlign w:val="center"/>
                </w:tcPr>
                <w:p w14:paraId="1B360C17">
                  <w:pPr>
                    <w:jc w:val="center"/>
                    <w:rPr>
                      <w:rFonts w:ascii="Times New Roman" w:hAnsi="Times New Roman" w:cs="Times New Roman"/>
                      <w:color w:val="000000"/>
                      <w:sz w:val="21"/>
                      <w:szCs w:val="21"/>
                    </w:rPr>
                  </w:pPr>
                  <w:r>
                    <w:rPr>
                      <w:rFonts w:ascii="Times New Roman" w:hAnsi="Times New Roman" w:cs="Times New Roman"/>
                      <w:color w:val="000000"/>
                      <w:sz w:val="21"/>
                      <w:szCs w:val="21"/>
                    </w:rPr>
                    <w:t>47.04</w:t>
                  </w:r>
                </w:p>
              </w:tc>
              <w:tc>
                <w:tcPr>
                  <w:tcW w:w="258" w:type="pct"/>
                  <w:vMerge w:val="continue"/>
                  <w:vAlign w:val="center"/>
                </w:tcPr>
                <w:p w14:paraId="0A317837">
                  <w:pPr>
                    <w:pStyle w:val="154"/>
                    <w:rPr>
                      <w:sz w:val="21"/>
                      <w:szCs w:val="21"/>
                    </w:rPr>
                  </w:pPr>
                </w:p>
              </w:tc>
              <w:tc>
                <w:tcPr>
                  <w:tcW w:w="258" w:type="pct"/>
                  <w:vAlign w:val="center"/>
                </w:tcPr>
                <w:p w14:paraId="093254AE">
                  <w:pPr>
                    <w:pStyle w:val="154"/>
                    <w:rPr>
                      <w:sz w:val="21"/>
                      <w:szCs w:val="21"/>
                    </w:rPr>
                  </w:pPr>
                  <w:r>
                    <w:rPr>
                      <w:sz w:val="21"/>
                      <w:szCs w:val="21"/>
                    </w:rPr>
                    <w:t>20</w:t>
                  </w:r>
                </w:p>
              </w:tc>
              <w:tc>
                <w:tcPr>
                  <w:tcW w:w="257" w:type="pct"/>
                  <w:vAlign w:val="bottom"/>
                </w:tcPr>
                <w:p w14:paraId="01B95976">
                  <w:pPr>
                    <w:pStyle w:val="154"/>
                    <w:rPr>
                      <w:sz w:val="21"/>
                      <w:szCs w:val="21"/>
                    </w:rPr>
                  </w:pPr>
                  <w:r>
                    <w:rPr>
                      <w:rFonts w:hint="eastAsia"/>
                      <w:sz w:val="21"/>
                      <w:szCs w:val="21"/>
                    </w:rPr>
                    <w:t>27.04</w:t>
                  </w:r>
                </w:p>
              </w:tc>
              <w:tc>
                <w:tcPr>
                  <w:tcW w:w="251" w:type="pct"/>
                  <w:vAlign w:val="center"/>
                </w:tcPr>
                <w:p w14:paraId="6214632F">
                  <w:pPr>
                    <w:pStyle w:val="154"/>
                    <w:rPr>
                      <w:sz w:val="21"/>
                      <w:szCs w:val="21"/>
                    </w:rPr>
                  </w:pPr>
                  <w:r>
                    <w:rPr>
                      <w:sz w:val="21"/>
                      <w:szCs w:val="21"/>
                    </w:rPr>
                    <w:t>1</w:t>
                  </w:r>
                </w:p>
              </w:tc>
            </w:tr>
            <w:tr w14:paraId="041F90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2956508A">
                  <w:pPr>
                    <w:pStyle w:val="154"/>
                    <w:rPr>
                      <w:sz w:val="21"/>
                      <w:szCs w:val="21"/>
                    </w:rPr>
                  </w:pPr>
                  <w:r>
                    <w:rPr>
                      <w:rFonts w:hint="eastAsia"/>
                      <w:sz w:val="21"/>
                      <w:szCs w:val="21"/>
                    </w:rPr>
                    <w:t>8</w:t>
                  </w:r>
                </w:p>
              </w:tc>
              <w:tc>
                <w:tcPr>
                  <w:tcW w:w="257" w:type="pct"/>
                  <w:vMerge w:val="continue"/>
                  <w:vAlign w:val="center"/>
                </w:tcPr>
                <w:p w14:paraId="47A26839">
                  <w:pPr>
                    <w:pStyle w:val="154"/>
                    <w:rPr>
                      <w:sz w:val="21"/>
                      <w:szCs w:val="21"/>
                    </w:rPr>
                  </w:pPr>
                </w:p>
              </w:tc>
              <w:tc>
                <w:tcPr>
                  <w:tcW w:w="566" w:type="pct"/>
                  <w:vMerge w:val="restart"/>
                  <w:vAlign w:val="center"/>
                </w:tcPr>
                <w:p w14:paraId="6E562446">
                  <w:pPr>
                    <w:pStyle w:val="154"/>
                    <w:rPr>
                      <w:sz w:val="21"/>
                      <w:szCs w:val="21"/>
                    </w:rPr>
                  </w:pPr>
                  <w:r>
                    <w:rPr>
                      <w:rFonts w:hint="eastAsia"/>
                      <w:sz w:val="21"/>
                      <w:szCs w:val="21"/>
                    </w:rPr>
                    <w:t>注塑机5</w:t>
                  </w:r>
                  <w:r>
                    <w:rPr>
                      <w:sz w:val="21"/>
                      <w:szCs w:val="21"/>
                    </w:rPr>
                    <w:t>#</w:t>
                  </w:r>
                </w:p>
              </w:tc>
              <w:tc>
                <w:tcPr>
                  <w:tcW w:w="208" w:type="pct"/>
                  <w:vMerge w:val="restart"/>
                  <w:vAlign w:val="center"/>
                </w:tcPr>
                <w:p w14:paraId="4EC537D1">
                  <w:pPr>
                    <w:pStyle w:val="154"/>
                    <w:rPr>
                      <w:sz w:val="21"/>
                      <w:szCs w:val="21"/>
                    </w:rPr>
                  </w:pPr>
                  <w:r>
                    <w:rPr>
                      <w:sz w:val="21"/>
                      <w:szCs w:val="21"/>
                    </w:rPr>
                    <w:t>/</w:t>
                  </w:r>
                </w:p>
              </w:tc>
              <w:tc>
                <w:tcPr>
                  <w:tcW w:w="572" w:type="pct"/>
                  <w:vMerge w:val="restart"/>
                  <w:vAlign w:val="center"/>
                </w:tcPr>
                <w:p w14:paraId="5499BF84">
                  <w:pPr>
                    <w:pStyle w:val="154"/>
                    <w:rPr>
                      <w:sz w:val="21"/>
                      <w:szCs w:val="21"/>
                    </w:rPr>
                  </w:pPr>
                  <w:r>
                    <w:rPr>
                      <w:sz w:val="21"/>
                      <w:szCs w:val="21"/>
                    </w:rPr>
                    <w:t>/</w:t>
                  </w:r>
                </w:p>
              </w:tc>
              <w:tc>
                <w:tcPr>
                  <w:tcW w:w="364" w:type="pct"/>
                  <w:vMerge w:val="restart"/>
                  <w:vAlign w:val="center"/>
                </w:tcPr>
                <w:p w14:paraId="63A45230">
                  <w:pPr>
                    <w:pStyle w:val="154"/>
                    <w:rPr>
                      <w:sz w:val="21"/>
                      <w:szCs w:val="21"/>
                    </w:rPr>
                  </w:pPr>
                  <w:r>
                    <w:rPr>
                      <w:sz w:val="21"/>
                      <w:szCs w:val="21"/>
                    </w:rPr>
                    <w:t>75</w:t>
                  </w:r>
                </w:p>
              </w:tc>
              <w:tc>
                <w:tcPr>
                  <w:tcW w:w="415" w:type="pct"/>
                  <w:vMerge w:val="continue"/>
                  <w:vAlign w:val="center"/>
                </w:tcPr>
                <w:p w14:paraId="38E458EB">
                  <w:pPr>
                    <w:pStyle w:val="154"/>
                    <w:rPr>
                      <w:sz w:val="21"/>
                      <w:szCs w:val="21"/>
                    </w:rPr>
                  </w:pPr>
                </w:p>
              </w:tc>
              <w:tc>
                <w:tcPr>
                  <w:tcW w:w="208" w:type="pct"/>
                  <w:vMerge w:val="restart"/>
                  <w:vAlign w:val="center"/>
                </w:tcPr>
                <w:p w14:paraId="2734D8C3">
                  <w:pPr>
                    <w:pStyle w:val="154"/>
                    <w:rPr>
                      <w:sz w:val="21"/>
                      <w:szCs w:val="21"/>
                    </w:rPr>
                  </w:pPr>
                  <w:r>
                    <w:rPr>
                      <w:rFonts w:hint="eastAsia"/>
                      <w:sz w:val="21"/>
                      <w:szCs w:val="21"/>
                    </w:rPr>
                    <w:t>15</w:t>
                  </w:r>
                </w:p>
              </w:tc>
              <w:tc>
                <w:tcPr>
                  <w:tcW w:w="208" w:type="pct"/>
                  <w:vMerge w:val="restart"/>
                  <w:vAlign w:val="center"/>
                </w:tcPr>
                <w:p w14:paraId="08E1C7A3">
                  <w:pPr>
                    <w:pStyle w:val="154"/>
                    <w:rPr>
                      <w:sz w:val="21"/>
                      <w:szCs w:val="21"/>
                    </w:rPr>
                  </w:pPr>
                  <w:r>
                    <w:rPr>
                      <w:rFonts w:hint="eastAsia"/>
                      <w:sz w:val="21"/>
                      <w:szCs w:val="21"/>
                    </w:rPr>
                    <w:t>5</w:t>
                  </w:r>
                </w:p>
              </w:tc>
              <w:tc>
                <w:tcPr>
                  <w:tcW w:w="260" w:type="pct"/>
                  <w:vMerge w:val="restart"/>
                  <w:vAlign w:val="center"/>
                </w:tcPr>
                <w:p w14:paraId="3D0D89A3">
                  <w:pPr>
                    <w:pStyle w:val="154"/>
                    <w:rPr>
                      <w:sz w:val="21"/>
                      <w:szCs w:val="21"/>
                    </w:rPr>
                  </w:pPr>
                  <w:r>
                    <w:rPr>
                      <w:sz w:val="21"/>
                      <w:szCs w:val="21"/>
                    </w:rPr>
                    <w:t>1</w:t>
                  </w:r>
                </w:p>
              </w:tc>
              <w:tc>
                <w:tcPr>
                  <w:tcW w:w="224" w:type="pct"/>
                  <w:vAlign w:val="center"/>
                </w:tcPr>
                <w:p w14:paraId="788B6937">
                  <w:pPr>
                    <w:pStyle w:val="154"/>
                    <w:rPr>
                      <w:sz w:val="21"/>
                      <w:szCs w:val="21"/>
                    </w:rPr>
                  </w:pPr>
                  <w:r>
                    <w:rPr>
                      <w:sz w:val="21"/>
                      <w:szCs w:val="21"/>
                    </w:rPr>
                    <w:t>E</w:t>
                  </w:r>
                </w:p>
              </w:tc>
              <w:tc>
                <w:tcPr>
                  <w:tcW w:w="225" w:type="pct"/>
                  <w:vAlign w:val="center"/>
                </w:tcPr>
                <w:p w14:paraId="6D0802AE">
                  <w:pPr>
                    <w:pStyle w:val="154"/>
                    <w:rPr>
                      <w:sz w:val="21"/>
                      <w:szCs w:val="21"/>
                    </w:rPr>
                  </w:pPr>
                  <w:r>
                    <w:rPr>
                      <w:rFonts w:hint="eastAsia"/>
                      <w:sz w:val="21"/>
                      <w:szCs w:val="21"/>
                    </w:rPr>
                    <w:t>21</w:t>
                  </w:r>
                </w:p>
              </w:tc>
              <w:tc>
                <w:tcPr>
                  <w:tcW w:w="309" w:type="pct"/>
                  <w:vAlign w:val="center"/>
                </w:tcPr>
                <w:p w14:paraId="3E064D2D">
                  <w:pPr>
                    <w:jc w:val="center"/>
                    <w:rPr>
                      <w:rFonts w:ascii="Times New Roman" w:hAnsi="Times New Roman" w:cs="Times New Roman"/>
                      <w:color w:val="000000"/>
                      <w:sz w:val="21"/>
                      <w:szCs w:val="21"/>
                    </w:rPr>
                  </w:pPr>
                  <w:r>
                    <w:rPr>
                      <w:rFonts w:ascii="Times New Roman" w:hAnsi="Times New Roman" w:cs="Times New Roman"/>
                      <w:color w:val="000000"/>
                      <w:sz w:val="21"/>
                      <w:szCs w:val="21"/>
                    </w:rPr>
                    <w:t>48.56</w:t>
                  </w:r>
                </w:p>
              </w:tc>
              <w:tc>
                <w:tcPr>
                  <w:tcW w:w="258" w:type="pct"/>
                  <w:vMerge w:val="restart"/>
                  <w:vAlign w:val="center"/>
                </w:tcPr>
                <w:p w14:paraId="2076DEA0">
                  <w:pPr>
                    <w:pStyle w:val="154"/>
                    <w:rPr>
                      <w:sz w:val="21"/>
                      <w:szCs w:val="21"/>
                    </w:rPr>
                  </w:pPr>
                  <w:r>
                    <w:rPr>
                      <w:rFonts w:hint="eastAsia"/>
                      <w:sz w:val="21"/>
                      <w:szCs w:val="21"/>
                    </w:rPr>
                    <w:t>昼间</w:t>
                  </w:r>
                </w:p>
              </w:tc>
              <w:tc>
                <w:tcPr>
                  <w:tcW w:w="258" w:type="pct"/>
                  <w:vAlign w:val="center"/>
                </w:tcPr>
                <w:p w14:paraId="5069DBEC">
                  <w:pPr>
                    <w:pStyle w:val="154"/>
                    <w:rPr>
                      <w:sz w:val="21"/>
                      <w:szCs w:val="21"/>
                    </w:rPr>
                  </w:pPr>
                  <w:r>
                    <w:rPr>
                      <w:sz w:val="21"/>
                      <w:szCs w:val="21"/>
                    </w:rPr>
                    <w:t>20</w:t>
                  </w:r>
                </w:p>
              </w:tc>
              <w:tc>
                <w:tcPr>
                  <w:tcW w:w="257" w:type="pct"/>
                  <w:vAlign w:val="bottom"/>
                </w:tcPr>
                <w:p w14:paraId="5573E8C5">
                  <w:pPr>
                    <w:pStyle w:val="154"/>
                    <w:rPr>
                      <w:sz w:val="21"/>
                      <w:szCs w:val="21"/>
                    </w:rPr>
                  </w:pPr>
                  <w:r>
                    <w:rPr>
                      <w:rFonts w:hint="eastAsia"/>
                      <w:sz w:val="21"/>
                      <w:szCs w:val="21"/>
                    </w:rPr>
                    <w:t>28.56</w:t>
                  </w:r>
                </w:p>
              </w:tc>
              <w:tc>
                <w:tcPr>
                  <w:tcW w:w="251" w:type="pct"/>
                  <w:vAlign w:val="center"/>
                </w:tcPr>
                <w:p w14:paraId="12FF4157">
                  <w:pPr>
                    <w:pStyle w:val="154"/>
                    <w:rPr>
                      <w:sz w:val="21"/>
                      <w:szCs w:val="21"/>
                    </w:rPr>
                  </w:pPr>
                  <w:r>
                    <w:rPr>
                      <w:sz w:val="21"/>
                      <w:szCs w:val="21"/>
                    </w:rPr>
                    <w:t>1</w:t>
                  </w:r>
                </w:p>
              </w:tc>
            </w:tr>
            <w:tr w14:paraId="3D12C7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749E3F43">
                  <w:pPr>
                    <w:pStyle w:val="154"/>
                    <w:rPr>
                      <w:sz w:val="21"/>
                      <w:szCs w:val="21"/>
                    </w:rPr>
                  </w:pPr>
                </w:p>
              </w:tc>
              <w:tc>
                <w:tcPr>
                  <w:tcW w:w="257" w:type="pct"/>
                  <w:vMerge w:val="continue"/>
                  <w:vAlign w:val="center"/>
                </w:tcPr>
                <w:p w14:paraId="6C652369">
                  <w:pPr>
                    <w:pStyle w:val="154"/>
                    <w:rPr>
                      <w:sz w:val="21"/>
                      <w:szCs w:val="21"/>
                    </w:rPr>
                  </w:pPr>
                </w:p>
              </w:tc>
              <w:tc>
                <w:tcPr>
                  <w:tcW w:w="566" w:type="pct"/>
                  <w:vMerge w:val="continue"/>
                  <w:vAlign w:val="center"/>
                </w:tcPr>
                <w:p w14:paraId="124FBFCA">
                  <w:pPr>
                    <w:pStyle w:val="154"/>
                    <w:rPr>
                      <w:sz w:val="21"/>
                      <w:szCs w:val="21"/>
                    </w:rPr>
                  </w:pPr>
                </w:p>
              </w:tc>
              <w:tc>
                <w:tcPr>
                  <w:tcW w:w="208" w:type="pct"/>
                  <w:vMerge w:val="continue"/>
                  <w:vAlign w:val="center"/>
                </w:tcPr>
                <w:p w14:paraId="5CBBCC6F">
                  <w:pPr>
                    <w:pStyle w:val="154"/>
                    <w:rPr>
                      <w:sz w:val="21"/>
                      <w:szCs w:val="21"/>
                    </w:rPr>
                  </w:pPr>
                </w:p>
              </w:tc>
              <w:tc>
                <w:tcPr>
                  <w:tcW w:w="572" w:type="pct"/>
                  <w:vMerge w:val="continue"/>
                  <w:vAlign w:val="center"/>
                </w:tcPr>
                <w:p w14:paraId="65366415">
                  <w:pPr>
                    <w:pStyle w:val="154"/>
                    <w:rPr>
                      <w:sz w:val="21"/>
                      <w:szCs w:val="21"/>
                    </w:rPr>
                  </w:pPr>
                </w:p>
              </w:tc>
              <w:tc>
                <w:tcPr>
                  <w:tcW w:w="364" w:type="pct"/>
                  <w:vMerge w:val="continue"/>
                  <w:vAlign w:val="center"/>
                </w:tcPr>
                <w:p w14:paraId="65E0E73F">
                  <w:pPr>
                    <w:pStyle w:val="154"/>
                    <w:rPr>
                      <w:sz w:val="21"/>
                      <w:szCs w:val="21"/>
                    </w:rPr>
                  </w:pPr>
                </w:p>
              </w:tc>
              <w:tc>
                <w:tcPr>
                  <w:tcW w:w="415" w:type="pct"/>
                  <w:vMerge w:val="continue"/>
                  <w:vAlign w:val="center"/>
                </w:tcPr>
                <w:p w14:paraId="2609B465">
                  <w:pPr>
                    <w:pStyle w:val="154"/>
                    <w:rPr>
                      <w:sz w:val="21"/>
                      <w:szCs w:val="21"/>
                    </w:rPr>
                  </w:pPr>
                </w:p>
              </w:tc>
              <w:tc>
                <w:tcPr>
                  <w:tcW w:w="208" w:type="pct"/>
                  <w:vMerge w:val="continue"/>
                  <w:vAlign w:val="center"/>
                </w:tcPr>
                <w:p w14:paraId="330C24AC">
                  <w:pPr>
                    <w:pStyle w:val="154"/>
                    <w:rPr>
                      <w:sz w:val="21"/>
                      <w:szCs w:val="21"/>
                    </w:rPr>
                  </w:pPr>
                </w:p>
              </w:tc>
              <w:tc>
                <w:tcPr>
                  <w:tcW w:w="208" w:type="pct"/>
                  <w:vMerge w:val="continue"/>
                  <w:vAlign w:val="center"/>
                </w:tcPr>
                <w:p w14:paraId="70A22518">
                  <w:pPr>
                    <w:pStyle w:val="154"/>
                    <w:rPr>
                      <w:sz w:val="21"/>
                      <w:szCs w:val="21"/>
                    </w:rPr>
                  </w:pPr>
                </w:p>
              </w:tc>
              <w:tc>
                <w:tcPr>
                  <w:tcW w:w="260" w:type="pct"/>
                  <w:vMerge w:val="continue"/>
                  <w:vAlign w:val="center"/>
                </w:tcPr>
                <w:p w14:paraId="1A18A871">
                  <w:pPr>
                    <w:pStyle w:val="154"/>
                    <w:rPr>
                      <w:sz w:val="21"/>
                      <w:szCs w:val="21"/>
                    </w:rPr>
                  </w:pPr>
                </w:p>
              </w:tc>
              <w:tc>
                <w:tcPr>
                  <w:tcW w:w="224" w:type="pct"/>
                  <w:vAlign w:val="center"/>
                </w:tcPr>
                <w:p w14:paraId="02BA8CF9">
                  <w:pPr>
                    <w:pStyle w:val="154"/>
                    <w:rPr>
                      <w:sz w:val="21"/>
                      <w:szCs w:val="21"/>
                    </w:rPr>
                  </w:pPr>
                  <w:r>
                    <w:rPr>
                      <w:rFonts w:hint="eastAsia"/>
                      <w:sz w:val="21"/>
                      <w:szCs w:val="21"/>
                    </w:rPr>
                    <w:t>W</w:t>
                  </w:r>
                </w:p>
              </w:tc>
              <w:tc>
                <w:tcPr>
                  <w:tcW w:w="225" w:type="pct"/>
                  <w:vAlign w:val="center"/>
                </w:tcPr>
                <w:p w14:paraId="2708B0E9">
                  <w:pPr>
                    <w:pStyle w:val="154"/>
                    <w:rPr>
                      <w:sz w:val="21"/>
                      <w:szCs w:val="21"/>
                    </w:rPr>
                  </w:pPr>
                  <w:r>
                    <w:rPr>
                      <w:rFonts w:hint="eastAsia"/>
                      <w:sz w:val="21"/>
                      <w:szCs w:val="21"/>
                    </w:rPr>
                    <w:t>15</w:t>
                  </w:r>
                </w:p>
              </w:tc>
              <w:tc>
                <w:tcPr>
                  <w:tcW w:w="309" w:type="pct"/>
                  <w:vAlign w:val="center"/>
                </w:tcPr>
                <w:p w14:paraId="7B4E9A9B">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51.48</w:t>
                  </w:r>
                </w:p>
              </w:tc>
              <w:tc>
                <w:tcPr>
                  <w:tcW w:w="258" w:type="pct"/>
                  <w:vMerge w:val="continue"/>
                  <w:vAlign w:val="center"/>
                </w:tcPr>
                <w:p w14:paraId="3415D5B7">
                  <w:pPr>
                    <w:pStyle w:val="154"/>
                    <w:rPr>
                      <w:sz w:val="21"/>
                      <w:szCs w:val="21"/>
                    </w:rPr>
                  </w:pPr>
                </w:p>
              </w:tc>
              <w:tc>
                <w:tcPr>
                  <w:tcW w:w="258" w:type="pct"/>
                  <w:vAlign w:val="center"/>
                </w:tcPr>
                <w:p w14:paraId="4E0445C4">
                  <w:pPr>
                    <w:pStyle w:val="154"/>
                    <w:rPr>
                      <w:sz w:val="21"/>
                      <w:szCs w:val="21"/>
                    </w:rPr>
                  </w:pPr>
                  <w:r>
                    <w:rPr>
                      <w:sz w:val="21"/>
                      <w:szCs w:val="21"/>
                    </w:rPr>
                    <w:t>20</w:t>
                  </w:r>
                </w:p>
              </w:tc>
              <w:tc>
                <w:tcPr>
                  <w:tcW w:w="257" w:type="pct"/>
                  <w:vAlign w:val="bottom"/>
                </w:tcPr>
                <w:p w14:paraId="7DB4830B">
                  <w:pPr>
                    <w:pStyle w:val="154"/>
                    <w:rPr>
                      <w:sz w:val="21"/>
                      <w:szCs w:val="21"/>
                    </w:rPr>
                  </w:pPr>
                  <w:r>
                    <w:rPr>
                      <w:rFonts w:hint="eastAsia"/>
                      <w:sz w:val="21"/>
                      <w:szCs w:val="21"/>
                    </w:rPr>
                    <w:t>31.48</w:t>
                  </w:r>
                </w:p>
              </w:tc>
              <w:tc>
                <w:tcPr>
                  <w:tcW w:w="251" w:type="pct"/>
                  <w:vAlign w:val="center"/>
                </w:tcPr>
                <w:p w14:paraId="57941366">
                  <w:pPr>
                    <w:pStyle w:val="154"/>
                    <w:rPr>
                      <w:sz w:val="21"/>
                      <w:szCs w:val="21"/>
                    </w:rPr>
                  </w:pPr>
                  <w:r>
                    <w:rPr>
                      <w:sz w:val="21"/>
                      <w:szCs w:val="21"/>
                    </w:rPr>
                    <w:t>1</w:t>
                  </w:r>
                </w:p>
              </w:tc>
            </w:tr>
            <w:tr w14:paraId="36D958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55DF05CA">
                  <w:pPr>
                    <w:pStyle w:val="154"/>
                    <w:rPr>
                      <w:sz w:val="21"/>
                      <w:szCs w:val="21"/>
                    </w:rPr>
                  </w:pPr>
                </w:p>
              </w:tc>
              <w:tc>
                <w:tcPr>
                  <w:tcW w:w="257" w:type="pct"/>
                  <w:vMerge w:val="continue"/>
                  <w:vAlign w:val="center"/>
                </w:tcPr>
                <w:p w14:paraId="15ACF567">
                  <w:pPr>
                    <w:pStyle w:val="154"/>
                    <w:rPr>
                      <w:sz w:val="21"/>
                      <w:szCs w:val="21"/>
                    </w:rPr>
                  </w:pPr>
                </w:p>
              </w:tc>
              <w:tc>
                <w:tcPr>
                  <w:tcW w:w="566" w:type="pct"/>
                  <w:vMerge w:val="continue"/>
                  <w:vAlign w:val="center"/>
                </w:tcPr>
                <w:p w14:paraId="4CACF360">
                  <w:pPr>
                    <w:pStyle w:val="154"/>
                    <w:rPr>
                      <w:sz w:val="21"/>
                      <w:szCs w:val="21"/>
                    </w:rPr>
                  </w:pPr>
                </w:p>
              </w:tc>
              <w:tc>
                <w:tcPr>
                  <w:tcW w:w="208" w:type="pct"/>
                  <w:vMerge w:val="continue"/>
                  <w:vAlign w:val="center"/>
                </w:tcPr>
                <w:p w14:paraId="48E06DAE">
                  <w:pPr>
                    <w:pStyle w:val="154"/>
                    <w:rPr>
                      <w:sz w:val="21"/>
                      <w:szCs w:val="21"/>
                    </w:rPr>
                  </w:pPr>
                </w:p>
              </w:tc>
              <w:tc>
                <w:tcPr>
                  <w:tcW w:w="572" w:type="pct"/>
                  <w:vMerge w:val="continue"/>
                  <w:vAlign w:val="center"/>
                </w:tcPr>
                <w:p w14:paraId="26503B3D">
                  <w:pPr>
                    <w:pStyle w:val="154"/>
                    <w:rPr>
                      <w:sz w:val="21"/>
                      <w:szCs w:val="21"/>
                    </w:rPr>
                  </w:pPr>
                </w:p>
              </w:tc>
              <w:tc>
                <w:tcPr>
                  <w:tcW w:w="364" w:type="pct"/>
                  <w:vMerge w:val="continue"/>
                  <w:vAlign w:val="center"/>
                </w:tcPr>
                <w:p w14:paraId="53C623B3">
                  <w:pPr>
                    <w:pStyle w:val="154"/>
                    <w:rPr>
                      <w:sz w:val="21"/>
                      <w:szCs w:val="21"/>
                    </w:rPr>
                  </w:pPr>
                </w:p>
              </w:tc>
              <w:tc>
                <w:tcPr>
                  <w:tcW w:w="415" w:type="pct"/>
                  <w:vMerge w:val="continue"/>
                  <w:vAlign w:val="center"/>
                </w:tcPr>
                <w:p w14:paraId="5779F7D1">
                  <w:pPr>
                    <w:pStyle w:val="154"/>
                    <w:rPr>
                      <w:sz w:val="21"/>
                      <w:szCs w:val="21"/>
                    </w:rPr>
                  </w:pPr>
                </w:p>
              </w:tc>
              <w:tc>
                <w:tcPr>
                  <w:tcW w:w="208" w:type="pct"/>
                  <w:vMerge w:val="continue"/>
                  <w:vAlign w:val="center"/>
                </w:tcPr>
                <w:p w14:paraId="7CE55EB6">
                  <w:pPr>
                    <w:pStyle w:val="154"/>
                    <w:rPr>
                      <w:sz w:val="21"/>
                      <w:szCs w:val="21"/>
                    </w:rPr>
                  </w:pPr>
                </w:p>
              </w:tc>
              <w:tc>
                <w:tcPr>
                  <w:tcW w:w="208" w:type="pct"/>
                  <w:vMerge w:val="continue"/>
                  <w:vAlign w:val="center"/>
                </w:tcPr>
                <w:p w14:paraId="3FF233C2">
                  <w:pPr>
                    <w:pStyle w:val="154"/>
                    <w:rPr>
                      <w:sz w:val="21"/>
                      <w:szCs w:val="21"/>
                    </w:rPr>
                  </w:pPr>
                </w:p>
              </w:tc>
              <w:tc>
                <w:tcPr>
                  <w:tcW w:w="260" w:type="pct"/>
                  <w:vMerge w:val="continue"/>
                  <w:vAlign w:val="center"/>
                </w:tcPr>
                <w:p w14:paraId="02CF58C2">
                  <w:pPr>
                    <w:pStyle w:val="154"/>
                    <w:rPr>
                      <w:sz w:val="21"/>
                      <w:szCs w:val="21"/>
                    </w:rPr>
                  </w:pPr>
                </w:p>
              </w:tc>
              <w:tc>
                <w:tcPr>
                  <w:tcW w:w="224" w:type="pct"/>
                  <w:vAlign w:val="center"/>
                </w:tcPr>
                <w:p w14:paraId="284A341D">
                  <w:pPr>
                    <w:pStyle w:val="154"/>
                    <w:rPr>
                      <w:sz w:val="21"/>
                      <w:szCs w:val="21"/>
                    </w:rPr>
                  </w:pPr>
                  <w:r>
                    <w:rPr>
                      <w:sz w:val="21"/>
                      <w:szCs w:val="21"/>
                    </w:rPr>
                    <w:t>S</w:t>
                  </w:r>
                </w:p>
              </w:tc>
              <w:tc>
                <w:tcPr>
                  <w:tcW w:w="225" w:type="pct"/>
                  <w:vAlign w:val="center"/>
                </w:tcPr>
                <w:p w14:paraId="290B8174">
                  <w:pPr>
                    <w:pStyle w:val="154"/>
                    <w:rPr>
                      <w:sz w:val="21"/>
                      <w:szCs w:val="21"/>
                    </w:rPr>
                  </w:pPr>
                  <w:r>
                    <w:rPr>
                      <w:rFonts w:hint="eastAsia"/>
                      <w:sz w:val="21"/>
                      <w:szCs w:val="21"/>
                    </w:rPr>
                    <w:t>5</w:t>
                  </w:r>
                </w:p>
              </w:tc>
              <w:tc>
                <w:tcPr>
                  <w:tcW w:w="309" w:type="pct"/>
                  <w:vAlign w:val="center"/>
                </w:tcPr>
                <w:p w14:paraId="75DD5A38">
                  <w:pPr>
                    <w:jc w:val="center"/>
                    <w:rPr>
                      <w:rFonts w:ascii="Times New Roman" w:hAnsi="Times New Roman" w:cs="Times New Roman"/>
                      <w:color w:val="000000"/>
                      <w:sz w:val="21"/>
                      <w:szCs w:val="21"/>
                    </w:rPr>
                  </w:pPr>
                  <w:r>
                    <w:rPr>
                      <w:rFonts w:ascii="Times New Roman" w:hAnsi="Times New Roman" w:cs="Times New Roman"/>
                      <w:color w:val="000000"/>
                      <w:sz w:val="21"/>
                      <w:szCs w:val="21"/>
                    </w:rPr>
                    <w:t>61.02</w:t>
                  </w:r>
                </w:p>
              </w:tc>
              <w:tc>
                <w:tcPr>
                  <w:tcW w:w="258" w:type="pct"/>
                  <w:vMerge w:val="continue"/>
                  <w:vAlign w:val="center"/>
                </w:tcPr>
                <w:p w14:paraId="7DA78354">
                  <w:pPr>
                    <w:pStyle w:val="154"/>
                    <w:rPr>
                      <w:sz w:val="21"/>
                      <w:szCs w:val="21"/>
                    </w:rPr>
                  </w:pPr>
                </w:p>
              </w:tc>
              <w:tc>
                <w:tcPr>
                  <w:tcW w:w="258" w:type="pct"/>
                  <w:vAlign w:val="center"/>
                </w:tcPr>
                <w:p w14:paraId="70A3D570">
                  <w:pPr>
                    <w:pStyle w:val="154"/>
                    <w:rPr>
                      <w:sz w:val="21"/>
                      <w:szCs w:val="21"/>
                    </w:rPr>
                  </w:pPr>
                  <w:r>
                    <w:rPr>
                      <w:sz w:val="21"/>
                      <w:szCs w:val="21"/>
                    </w:rPr>
                    <w:t>20</w:t>
                  </w:r>
                </w:p>
              </w:tc>
              <w:tc>
                <w:tcPr>
                  <w:tcW w:w="257" w:type="pct"/>
                  <w:vAlign w:val="bottom"/>
                </w:tcPr>
                <w:p w14:paraId="2393E701">
                  <w:pPr>
                    <w:pStyle w:val="154"/>
                    <w:rPr>
                      <w:sz w:val="21"/>
                      <w:szCs w:val="21"/>
                    </w:rPr>
                  </w:pPr>
                  <w:r>
                    <w:rPr>
                      <w:rFonts w:hint="eastAsia"/>
                      <w:sz w:val="21"/>
                      <w:szCs w:val="21"/>
                    </w:rPr>
                    <w:t>41.02</w:t>
                  </w:r>
                </w:p>
              </w:tc>
              <w:tc>
                <w:tcPr>
                  <w:tcW w:w="251" w:type="pct"/>
                  <w:vAlign w:val="center"/>
                </w:tcPr>
                <w:p w14:paraId="0C245484">
                  <w:pPr>
                    <w:pStyle w:val="154"/>
                    <w:rPr>
                      <w:sz w:val="21"/>
                      <w:szCs w:val="21"/>
                    </w:rPr>
                  </w:pPr>
                  <w:r>
                    <w:rPr>
                      <w:sz w:val="21"/>
                      <w:szCs w:val="21"/>
                    </w:rPr>
                    <w:t>1</w:t>
                  </w:r>
                </w:p>
              </w:tc>
            </w:tr>
            <w:tr w14:paraId="5E39FD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6DD441CF">
                  <w:pPr>
                    <w:pStyle w:val="154"/>
                    <w:rPr>
                      <w:sz w:val="21"/>
                      <w:szCs w:val="21"/>
                    </w:rPr>
                  </w:pPr>
                </w:p>
              </w:tc>
              <w:tc>
                <w:tcPr>
                  <w:tcW w:w="257" w:type="pct"/>
                  <w:vMerge w:val="continue"/>
                  <w:vAlign w:val="center"/>
                </w:tcPr>
                <w:p w14:paraId="60646FF9">
                  <w:pPr>
                    <w:pStyle w:val="154"/>
                    <w:rPr>
                      <w:sz w:val="21"/>
                      <w:szCs w:val="21"/>
                    </w:rPr>
                  </w:pPr>
                </w:p>
              </w:tc>
              <w:tc>
                <w:tcPr>
                  <w:tcW w:w="566" w:type="pct"/>
                  <w:vMerge w:val="continue"/>
                  <w:vAlign w:val="center"/>
                </w:tcPr>
                <w:p w14:paraId="5A800518">
                  <w:pPr>
                    <w:pStyle w:val="154"/>
                    <w:rPr>
                      <w:sz w:val="21"/>
                      <w:szCs w:val="21"/>
                    </w:rPr>
                  </w:pPr>
                </w:p>
              </w:tc>
              <w:tc>
                <w:tcPr>
                  <w:tcW w:w="208" w:type="pct"/>
                  <w:vMerge w:val="continue"/>
                  <w:vAlign w:val="center"/>
                </w:tcPr>
                <w:p w14:paraId="4E7A6DC9">
                  <w:pPr>
                    <w:pStyle w:val="154"/>
                    <w:rPr>
                      <w:sz w:val="21"/>
                      <w:szCs w:val="21"/>
                    </w:rPr>
                  </w:pPr>
                </w:p>
              </w:tc>
              <w:tc>
                <w:tcPr>
                  <w:tcW w:w="572" w:type="pct"/>
                  <w:vMerge w:val="continue"/>
                  <w:vAlign w:val="center"/>
                </w:tcPr>
                <w:p w14:paraId="30C4C4EC">
                  <w:pPr>
                    <w:pStyle w:val="154"/>
                    <w:rPr>
                      <w:sz w:val="21"/>
                      <w:szCs w:val="21"/>
                    </w:rPr>
                  </w:pPr>
                </w:p>
              </w:tc>
              <w:tc>
                <w:tcPr>
                  <w:tcW w:w="364" w:type="pct"/>
                  <w:vMerge w:val="continue"/>
                  <w:vAlign w:val="center"/>
                </w:tcPr>
                <w:p w14:paraId="71C952C8">
                  <w:pPr>
                    <w:pStyle w:val="154"/>
                    <w:rPr>
                      <w:sz w:val="21"/>
                      <w:szCs w:val="21"/>
                    </w:rPr>
                  </w:pPr>
                </w:p>
              </w:tc>
              <w:tc>
                <w:tcPr>
                  <w:tcW w:w="415" w:type="pct"/>
                  <w:vMerge w:val="continue"/>
                  <w:vAlign w:val="center"/>
                </w:tcPr>
                <w:p w14:paraId="3BD196D6">
                  <w:pPr>
                    <w:pStyle w:val="154"/>
                    <w:rPr>
                      <w:sz w:val="21"/>
                      <w:szCs w:val="21"/>
                    </w:rPr>
                  </w:pPr>
                </w:p>
              </w:tc>
              <w:tc>
                <w:tcPr>
                  <w:tcW w:w="208" w:type="pct"/>
                  <w:vMerge w:val="continue"/>
                  <w:vAlign w:val="center"/>
                </w:tcPr>
                <w:p w14:paraId="49525689">
                  <w:pPr>
                    <w:pStyle w:val="154"/>
                    <w:rPr>
                      <w:sz w:val="21"/>
                      <w:szCs w:val="21"/>
                    </w:rPr>
                  </w:pPr>
                </w:p>
              </w:tc>
              <w:tc>
                <w:tcPr>
                  <w:tcW w:w="208" w:type="pct"/>
                  <w:vMerge w:val="continue"/>
                  <w:vAlign w:val="center"/>
                </w:tcPr>
                <w:p w14:paraId="6B6F4DF6">
                  <w:pPr>
                    <w:pStyle w:val="154"/>
                    <w:rPr>
                      <w:sz w:val="21"/>
                      <w:szCs w:val="21"/>
                    </w:rPr>
                  </w:pPr>
                </w:p>
              </w:tc>
              <w:tc>
                <w:tcPr>
                  <w:tcW w:w="260" w:type="pct"/>
                  <w:vMerge w:val="continue"/>
                  <w:vAlign w:val="center"/>
                </w:tcPr>
                <w:p w14:paraId="251CE06F">
                  <w:pPr>
                    <w:pStyle w:val="154"/>
                    <w:rPr>
                      <w:sz w:val="21"/>
                      <w:szCs w:val="21"/>
                    </w:rPr>
                  </w:pPr>
                </w:p>
              </w:tc>
              <w:tc>
                <w:tcPr>
                  <w:tcW w:w="224" w:type="pct"/>
                  <w:vAlign w:val="center"/>
                </w:tcPr>
                <w:p w14:paraId="2F787A97">
                  <w:pPr>
                    <w:pStyle w:val="154"/>
                    <w:rPr>
                      <w:sz w:val="21"/>
                      <w:szCs w:val="21"/>
                    </w:rPr>
                  </w:pPr>
                  <w:r>
                    <w:rPr>
                      <w:sz w:val="21"/>
                      <w:szCs w:val="21"/>
                    </w:rPr>
                    <w:t>N</w:t>
                  </w:r>
                </w:p>
              </w:tc>
              <w:tc>
                <w:tcPr>
                  <w:tcW w:w="225" w:type="pct"/>
                  <w:vAlign w:val="center"/>
                </w:tcPr>
                <w:p w14:paraId="71BC1AB7">
                  <w:pPr>
                    <w:pStyle w:val="154"/>
                    <w:rPr>
                      <w:sz w:val="21"/>
                      <w:szCs w:val="21"/>
                    </w:rPr>
                  </w:pPr>
                  <w:r>
                    <w:rPr>
                      <w:rFonts w:hint="eastAsia"/>
                      <w:sz w:val="21"/>
                      <w:szCs w:val="21"/>
                    </w:rPr>
                    <w:t>25</w:t>
                  </w:r>
                </w:p>
              </w:tc>
              <w:tc>
                <w:tcPr>
                  <w:tcW w:w="309" w:type="pct"/>
                  <w:vAlign w:val="center"/>
                </w:tcPr>
                <w:p w14:paraId="1B83559C">
                  <w:pPr>
                    <w:jc w:val="center"/>
                    <w:rPr>
                      <w:rFonts w:ascii="Times New Roman" w:hAnsi="Times New Roman" w:cs="Times New Roman"/>
                      <w:color w:val="000000"/>
                      <w:sz w:val="21"/>
                      <w:szCs w:val="21"/>
                    </w:rPr>
                  </w:pPr>
                  <w:r>
                    <w:rPr>
                      <w:rFonts w:ascii="Times New Roman" w:hAnsi="Times New Roman" w:cs="Times New Roman"/>
                      <w:color w:val="000000"/>
                      <w:sz w:val="21"/>
                      <w:szCs w:val="21"/>
                    </w:rPr>
                    <w:t>47.04</w:t>
                  </w:r>
                </w:p>
              </w:tc>
              <w:tc>
                <w:tcPr>
                  <w:tcW w:w="258" w:type="pct"/>
                  <w:vMerge w:val="continue"/>
                  <w:vAlign w:val="center"/>
                </w:tcPr>
                <w:p w14:paraId="4B8493FA">
                  <w:pPr>
                    <w:pStyle w:val="154"/>
                    <w:rPr>
                      <w:sz w:val="21"/>
                      <w:szCs w:val="21"/>
                    </w:rPr>
                  </w:pPr>
                </w:p>
              </w:tc>
              <w:tc>
                <w:tcPr>
                  <w:tcW w:w="258" w:type="pct"/>
                  <w:vAlign w:val="center"/>
                </w:tcPr>
                <w:p w14:paraId="1D3A7A76">
                  <w:pPr>
                    <w:pStyle w:val="154"/>
                    <w:rPr>
                      <w:sz w:val="21"/>
                      <w:szCs w:val="21"/>
                    </w:rPr>
                  </w:pPr>
                  <w:r>
                    <w:rPr>
                      <w:sz w:val="21"/>
                      <w:szCs w:val="21"/>
                    </w:rPr>
                    <w:t>20</w:t>
                  </w:r>
                </w:p>
              </w:tc>
              <w:tc>
                <w:tcPr>
                  <w:tcW w:w="257" w:type="pct"/>
                  <w:vAlign w:val="bottom"/>
                </w:tcPr>
                <w:p w14:paraId="7163C6F9">
                  <w:pPr>
                    <w:pStyle w:val="154"/>
                    <w:rPr>
                      <w:sz w:val="21"/>
                      <w:szCs w:val="21"/>
                    </w:rPr>
                  </w:pPr>
                  <w:r>
                    <w:rPr>
                      <w:rFonts w:hint="eastAsia"/>
                      <w:sz w:val="21"/>
                      <w:szCs w:val="21"/>
                    </w:rPr>
                    <w:t>27.04</w:t>
                  </w:r>
                </w:p>
              </w:tc>
              <w:tc>
                <w:tcPr>
                  <w:tcW w:w="251" w:type="pct"/>
                  <w:vAlign w:val="center"/>
                </w:tcPr>
                <w:p w14:paraId="7C4AF0E5">
                  <w:pPr>
                    <w:pStyle w:val="154"/>
                    <w:rPr>
                      <w:sz w:val="21"/>
                      <w:szCs w:val="21"/>
                    </w:rPr>
                  </w:pPr>
                  <w:r>
                    <w:rPr>
                      <w:sz w:val="21"/>
                      <w:szCs w:val="21"/>
                    </w:rPr>
                    <w:t>1</w:t>
                  </w:r>
                </w:p>
              </w:tc>
            </w:tr>
            <w:tr w14:paraId="1EBB18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6331AD4C">
                  <w:pPr>
                    <w:pStyle w:val="154"/>
                    <w:rPr>
                      <w:sz w:val="21"/>
                      <w:szCs w:val="21"/>
                    </w:rPr>
                  </w:pPr>
                  <w:r>
                    <w:rPr>
                      <w:rFonts w:hint="eastAsia"/>
                      <w:sz w:val="21"/>
                      <w:szCs w:val="21"/>
                    </w:rPr>
                    <w:t>9</w:t>
                  </w:r>
                </w:p>
              </w:tc>
              <w:tc>
                <w:tcPr>
                  <w:tcW w:w="257" w:type="pct"/>
                  <w:vMerge w:val="continue"/>
                  <w:vAlign w:val="center"/>
                </w:tcPr>
                <w:p w14:paraId="3E4E16C6">
                  <w:pPr>
                    <w:pStyle w:val="154"/>
                    <w:rPr>
                      <w:sz w:val="21"/>
                      <w:szCs w:val="21"/>
                    </w:rPr>
                  </w:pPr>
                </w:p>
              </w:tc>
              <w:tc>
                <w:tcPr>
                  <w:tcW w:w="566" w:type="pct"/>
                  <w:vMerge w:val="restart"/>
                  <w:vAlign w:val="center"/>
                </w:tcPr>
                <w:p w14:paraId="6A52F9A9">
                  <w:pPr>
                    <w:pStyle w:val="154"/>
                    <w:rPr>
                      <w:sz w:val="21"/>
                      <w:szCs w:val="21"/>
                    </w:rPr>
                  </w:pPr>
                  <w:r>
                    <w:rPr>
                      <w:rFonts w:hint="eastAsia"/>
                      <w:sz w:val="21"/>
                      <w:szCs w:val="21"/>
                    </w:rPr>
                    <w:t>搅拌机</w:t>
                  </w:r>
                  <w:r>
                    <w:rPr>
                      <w:sz w:val="21"/>
                      <w:szCs w:val="21"/>
                    </w:rPr>
                    <w:t>1#</w:t>
                  </w:r>
                </w:p>
              </w:tc>
              <w:tc>
                <w:tcPr>
                  <w:tcW w:w="208" w:type="pct"/>
                  <w:vMerge w:val="restart"/>
                  <w:vAlign w:val="center"/>
                </w:tcPr>
                <w:p w14:paraId="085EF691">
                  <w:pPr>
                    <w:pStyle w:val="154"/>
                    <w:rPr>
                      <w:sz w:val="21"/>
                      <w:szCs w:val="21"/>
                    </w:rPr>
                  </w:pPr>
                  <w:r>
                    <w:rPr>
                      <w:sz w:val="21"/>
                      <w:szCs w:val="21"/>
                    </w:rPr>
                    <w:t>/</w:t>
                  </w:r>
                </w:p>
              </w:tc>
              <w:tc>
                <w:tcPr>
                  <w:tcW w:w="572" w:type="pct"/>
                  <w:vMerge w:val="restart"/>
                  <w:vAlign w:val="center"/>
                </w:tcPr>
                <w:p w14:paraId="1920368F">
                  <w:pPr>
                    <w:pStyle w:val="154"/>
                    <w:rPr>
                      <w:sz w:val="21"/>
                      <w:szCs w:val="21"/>
                    </w:rPr>
                  </w:pPr>
                  <w:r>
                    <w:rPr>
                      <w:sz w:val="21"/>
                      <w:szCs w:val="21"/>
                    </w:rPr>
                    <w:t>/</w:t>
                  </w:r>
                </w:p>
              </w:tc>
              <w:tc>
                <w:tcPr>
                  <w:tcW w:w="364" w:type="pct"/>
                  <w:vMerge w:val="restart"/>
                  <w:vAlign w:val="center"/>
                </w:tcPr>
                <w:p w14:paraId="6B503875">
                  <w:pPr>
                    <w:pStyle w:val="154"/>
                    <w:rPr>
                      <w:sz w:val="21"/>
                      <w:szCs w:val="21"/>
                    </w:rPr>
                  </w:pPr>
                  <w:r>
                    <w:rPr>
                      <w:rFonts w:hint="eastAsia"/>
                      <w:sz w:val="21"/>
                      <w:szCs w:val="21"/>
                    </w:rPr>
                    <w:t>75</w:t>
                  </w:r>
                </w:p>
              </w:tc>
              <w:tc>
                <w:tcPr>
                  <w:tcW w:w="415" w:type="pct"/>
                  <w:vMerge w:val="continue"/>
                  <w:vAlign w:val="center"/>
                </w:tcPr>
                <w:p w14:paraId="5DC1D5E7">
                  <w:pPr>
                    <w:pStyle w:val="154"/>
                    <w:rPr>
                      <w:sz w:val="21"/>
                      <w:szCs w:val="21"/>
                    </w:rPr>
                  </w:pPr>
                </w:p>
              </w:tc>
              <w:tc>
                <w:tcPr>
                  <w:tcW w:w="208" w:type="pct"/>
                  <w:vMerge w:val="restart"/>
                  <w:vAlign w:val="center"/>
                </w:tcPr>
                <w:p w14:paraId="34796C1C">
                  <w:pPr>
                    <w:pStyle w:val="154"/>
                    <w:rPr>
                      <w:sz w:val="21"/>
                      <w:szCs w:val="21"/>
                    </w:rPr>
                  </w:pPr>
                  <w:r>
                    <w:rPr>
                      <w:rFonts w:hint="eastAsia"/>
                      <w:sz w:val="21"/>
                      <w:szCs w:val="21"/>
                    </w:rPr>
                    <w:t>4</w:t>
                  </w:r>
                </w:p>
              </w:tc>
              <w:tc>
                <w:tcPr>
                  <w:tcW w:w="208" w:type="pct"/>
                  <w:vMerge w:val="restart"/>
                  <w:vAlign w:val="center"/>
                </w:tcPr>
                <w:p w14:paraId="24C38B55">
                  <w:pPr>
                    <w:pStyle w:val="154"/>
                    <w:rPr>
                      <w:sz w:val="21"/>
                      <w:szCs w:val="21"/>
                    </w:rPr>
                  </w:pPr>
                  <w:r>
                    <w:rPr>
                      <w:rFonts w:hint="eastAsia"/>
                      <w:sz w:val="21"/>
                      <w:szCs w:val="21"/>
                    </w:rPr>
                    <w:t>3</w:t>
                  </w:r>
                </w:p>
              </w:tc>
              <w:tc>
                <w:tcPr>
                  <w:tcW w:w="260" w:type="pct"/>
                  <w:vMerge w:val="restart"/>
                  <w:vAlign w:val="center"/>
                </w:tcPr>
                <w:p w14:paraId="7B500FD5">
                  <w:pPr>
                    <w:pStyle w:val="154"/>
                    <w:rPr>
                      <w:sz w:val="21"/>
                      <w:szCs w:val="21"/>
                    </w:rPr>
                  </w:pPr>
                  <w:r>
                    <w:rPr>
                      <w:sz w:val="21"/>
                      <w:szCs w:val="21"/>
                    </w:rPr>
                    <w:t>1</w:t>
                  </w:r>
                </w:p>
              </w:tc>
              <w:tc>
                <w:tcPr>
                  <w:tcW w:w="224" w:type="pct"/>
                  <w:vAlign w:val="center"/>
                </w:tcPr>
                <w:p w14:paraId="450B1304">
                  <w:pPr>
                    <w:pStyle w:val="154"/>
                    <w:rPr>
                      <w:sz w:val="21"/>
                      <w:szCs w:val="21"/>
                    </w:rPr>
                  </w:pPr>
                  <w:r>
                    <w:rPr>
                      <w:sz w:val="21"/>
                      <w:szCs w:val="21"/>
                    </w:rPr>
                    <w:t>E</w:t>
                  </w:r>
                </w:p>
              </w:tc>
              <w:tc>
                <w:tcPr>
                  <w:tcW w:w="225" w:type="pct"/>
                  <w:vAlign w:val="center"/>
                </w:tcPr>
                <w:p w14:paraId="0C92CB82">
                  <w:pPr>
                    <w:pStyle w:val="154"/>
                    <w:rPr>
                      <w:sz w:val="21"/>
                      <w:szCs w:val="21"/>
                    </w:rPr>
                  </w:pPr>
                  <w:r>
                    <w:rPr>
                      <w:rFonts w:hint="eastAsia"/>
                      <w:sz w:val="21"/>
                      <w:szCs w:val="21"/>
                    </w:rPr>
                    <w:t>32</w:t>
                  </w:r>
                </w:p>
              </w:tc>
              <w:tc>
                <w:tcPr>
                  <w:tcW w:w="309" w:type="pct"/>
                  <w:vAlign w:val="bottom"/>
                </w:tcPr>
                <w:p w14:paraId="6F9C7224">
                  <w:pPr>
                    <w:pStyle w:val="154"/>
                    <w:rPr>
                      <w:sz w:val="21"/>
                      <w:szCs w:val="21"/>
                    </w:rPr>
                  </w:pPr>
                  <w:r>
                    <w:rPr>
                      <w:rFonts w:hint="eastAsia"/>
                      <w:sz w:val="21"/>
                      <w:szCs w:val="21"/>
                    </w:rPr>
                    <w:t>44.90</w:t>
                  </w:r>
                </w:p>
              </w:tc>
              <w:tc>
                <w:tcPr>
                  <w:tcW w:w="258" w:type="pct"/>
                  <w:vMerge w:val="restart"/>
                  <w:vAlign w:val="center"/>
                </w:tcPr>
                <w:p w14:paraId="7226603E">
                  <w:pPr>
                    <w:pStyle w:val="154"/>
                    <w:rPr>
                      <w:sz w:val="21"/>
                      <w:szCs w:val="21"/>
                    </w:rPr>
                  </w:pPr>
                  <w:r>
                    <w:rPr>
                      <w:rFonts w:hint="eastAsia"/>
                      <w:sz w:val="21"/>
                      <w:szCs w:val="21"/>
                    </w:rPr>
                    <w:t>昼间</w:t>
                  </w:r>
                </w:p>
              </w:tc>
              <w:tc>
                <w:tcPr>
                  <w:tcW w:w="258" w:type="pct"/>
                  <w:vAlign w:val="center"/>
                </w:tcPr>
                <w:p w14:paraId="33E55D92">
                  <w:pPr>
                    <w:pStyle w:val="154"/>
                    <w:rPr>
                      <w:sz w:val="21"/>
                      <w:szCs w:val="21"/>
                    </w:rPr>
                  </w:pPr>
                  <w:r>
                    <w:rPr>
                      <w:sz w:val="21"/>
                      <w:szCs w:val="21"/>
                    </w:rPr>
                    <w:t>20</w:t>
                  </w:r>
                </w:p>
              </w:tc>
              <w:tc>
                <w:tcPr>
                  <w:tcW w:w="257" w:type="pct"/>
                  <w:vAlign w:val="bottom"/>
                </w:tcPr>
                <w:p w14:paraId="017261B9">
                  <w:pPr>
                    <w:pStyle w:val="154"/>
                    <w:rPr>
                      <w:sz w:val="21"/>
                      <w:szCs w:val="21"/>
                    </w:rPr>
                  </w:pPr>
                  <w:r>
                    <w:rPr>
                      <w:rFonts w:hint="eastAsia"/>
                      <w:sz w:val="21"/>
                      <w:szCs w:val="21"/>
                    </w:rPr>
                    <w:t>24.90</w:t>
                  </w:r>
                </w:p>
              </w:tc>
              <w:tc>
                <w:tcPr>
                  <w:tcW w:w="251" w:type="pct"/>
                  <w:vAlign w:val="center"/>
                </w:tcPr>
                <w:p w14:paraId="665B76EF">
                  <w:pPr>
                    <w:pStyle w:val="154"/>
                    <w:rPr>
                      <w:sz w:val="21"/>
                      <w:szCs w:val="21"/>
                    </w:rPr>
                  </w:pPr>
                  <w:r>
                    <w:rPr>
                      <w:sz w:val="21"/>
                      <w:szCs w:val="21"/>
                    </w:rPr>
                    <w:t>1</w:t>
                  </w:r>
                </w:p>
              </w:tc>
            </w:tr>
            <w:tr w14:paraId="3C051B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688BC144">
                  <w:pPr>
                    <w:pStyle w:val="154"/>
                    <w:rPr>
                      <w:sz w:val="21"/>
                      <w:szCs w:val="21"/>
                    </w:rPr>
                  </w:pPr>
                </w:p>
              </w:tc>
              <w:tc>
                <w:tcPr>
                  <w:tcW w:w="257" w:type="pct"/>
                  <w:vMerge w:val="continue"/>
                  <w:vAlign w:val="center"/>
                </w:tcPr>
                <w:p w14:paraId="19365C2D">
                  <w:pPr>
                    <w:pStyle w:val="154"/>
                    <w:rPr>
                      <w:sz w:val="21"/>
                      <w:szCs w:val="21"/>
                    </w:rPr>
                  </w:pPr>
                </w:p>
              </w:tc>
              <w:tc>
                <w:tcPr>
                  <w:tcW w:w="566" w:type="pct"/>
                  <w:vMerge w:val="continue"/>
                  <w:vAlign w:val="center"/>
                </w:tcPr>
                <w:p w14:paraId="1120E73A">
                  <w:pPr>
                    <w:pStyle w:val="154"/>
                    <w:rPr>
                      <w:sz w:val="21"/>
                      <w:szCs w:val="21"/>
                    </w:rPr>
                  </w:pPr>
                </w:p>
              </w:tc>
              <w:tc>
                <w:tcPr>
                  <w:tcW w:w="208" w:type="pct"/>
                  <w:vMerge w:val="continue"/>
                  <w:vAlign w:val="center"/>
                </w:tcPr>
                <w:p w14:paraId="3A281C62">
                  <w:pPr>
                    <w:pStyle w:val="154"/>
                    <w:rPr>
                      <w:sz w:val="21"/>
                      <w:szCs w:val="21"/>
                    </w:rPr>
                  </w:pPr>
                </w:p>
              </w:tc>
              <w:tc>
                <w:tcPr>
                  <w:tcW w:w="572" w:type="pct"/>
                  <w:vMerge w:val="continue"/>
                  <w:vAlign w:val="center"/>
                </w:tcPr>
                <w:p w14:paraId="13036588">
                  <w:pPr>
                    <w:pStyle w:val="154"/>
                    <w:rPr>
                      <w:sz w:val="21"/>
                      <w:szCs w:val="21"/>
                    </w:rPr>
                  </w:pPr>
                </w:p>
              </w:tc>
              <w:tc>
                <w:tcPr>
                  <w:tcW w:w="364" w:type="pct"/>
                  <w:vMerge w:val="continue"/>
                  <w:vAlign w:val="center"/>
                </w:tcPr>
                <w:p w14:paraId="6DCC01D2">
                  <w:pPr>
                    <w:pStyle w:val="154"/>
                    <w:rPr>
                      <w:sz w:val="21"/>
                      <w:szCs w:val="21"/>
                    </w:rPr>
                  </w:pPr>
                </w:p>
              </w:tc>
              <w:tc>
                <w:tcPr>
                  <w:tcW w:w="415" w:type="pct"/>
                  <w:vMerge w:val="continue"/>
                  <w:vAlign w:val="center"/>
                </w:tcPr>
                <w:p w14:paraId="087E01AA">
                  <w:pPr>
                    <w:pStyle w:val="154"/>
                    <w:rPr>
                      <w:sz w:val="21"/>
                      <w:szCs w:val="21"/>
                    </w:rPr>
                  </w:pPr>
                </w:p>
              </w:tc>
              <w:tc>
                <w:tcPr>
                  <w:tcW w:w="208" w:type="pct"/>
                  <w:vMerge w:val="continue"/>
                  <w:vAlign w:val="center"/>
                </w:tcPr>
                <w:p w14:paraId="22D909AB">
                  <w:pPr>
                    <w:pStyle w:val="154"/>
                    <w:rPr>
                      <w:sz w:val="21"/>
                      <w:szCs w:val="21"/>
                    </w:rPr>
                  </w:pPr>
                </w:p>
              </w:tc>
              <w:tc>
                <w:tcPr>
                  <w:tcW w:w="208" w:type="pct"/>
                  <w:vMerge w:val="continue"/>
                  <w:vAlign w:val="center"/>
                </w:tcPr>
                <w:p w14:paraId="08B7B706">
                  <w:pPr>
                    <w:pStyle w:val="154"/>
                    <w:rPr>
                      <w:sz w:val="21"/>
                      <w:szCs w:val="21"/>
                    </w:rPr>
                  </w:pPr>
                </w:p>
              </w:tc>
              <w:tc>
                <w:tcPr>
                  <w:tcW w:w="260" w:type="pct"/>
                  <w:vMerge w:val="continue"/>
                  <w:vAlign w:val="center"/>
                </w:tcPr>
                <w:p w14:paraId="17FC94DD">
                  <w:pPr>
                    <w:pStyle w:val="154"/>
                    <w:rPr>
                      <w:sz w:val="21"/>
                      <w:szCs w:val="21"/>
                    </w:rPr>
                  </w:pPr>
                </w:p>
              </w:tc>
              <w:tc>
                <w:tcPr>
                  <w:tcW w:w="224" w:type="pct"/>
                  <w:vAlign w:val="center"/>
                </w:tcPr>
                <w:p w14:paraId="74E70BA3">
                  <w:pPr>
                    <w:pStyle w:val="154"/>
                    <w:rPr>
                      <w:sz w:val="21"/>
                      <w:szCs w:val="21"/>
                    </w:rPr>
                  </w:pPr>
                  <w:r>
                    <w:rPr>
                      <w:rFonts w:hint="eastAsia"/>
                      <w:sz w:val="21"/>
                      <w:szCs w:val="21"/>
                    </w:rPr>
                    <w:t>W</w:t>
                  </w:r>
                </w:p>
              </w:tc>
              <w:tc>
                <w:tcPr>
                  <w:tcW w:w="225" w:type="pct"/>
                  <w:vAlign w:val="center"/>
                </w:tcPr>
                <w:p w14:paraId="6BCB2A37">
                  <w:pPr>
                    <w:pStyle w:val="154"/>
                    <w:rPr>
                      <w:sz w:val="21"/>
                      <w:szCs w:val="21"/>
                    </w:rPr>
                  </w:pPr>
                  <w:r>
                    <w:rPr>
                      <w:rFonts w:hint="eastAsia"/>
                      <w:sz w:val="21"/>
                      <w:szCs w:val="21"/>
                    </w:rPr>
                    <w:t>4</w:t>
                  </w:r>
                </w:p>
              </w:tc>
              <w:tc>
                <w:tcPr>
                  <w:tcW w:w="309" w:type="pct"/>
                  <w:vAlign w:val="bottom"/>
                </w:tcPr>
                <w:p w14:paraId="567B0420">
                  <w:pPr>
                    <w:pStyle w:val="154"/>
                    <w:rPr>
                      <w:sz w:val="21"/>
                      <w:szCs w:val="21"/>
                    </w:rPr>
                  </w:pPr>
                  <w:r>
                    <w:rPr>
                      <w:rFonts w:hint="eastAsia"/>
                      <w:sz w:val="21"/>
                      <w:szCs w:val="21"/>
                    </w:rPr>
                    <w:t>62.96</w:t>
                  </w:r>
                </w:p>
              </w:tc>
              <w:tc>
                <w:tcPr>
                  <w:tcW w:w="258" w:type="pct"/>
                  <w:vMerge w:val="continue"/>
                  <w:vAlign w:val="center"/>
                </w:tcPr>
                <w:p w14:paraId="38D338F7">
                  <w:pPr>
                    <w:pStyle w:val="154"/>
                    <w:rPr>
                      <w:sz w:val="21"/>
                      <w:szCs w:val="21"/>
                    </w:rPr>
                  </w:pPr>
                </w:p>
              </w:tc>
              <w:tc>
                <w:tcPr>
                  <w:tcW w:w="258" w:type="pct"/>
                  <w:vAlign w:val="center"/>
                </w:tcPr>
                <w:p w14:paraId="4B1C930E">
                  <w:pPr>
                    <w:pStyle w:val="154"/>
                    <w:rPr>
                      <w:sz w:val="21"/>
                      <w:szCs w:val="21"/>
                    </w:rPr>
                  </w:pPr>
                  <w:r>
                    <w:rPr>
                      <w:sz w:val="21"/>
                      <w:szCs w:val="21"/>
                    </w:rPr>
                    <w:t>20</w:t>
                  </w:r>
                </w:p>
              </w:tc>
              <w:tc>
                <w:tcPr>
                  <w:tcW w:w="257" w:type="pct"/>
                  <w:vAlign w:val="bottom"/>
                </w:tcPr>
                <w:p w14:paraId="037CDC34">
                  <w:pPr>
                    <w:pStyle w:val="154"/>
                    <w:rPr>
                      <w:sz w:val="21"/>
                      <w:szCs w:val="21"/>
                    </w:rPr>
                  </w:pPr>
                  <w:r>
                    <w:rPr>
                      <w:rFonts w:hint="eastAsia"/>
                      <w:sz w:val="21"/>
                      <w:szCs w:val="21"/>
                    </w:rPr>
                    <w:t>42.96</w:t>
                  </w:r>
                </w:p>
              </w:tc>
              <w:tc>
                <w:tcPr>
                  <w:tcW w:w="251" w:type="pct"/>
                  <w:vAlign w:val="center"/>
                </w:tcPr>
                <w:p w14:paraId="083EBB63">
                  <w:pPr>
                    <w:pStyle w:val="154"/>
                    <w:rPr>
                      <w:sz w:val="21"/>
                      <w:szCs w:val="21"/>
                    </w:rPr>
                  </w:pPr>
                  <w:r>
                    <w:rPr>
                      <w:sz w:val="21"/>
                      <w:szCs w:val="21"/>
                    </w:rPr>
                    <w:t>1</w:t>
                  </w:r>
                </w:p>
              </w:tc>
            </w:tr>
            <w:tr w14:paraId="70A616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4EDBE45A">
                  <w:pPr>
                    <w:pStyle w:val="154"/>
                    <w:rPr>
                      <w:sz w:val="21"/>
                      <w:szCs w:val="21"/>
                    </w:rPr>
                  </w:pPr>
                </w:p>
              </w:tc>
              <w:tc>
                <w:tcPr>
                  <w:tcW w:w="257" w:type="pct"/>
                  <w:vMerge w:val="continue"/>
                  <w:vAlign w:val="center"/>
                </w:tcPr>
                <w:p w14:paraId="16FFA183">
                  <w:pPr>
                    <w:pStyle w:val="154"/>
                    <w:rPr>
                      <w:sz w:val="21"/>
                      <w:szCs w:val="21"/>
                    </w:rPr>
                  </w:pPr>
                </w:p>
              </w:tc>
              <w:tc>
                <w:tcPr>
                  <w:tcW w:w="566" w:type="pct"/>
                  <w:vMerge w:val="continue"/>
                  <w:vAlign w:val="center"/>
                </w:tcPr>
                <w:p w14:paraId="1DF8B550">
                  <w:pPr>
                    <w:pStyle w:val="154"/>
                    <w:rPr>
                      <w:sz w:val="21"/>
                      <w:szCs w:val="21"/>
                    </w:rPr>
                  </w:pPr>
                </w:p>
              </w:tc>
              <w:tc>
                <w:tcPr>
                  <w:tcW w:w="208" w:type="pct"/>
                  <w:vMerge w:val="continue"/>
                  <w:vAlign w:val="center"/>
                </w:tcPr>
                <w:p w14:paraId="3EBDE5D6">
                  <w:pPr>
                    <w:pStyle w:val="154"/>
                    <w:rPr>
                      <w:sz w:val="21"/>
                      <w:szCs w:val="21"/>
                    </w:rPr>
                  </w:pPr>
                </w:p>
              </w:tc>
              <w:tc>
                <w:tcPr>
                  <w:tcW w:w="572" w:type="pct"/>
                  <w:vMerge w:val="continue"/>
                  <w:vAlign w:val="center"/>
                </w:tcPr>
                <w:p w14:paraId="187D895B">
                  <w:pPr>
                    <w:pStyle w:val="154"/>
                    <w:rPr>
                      <w:sz w:val="21"/>
                      <w:szCs w:val="21"/>
                    </w:rPr>
                  </w:pPr>
                </w:p>
              </w:tc>
              <w:tc>
                <w:tcPr>
                  <w:tcW w:w="364" w:type="pct"/>
                  <w:vMerge w:val="continue"/>
                  <w:vAlign w:val="center"/>
                </w:tcPr>
                <w:p w14:paraId="6A4F3CB1">
                  <w:pPr>
                    <w:pStyle w:val="154"/>
                    <w:rPr>
                      <w:sz w:val="21"/>
                      <w:szCs w:val="21"/>
                    </w:rPr>
                  </w:pPr>
                </w:p>
              </w:tc>
              <w:tc>
                <w:tcPr>
                  <w:tcW w:w="415" w:type="pct"/>
                  <w:vMerge w:val="continue"/>
                  <w:vAlign w:val="center"/>
                </w:tcPr>
                <w:p w14:paraId="33D3E6F2">
                  <w:pPr>
                    <w:pStyle w:val="154"/>
                    <w:rPr>
                      <w:sz w:val="21"/>
                      <w:szCs w:val="21"/>
                    </w:rPr>
                  </w:pPr>
                </w:p>
              </w:tc>
              <w:tc>
                <w:tcPr>
                  <w:tcW w:w="208" w:type="pct"/>
                  <w:vMerge w:val="continue"/>
                  <w:vAlign w:val="center"/>
                </w:tcPr>
                <w:p w14:paraId="60DB97A6">
                  <w:pPr>
                    <w:pStyle w:val="154"/>
                    <w:rPr>
                      <w:sz w:val="21"/>
                      <w:szCs w:val="21"/>
                    </w:rPr>
                  </w:pPr>
                </w:p>
              </w:tc>
              <w:tc>
                <w:tcPr>
                  <w:tcW w:w="208" w:type="pct"/>
                  <w:vMerge w:val="continue"/>
                  <w:vAlign w:val="center"/>
                </w:tcPr>
                <w:p w14:paraId="32EE9FC5">
                  <w:pPr>
                    <w:pStyle w:val="154"/>
                    <w:rPr>
                      <w:sz w:val="21"/>
                      <w:szCs w:val="21"/>
                    </w:rPr>
                  </w:pPr>
                </w:p>
              </w:tc>
              <w:tc>
                <w:tcPr>
                  <w:tcW w:w="260" w:type="pct"/>
                  <w:vMerge w:val="continue"/>
                  <w:vAlign w:val="center"/>
                </w:tcPr>
                <w:p w14:paraId="2E86C679">
                  <w:pPr>
                    <w:pStyle w:val="154"/>
                    <w:rPr>
                      <w:sz w:val="21"/>
                      <w:szCs w:val="21"/>
                    </w:rPr>
                  </w:pPr>
                </w:p>
              </w:tc>
              <w:tc>
                <w:tcPr>
                  <w:tcW w:w="224" w:type="pct"/>
                  <w:vAlign w:val="center"/>
                </w:tcPr>
                <w:p w14:paraId="0D7B63BB">
                  <w:pPr>
                    <w:pStyle w:val="154"/>
                    <w:rPr>
                      <w:sz w:val="21"/>
                      <w:szCs w:val="21"/>
                    </w:rPr>
                  </w:pPr>
                  <w:r>
                    <w:rPr>
                      <w:sz w:val="21"/>
                      <w:szCs w:val="21"/>
                    </w:rPr>
                    <w:t>S</w:t>
                  </w:r>
                </w:p>
              </w:tc>
              <w:tc>
                <w:tcPr>
                  <w:tcW w:w="225" w:type="pct"/>
                  <w:vAlign w:val="center"/>
                </w:tcPr>
                <w:p w14:paraId="3F84EAED">
                  <w:pPr>
                    <w:pStyle w:val="154"/>
                    <w:rPr>
                      <w:sz w:val="21"/>
                      <w:szCs w:val="21"/>
                    </w:rPr>
                  </w:pPr>
                  <w:r>
                    <w:rPr>
                      <w:rFonts w:hint="eastAsia"/>
                      <w:sz w:val="21"/>
                      <w:szCs w:val="21"/>
                    </w:rPr>
                    <w:t>3</w:t>
                  </w:r>
                </w:p>
              </w:tc>
              <w:tc>
                <w:tcPr>
                  <w:tcW w:w="309" w:type="pct"/>
                  <w:vAlign w:val="bottom"/>
                </w:tcPr>
                <w:p w14:paraId="7DD8D7B2">
                  <w:pPr>
                    <w:pStyle w:val="154"/>
                    <w:rPr>
                      <w:sz w:val="21"/>
                      <w:szCs w:val="21"/>
                    </w:rPr>
                  </w:pPr>
                  <w:r>
                    <w:rPr>
                      <w:rFonts w:hint="eastAsia"/>
                      <w:sz w:val="21"/>
                      <w:szCs w:val="21"/>
                    </w:rPr>
                    <w:t>65.46</w:t>
                  </w:r>
                </w:p>
              </w:tc>
              <w:tc>
                <w:tcPr>
                  <w:tcW w:w="258" w:type="pct"/>
                  <w:vMerge w:val="continue"/>
                  <w:vAlign w:val="center"/>
                </w:tcPr>
                <w:p w14:paraId="42D78733">
                  <w:pPr>
                    <w:pStyle w:val="154"/>
                    <w:rPr>
                      <w:sz w:val="21"/>
                      <w:szCs w:val="21"/>
                    </w:rPr>
                  </w:pPr>
                </w:p>
              </w:tc>
              <w:tc>
                <w:tcPr>
                  <w:tcW w:w="258" w:type="pct"/>
                  <w:vAlign w:val="center"/>
                </w:tcPr>
                <w:p w14:paraId="56E07054">
                  <w:pPr>
                    <w:pStyle w:val="154"/>
                    <w:rPr>
                      <w:sz w:val="21"/>
                      <w:szCs w:val="21"/>
                    </w:rPr>
                  </w:pPr>
                  <w:r>
                    <w:rPr>
                      <w:sz w:val="21"/>
                      <w:szCs w:val="21"/>
                    </w:rPr>
                    <w:t>20</w:t>
                  </w:r>
                </w:p>
              </w:tc>
              <w:tc>
                <w:tcPr>
                  <w:tcW w:w="257" w:type="pct"/>
                  <w:vAlign w:val="bottom"/>
                </w:tcPr>
                <w:p w14:paraId="0D84B69E">
                  <w:pPr>
                    <w:pStyle w:val="154"/>
                    <w:rPr>
                      <w:sz w:val="21"/>
                      <w:szCs w:val="21"/>
                    </w:rPr>
                  </w:pPr>
                  <w:r>
                    <w:rPr>
                      <w:rFonts w:hint="eastAsia"/>
                      <w:sz w:val="21"/>
                      <w:szCs w:val="21"/>
                    </w:rPr>
                    <w:t>45.46</w:t>
                  </w:r>
                </w:p>
              </w:tc>
              <w:tc>
                <w:tcPr>
                  <w:tcW w:w="251" w:type="pct"/>
                  <w:vAlign w:val="center"/>
                </w:tcPr>
                <w:p w14:paraId="032408B4">
                  <w:pPr>
                    <w:pStyle w:val="154"/>
                    <w:rPr>
                      <w:sz w:val="21"/>
                      <w:szCs w:val="21"/>
                    </w:rPr>
                  </w:pPr>
                  <w:r>
                    <w:rPr>
                      <w:sz w:val="21"/>
                      <w:szCs w:val="21"/>
                    </w:rPr>
                    <w:t>1</w:t>
                  </w:r>
                </w:p>
              </w:tc>
            </w:tr>
            <w:tr w14:paraId="1F044E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03CB5478">
                  <w:pPr>
                    <w:pStyle w:val="154"/>
                    <w:rPr>
                      <w:sz w:val="21"/>
                      <w:szCs w:val="21"/>
                    </w:rPr>
                  </w:pPr>
                </w:p>
              </w:tc>
              <w:tc>
                <w:tcPr>
                  <w:tcW w:w="257" w:type="pct"/>
                  <w:vMerge w:val="continue"/>
                  <w:vAlign w:val="center"/>
                </w:tcPr>
                <w:p w14:paraId="3FBC9ADA">
                  <w:pPr>
                    <w:pStyle w:val="154"/>
                    <w:rPr>
                      <w:sz w:val="21"/>
                      <w:szCs w:val="21"/>
                    </w:rPr>
                  </w:pPr>
                </w:p>
              </w:tc>
              <w:tc>
                <w:tcPr>
                  <w:tcW w:w="566" w:type="pct"/>
                  <w:vMerge w:val="continue"/>
                  <w:vAlign w:val="center"/>
                </w:tcPr>
                <w:p w14:paraId="79460B2E">
                  <w:pPr>
                    <w:pStyle w:val="154"/>
                    <w:rPr>
                      <w:sz w:val="21"/>
                      <w:szCs w:val="21"/>
                    </w:rPr>
                  </w:pPr>
                </w:p>
              </w:tc>
              <w:tc>
                <w:tcPr>
                  <w:tcW w:w="208" w:type="pct"/>
                  <w:vMerge w:val="continue"/>
                  <w:vAlign w:val="center"/>
                </w:tcPr>
                <w:p w14:paraId="57A072A9">
                  <w:pPr>
                    <w:pStyle w:val="154"/>
                    <w:rPr>
                      <w:sz w:val="21"/>
                      <w:szCs w:val="21"/>
                    </w:rPr>
                  </w:pPr>
                </w:p>
              </w:tc>
              <w:tc>
                <w:tcPr>
                  <w:tcW w:w="572" w:type="pct"/>
                  <w:vMerge w:val="continue"/>
                  <w:vAlign w:val="center"/>
                </w:tcPr>
                <w:p w14:paraId="0C455156">
                  <w:pPr>
                    <w:pStyle w:val="154"/>
                    <w:rPr>
                      <w:sz w:val="21"/>
                      <w:szCs w:val="21"/>
                    </w:rPr>
                  </w:pPr>
                </w:p>
              </w:tc>
              <w:tc>
                <w:tcPr>
                  <w:tcW w:w="364" w:type="pct"/>
                  <w:vMerge w:val="continue"/>
                  <w:vAlign w:val="center"/>
                </w:tcPr>
                <w:p w14:paraId="0180C3B0">
                  <w:pPr>
                    <w:pStyle w:val="154"/>
                    <w:rPr>
                      <w:sz w:val="21"/>
                      <w:szCs w:val="21"/>
                    </w:rPr>
                  </w:pPr>
                </w:p>
              </w:tc>
              <w:tc>
                <w:tcPr>
                  <w:tcW w:w="415" w:type="pct"/>
                  <w:vMerge w:val="continue"/>
                  <w:vAlign w:val="center"/>
                </w:tcPr>
                <w:p w14:paraId="5791EFA5">
                  <w:pPr>
                    <w:pStyle w:val="154"/>
                    <w:rPr>
                      <w:sz w:val="21"/>
                      <w:szCs w:val="21"/>
                    </w:rPr>
                  </w:pPr>
                </w:p>
              </w:tc>
              <w:tc>
                <w:tcPr>
                  <w:tcW w:w="208" w:type="pct"/>
                  <w:vMerge w:val="continue"/>
                  <w:vAlign w:val="center"/>
                </w:tcPr>
                <w:p w14:paraId="2BDD835A">
                  <w:pPr>
                    <w:pStyle w:val="154"/>
                    <w:rPr>
                      <w:sz w:val="21"/>
                      <w:szCs w:val="21"/>
                    </w:rPr>
                  </w:pPr>
                </w:p>
              </w:tc>
              <w:tc>
                <w:tcPr>
                  <w:tcW w:w="208" w:type="pct"/>
                  <w:vMerge w:val="continue"/>
                  <w:vAlign w:val="center"/>
                </w:tcPr>
                <w:p w14:paraId="5202B60D">
                  <w:pPr>
                    <w:pStyle w:val="154"/>
                    <w:rPr>
                      <w:sz w:val="21"/>
                      <w:szCs w:val="21"/>
                    </w:rPr>
                  </w:pPr>
                </w:p>
              </w:tc>
              <w:tc>
                <w:tcPr>
                  <w:tcW w:w="260" w:type="pct"/>
                  <w:vMerge w:val="continue"/>
                  <w:vAlign w:val="center"/>
                </w:tcPr>
                <w:p w14:paraId="675EB96B">
                  <w:pPr>
                    <w:pStyle w:val="154"/>
                    <w:rPr>
                      <w:sz w:val="21"/>
                      <w:szCs w:val="21"/>
                    </w:rPr>
                  </w:pPr>
                </w:p>
              </w:tc>
              <w:tc>
                <w:tcPr>
                  <w:tcW w:w="224" w:type="pct"/>
                  <w:vAlign w:val="center"/>
                </w:tcPr>
                <w:p w14:paraId="2F9A1835">
                  <w:pPr>
                    <w:pStyle w:val="154"/>
                    <w:rPr>
                      <w:sz w:val="21"/>
                      <w:szCs w:val="21"/>
                    </w:rPr>
                  </w:pPr>
                  <w:r>
                    <w:rPr>
                      <w:sz w:val="21"/>
                      <w:szCs w:val="21"/>
                    </w:rPr>
                    <w:t>N</w:t>
                  </w:r>
                </w:p>
              </w:tc>
              <w:tc>
                <w:tcPr>
                  <w:tcW w:w="225" w:type="pct"/>
                  <w:vAlign w:val="center"/>
                </w:tcPr>
                <w:p w14:paraId="1886BFF8">
                  <w:pPr>
                    <w:pStyle w:val="154"/>
                    <w:rPr>
                      <w:sz w:val="21"/>
                      <w:szCs w:val="21"/>
                    </w:rPr>
                  </w:pPr>
                  <w:r>
                    <w:rPr>
                      <w:rFonts w:hint="eastAsia"/>
                      <w:sz w:val="21"/>
                      <w:szCs w:val="21"/>
                    </w:rPr>
                    <w:t>28</w:t>
                  </w:r>
                </w:p>
              </w:tc>
              <w:tc>
                <w:tcPr>
                  <w:tcW w:w="309" w:type="pct"/>
                  <w:vAlign w:val="bottom"/>
                </w:tcPr>
                <w:p w14:paraId="596885B7">
                  <w:pPr>
                    <w:pStyle w:val="154"/>
                    <w:rPr>
                      <w:sz w:val="21"/>
                      <w:szCs w:val="21"/>
                    </w:rPr>
                  </w:pPr>
                  <w:r>
                    <w:rPr>
                      <w:rFonts w:hint="eastAsia"/>
                      <w:sz w:val="21"/>
                      <w:szCs w:val="21"/>
                    </w:rPr>
                    <w:t>46.06</w:t>
                  </w:r>
                </w:p>
              </w:tc>
              <w:tc>
                <w:tcPr>
                  <w:tcW w:w="258" w:type="pct"/>
                  <w:vMerge w:val="continue"/>
                  <w:vAlign w:val="center"/>
                </w:tcPr>
                <w:p w14:paraId="7894F0DF">
                  <w:pPr>
                    <w:pStyle w:val="154"/>
                    <w:rPr>
                      <w:sz w:val="21"/>
                      <w:szCs w:val="21"/>
                    </w:rPr>
                  </w:pPr>
                </w:p>
              </w:tc>
              <w:tc>
                <w:tcPr>
                  <w:tcW w:w="258" w:type="pct"/>
                  <w:vAlign w:val="center"/>
                </w:tcPr>
                <w:p w14:paraId="1E34CC75">
                  <w:pPr>
                    <w:pStyle w:val="154"/>
                    <w:rPr>
                      <w:sz w:val="21"/>
                      <w:szCs w:val="21"/>
                    </w:rPr>
                  </w:pPr>
                  <w:r>
                    <w:rPr>
                      <w:sz w:val="21"/>
                      <w:szCs w:val="21"/>
                    </w:rPr>
                    <w:t>20</w:t>
                  </w:r>
                </w:p>
              </w:tc>
              <w:tc>
                <w:tcPr>
                  <w:tcW w:w="257" w:type="pct"/>
                  <w:vAlign w:val="bottom"/>
                </w:tcPr>
                <w:p w14:paraId="49423D10">
                  <w:pPr>
                    <w:pStyle w:val="154"/>
                    <w:rPr>
                      <w:sz w:val="21"/>
                      <w:szCs w:val="21"/>
                    </w:rPr>
                  </w:pPr>
                  <w:r>
                    <w:rPr>
                      <w:rFonts w:hint="eastAsia"/>
                      <w:sz w:val="21"/>
                      <w:szCs w:val="21"/>
                    </w:rPr>
                    <w:t>26.06</w:t>
                  </w:r>
                </w:p>
              </w:tc>
              <w:tc>
                <w:tcPr>
                  <w:tcW w:w="251" w:type="pct"/>
                  <w:vAlign w:val="center"/>
                </w:tcPr>
                <w:p w14:paraId="71CCD552">
                  <w:pPr>
                    <w:pStyle w:val="154"/>
                    <w:rPr>
                      <w:sz w:val="21"/>
                      <w:szCs w:val="21"/>
                    </w:rPr>
                  </w:pPr>
                  <w:r>
                    <w:rPr>
                      <w:sz w:val="21"/>
                      <w:szCs w:val="21"/>
                    </w:rPr>
                    <w:t>1</w:t>
                  </w:r>
                </w:p>
              </w:tc>
            </w:tr>
            <w:tr w14:paraId="2E756B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6658436C">
                  <w:pPr>
                    <w:pStyle w:val="154"/>
                    <w:rPr>
                      <w:sz w:val="21"/>
                      <w:szCs w:val="21"/>
                    </w:rPr>
                  </w:pPr>
                  <w:r>
                    <w:rPr>
                      <w:rFonts w:hint="eastAsia"/>
                      <w:sz w:val="21"/>
                      <w:szCs w:val="21"/>
                    </w:rPr>
                    <w:t>10</w:t>
                  </w:r>
                </w:p>
              </w:tc>
              <w:tc>
                <w:tcPr>
                  <w:tcW w:w="257" w:type="pct"/>
                  <w:vMerge w:val="continue"/>
                  <w:vAlign w:val="center"/>
                </w:tcPr>
                <w:p w14:paraId="0AD7EE17">
                  <w:pPr>
                    <w:pStyle w:val="154"/>
                    <w:rPr>
                      <w:sz w:val="21"/>
                      <w:szCs w:val="21"/>
                    </w:rPr>
                  </w:pPr>
                </w:p>
              </w:tc>
              <w:tc>
                <w:tcPr>
                  <w:tcW w:w="566" w:type="pct"/>
                  <w:vMerge w:val="restart"/>
                  <w:vAlign w:val="center"/>
                </w:tcPr>
                <w:p w14:paraId="762F43AD">
                  <w:pPr>
                    <w:pStyle w:val="154"/>
                    <w:rPr>
                      <w:sz w:val="21"/>
                      <w:szCs w:val="21"/>
                    </w:rPr>
                  </w:pPr>
                  <w:r>
                    <w:rPr>
                      <w:rFonts w:hint="eastAsia"/>
                      <w:sz w:val="21"/>
                      <w:szCs w:val="21"/>
                    </w:rPr>
                    <w:t>搅拌</w:t>
                  </w:r>
                  <w:r>
                    <w:rPr>
                      <w:sz w:val="21"/>
                      <w:szCs w:val="21"/>
                    </w:rPr>
                    <w:t>机2#</w:t>
                  </w:r>
                </w:p>
              </w:tc>
              <w:tc>
                <w:tcPr>
                  <w:tcW w:w="208" w:type="pct"/>
                  <w:vMerge w:val="restart"/>
                  <w:vAlign w:val="center"/>
                </w:tcPr>
                <w:p w14:paraId="5F3EBF11">
                  <w:pPr>
                    <w:pStyle w:val="154"/>
                    <w:rPr>
                      <w:sz w:val="21"/>
                      <w:szCs w:val="21"/>
                    </w:rPr>
                  </w:pPr>
                  <w:r>
                    <w:rPr>
                      <w:sz w:val="21"/>
                      <w:szCs w:val="21"/>
                    </w:rPr>
                    <w:t>/</w:t>
                  </w:r>
                </w:p>
              </w:tc>
              <w:tc>
                <w:tcPr>
                  <w:tcW w:w="572" w:type="pct"/>
                  <w:vMerge w:val="restart"/>
                  <w:vAlign w:val="center"/>
                </w:tcPr>
                <w:p w14:paraId="56FC76F6">
                  <w:pPr>
                    <w:pStyle w:val="154"/>
                    <w:rPr>
                      <w:sz w:val="21"/>
                      <w:szCs w:val="21"/>
                    </w:rPr>
                  </w:pPr>
                  <w:r>
                    <w:rPr>
                      <w:sz w:val="21"/>
                      <w:szCs w:val="21"/>
                    </w:rPr>
                    <w:t>/</w:t>
                  </w:r>
                </w:p>
              </w:tc>
              <w:tc>
                <w:tcPr>
                  <w:tcW w:w="364" w:type="pct"/>
                  <w:vMerge w:val="restart"/>
                  <w:vAlign w:val="center"/>
                </w:tcPr>
                <w:p w14:paraId="1A2893D2">
                  <w:pPr>
                    <w:pStyle w:val="154"/>
                    <w:rPr>
                      <w:sz w:val="21"/>
                      <w:szCs w:val="21"/>
                    </w:rPr>
                  </w:pPr>
                  <w:r>
                    <w:rPr>
                      <w:rFonts w:hint="eastAsia"/>
                      <w:sz w:val="21"/>
                      <w:szCs w:val="21"/>
                    </w:rPr>
                    <w:t>75</w:t>
                  </w:r>
                </w:p>
              </w:tc>
              <w:tc>
                <w:tcPr>
                  <w:tcW w:w="415" w:type="pct"/>
                  <w:vMerge w:val="continue"/>
                  <w:vAlign w:val="center"/>
                </w:tcPr>
                <w:p w14:paraId="04449281">
                  <w:pPr>
                    <w:pStyle w:val="154"/>
                    <w:rPr>
                      <w:sz w:val="21"/>
                      <w:szCs w:val="21"/>
                    </w:rPr>
                  </w:pPr>
                </w:p>
              </w:tc>
              <w:tc>
                <w:tcPr>
                  <w:tcW w:w="208" w:type="pct"/>
                  <w:vMerge w:val="restart"/>
                  <w:vAlign w:val="center"/>
                </w:tcPr>
                <w:p w14:paraId="57560077">
                  <w:pPr>
                    <w:pStyle w:val="154"/>
                    <w:rPr>
                      <w:sz w:val="21"/>
                      <w:szCs w:val="21"/>
                    </w:rPr>
                  </w:pPr>
                  <w:r>
                    <w:rPr>
                      <w:rFonts w:hint="eastAsia"/>
                      <w:sz w:val="21"/>
                      <w:szCs w:val="21"/>
                    </w:rPr>
                    <w:t>4</w:t>
                  </w:r>
                </w:p>
              </w:tc>
              <w:tc>
                <w:tcPr>
                  <w:tcW w:w="208" w:type="pct"/>
                  <w:vMerge w:val="restart"/>
                  <w:vAlign w:val="center"/>
                </w:tcPr>
                <w:p w14:paraId="4E571315">
                  <w:pPr>
                    <w:pStyle w:val="154"/>
                    <w:rPr>
                      <w:sz w:val="21"/>
                      <w:szCs w:val="21"/>
                    </w:rPr>
                  </w:pPr>
                  <w:r>
                    <w:rPr>
                      <w:rFonts w:hint="eastAsia"/>
                      <w:sz w:val="21"/>
                      <w:szCs w:val="21"/>
                    </w:rPr>
                    <w:t>5</w:t>
                  </w:r>
                </w:p>
              </w:tc>
              <w:tc>
                <w:tcPr>
                  <w:tcW w:w="260" w:type="pct"/>
                  <w:vMerge w:val="restart"/>
                  <w:vAlign w:val="center"/>
                </w:tcPr>
                <w:p w14:paraId="607BB22C">
                  <w:pPr>
                    <w:pStyle w:val="154"/>
                    <w:rPr>
                      <w:sz w:val="21"/>
                      <w:szCs w:val="21"/>
                    </w:rPr>
                  </w:pPr>
                  <w:r>
                    <w:rPr>
                      <w:sz w:val="21"/>
                      <w:szCs w:val="21"/>
                    </w:rPr>
                    <w:t>1</w:t>
                  </w:r>
                </w:p>
              </w:tc>
              <w:tc>
                <w:tcPr>
                  <w:tcW w:w="224" w:type="pct"/>
                  <w:vAlign w:val="center"/>
                </w:tcPr>
                <w:p w14:paraId="6263E8CA">
                  <w:pPr>
                    <w:pStyle w:val="154"/>
                    <w:rPr>
                      <w:sz w:val="21"/>
                      <w:szCs w:val="21"/>
                    </w:rPr>
                  </w:pPr>
                  <w:r>
                    <w:rPr>
                      <w:sz w:val="21"/>
                      <w:szCs w:val="21"/>
                    </w:rPr>
                    <w:t>E</w:t>
                  </w:r>
                </w:p>
              </w:tc>
              <w:tc>
                <w:tcPr>
                  <w:tcW w:w="225" w:type="pct"/>
                  <w:vAlign w:val="center"/>
                </w:tcPr>
                <w:p w14:paraId="2139ED58">
                  <w:pPr>
                    <w:pStyle w:val="154"/>
                    <w:rPr>
                      <w:sz w:val="21"/>
                      <w:szCs w:val="21"/>
                    </w:rPr>
                  </w:pPr>
                  <w:r>
                    <w:rPr>
                      <w:rFonts w:hint="eastAsia"/>
                      <w:sz w:val="21"/>
                      <w:szCs w:val="21"/>
                    </w:rPr>
                    <w:t>32</w:t>
                  </w:r>
                </w:p>
              </w:tc>
              <w:tc>
                <w:tcPr>
                  <w:tcW w:w="309" w:type="pct"/>
                  <w:vAlign w:val="bottom"/>
                </w:tcPr>
                <w:p w14:paraId="784886A9">
                  <w:pPr>
                    <w:pStyle w:val="154"/>
                    <w:rPr>
                      <w:sz w:val="21"/>
                      <w:szCs w:val="21"/>
                    </w:rPr>
                  </w:pPr>
                  <w:r>
                    <w:rPr>
                      <w:rFonts w:hint="eastAsia"/>
                      <w:sz w:val="21"/>
                      <w:szCs w:val="21"/>
                    </w:rPr>
                    <w:t>44.90</w:t>
                  </w:r>
                </w:p>
              </w:tc>
              <w:tc>
                <w:tcPr>
                  <w:tcW w:w="258" w:type="pct"/>
                  <w:vMerge w:val="restart"/>
                  <w:vAlign w:val="center"/>
                </w:tcPr>
                <w:p w14:paraId="1AFBF883">
                  <w:pPr>
                    <w:pStyle w:val="154"/>
                    <w:rPr>
                      <w:sz w:val="21"/>
                      <w:szCs w:val="21"/>
                    </w:rPr>
                  </w:pPr>
                  <w:r>
                    <w:rPr>
                      <w:rFonts w:hint="eastAsia"/>
                      <w:sz w:val="21"/>
                      <w:szCs w:val="21"/>
                    </w:rPr>
                    <w:t>昼间</w:t>
                  </w:r>
                </w:p>
              </w:tc>
              <w:tc>
                <w:tcPr>
                  <w:tcW w:w="258" w:type="pct"/>
                  <w:vAlign w:val="center"/>
                </w:tcPr>
                <w:p w14:paraId="10E2A3B9">
                  <w:pPr>
                    <w:pStyle w:val="154"/>
                    <w:rPr>
                      <w:sz w:val="21"/>
                      <w:szCs w:val="21"/>
                    </w:rPr>
                  </w:pPr>
                  <w:r>
                    <w:rPr>
                      <w:sz w:val="21"/>
                      <w:szCs w:val="21"/>
                    </w:rPr>
                    <w:t>20</w:t>
                  </w:r>
                </w:p>
              </w:tc>
              <w:tc>
                <w:tcPr>
                  <w:tcW w:w="257" w:type="pct"/>
                  <w:vAlign w:val="bottom"/>
                </w:tcPr>
                <w:p w14:paraId="41349D50">
                  <w:pPr>
                    <w:pStyle w:val="154"/>
                    <w:rPr>
                      <w:sz w:val="21"/>
                      <w:szCs w:val="21"/>
                    </w:rPr>
                  </w:pPr>
                  <w:r>
                    <w:rPr>
                      <w:rFonts w:hint="eastAsia"/>
                      <w:sz w:val="21"/>
                      <w:szCs w:val="21"/>
                    </w:rPr>
                    <w:t>24.90</w:t>
                  </w:r>
                </w:p>
              </w:tc>
              <w:tc>
                <w:tcPr>
                  <w:tcW w:w="251" w:type="pct"/>
                  <w:vAlign w:val="center"/>
                </w:tcPr>
                <w:p w14:paraId="5560C3AE">
                  <w:pPr>
                    <w:pStyle w:val="154"/>
                    <w:rPr>
                      <w:sz w:val="21"/>
                      <w:szCs w:val="21"/>
                    </w:rPr>
                  </w:pPr>
                  <w:r>
                    <w:rPr>
                      <w:sz w:val="21"/>
                      <w:szCs w:val="21"/>
                    </w:rPr>
                    <w:t>1</w:t>
                  </w:r>
                </w:p>
              </w:tc>
            </w:tr>
            <w:tr w14:paraId="13B499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24799C7A">
                  <w:pPr>
                    <w:pStyle w:val="154"/>
                    <w:rPr>
                      <w:sz w:val="21"/>
                      <w:szCs w:val="21"/>
                    </w:rPr>
                  </w:pPr>
                </w:p>
              </w:tc>
              <w:tc>
                <w:tcPr>
                  <w:tcW w:w="257" w:type="pct"/>
                  <w:vMerge w:val="continue"/>
                  <w:vAlign w:val="center"/>
                </w:tcPr>
                <w:p w14:paraId="577CC28D">
                  <w:pPr>
                    <w:pStyle w:val="154"/>
                    <w:rPr>
                      <w:sz w:val="21"/>
                      <w:szCs w:val="21"/>
                    </w:rPr>
                  </w:pPr>
                </w:p>
              </w:tc>
              <w:tc>
                <w:tcPr>
                  <w:tcW w:w="566" w:type="pct"/>
                  <w:vMerge w:val="continue"/>
                  <w:vAlign w:val="center"/>
                </w:tcPr>
                <w:p w14:paraId="371742E1">
                  <w:pPr>
                    <w:pStyle w:val="154"/>
                    <w:rPr>
                      <w:sz w:val="21"/>
                      <w:szCs w:val="21"/>
                    </w:rPr>
                  </w:pPr>
                </w:p>
              </w:tc>
              <w:tc>
                <w:tcPr>
                  <w:tcW w:w="208" w:type="pct"/>
                  <w:vMerge w:val="continue"/>
                  <w:vAlign w:val="center"/>
                </w:tcPr>
                <w:p w14:paraId="682C4331">
                  <w:pPr>
                    <w:pStyle w:val="154"/>
                    <w:rPr>
                      <w:sz w:val="21"/>
                      <w:szCs w:val="21"/>
                    </w:rPr>
                  </w:pPr>
                </w:p>
              </w:tc>
              <w:tc>
                <w:tcPr>
                  <w:tcW w:w="572" w:type="pct"/>
                  <w:vMerge w:val="continue"/>
                  <w:vAlign w:val="center"/>
                </w:tcPr>
                <w:p w14:paraId="50FD6C14">
                  <w:pPr>
                    <w:pStyle w:val="154"/>
                    <w:rPr>
                      <w:sz w:val="21"/>
                      <w:szCs w:val="21"/>
                    </w:rPr>
                  </w:pPr>
                </w:p>
              </w:tc>
              <w:tc>
                <w:tcPr>
                  <w:tcW w:w="364" w:type="pct"/>
                  <w:vMerge w:val="continue"/>
                  <w:vAlign w:val="center"/>
                </w:tcPr>
                <w:p w14:paraId="659E2412">
                  <w:pPr>
                    <w:pStyle w:val="154"/>
                    <w:rPr>
                      <w:sz w:val="21"/>
                      <w:szCs w:val="21"/>
                    </w:rPr>
                  </w:pPr>
                </w:p>
              </w:tc>
              <w:tc>
                <w:tcPr>
                  <w:tcW w:w="415" w:type="pct"/>
                  <w:vMerge w:val="continue"/>
                  <w:vAlign w:val="center"/>
                </w:tcPr>
                <w:p w14:paraId="6F6EF8C0">
                  <w:pPr>
                    <w:pStyle w:val="154"/>
                    <w:rPr>
                      <w:sz w:val="21"/>
                      <w:szCs w:val="21"/>
                    </w:rPr>
                  </w:pPr>
                </w:p>
              </w:tc>
              <w:tc>
                <w:tcPr>
                  <w:tcW w:w="208" w:type="pct"/>
                  <w:vMerge w:val="continue"/>
                  <w:vAlign w:val="center"/>
                </w:tcPr>
                <w:p w14:paraId="5E360FA0">
                  <w:pPr>
                    <w:pStyle w:val="154"/>
                    <w:rPr>
                      <w:sz w:val="21"/>
                      <w:szCs w:val="21"/>
                    </w:rPr>
                  </w:pPr>
                </w:p>
              </w:tc>
              <w:tc>
                <w:tcPr>
                  <w:tcW w:w="208" w:type="pct"/>
                  <w:vMerge w:val="continue"/>
                  <w:vAlign w:val="center"/>
                </w:tcPr>
                <w:p w14:paraId="2A4707CB">
                  <w:pPr>
                    <w:pStyle w:val="154"/>
                    <w:rPr>
                      <w:sz w:val="21"/>
                      <w:szCs w:val="21"/>
                    </w:rPr>
                  </w:pPr>
                </w:p>
              </w:tc>
              <w:tc>
                <w:tcPr>
                  <w:tcW w:w="260" w:type="pct"/>
                  <w:vMerge w:val="continue"/>
                  <w:vAlign w:val="center"/>
                </w:tcPr>
                <w:p w14:paraId="75436FE0">
                  <w:pPr>
                    <w:pStyle w:val="154"/>
                    <w:rPr>
                      <w:sz w:val="21"/>
                      <w:szCs w:val="21"/>
                    </w:rPr>
                  </w:pPr>
                </w:p>
              </w:tc>
              <w:tc>
                <w:tcPr>
                  <w:tcW w:w="224" w:type="pct"/>
                  <w:vAlign w:val="center"/>
                </w:tcPr>
                <w:p w14:paraId="0BD5F3A1">
                  <w:pPr>
                    <w:pStyle w:val="154"/>
                    <w:rPr>
                      <w:sz w:val="21"/>
                      <w:szCs w:val="21"/>
                    </w:rPr>
                  </w:pPr>
                  <w:r>
                    <w:rPr>
                      <w:rFonts w:hint="eastAsia"/>
                      <w:sz w:val="21"/>
                      <w:szCs w:val="21"/>
                    </w:rPr>
                    <w:t>W</w:t>
                  </w:r>
                </w:p>
              </w:tc>
              <w:tc>
                <w:tcPr>
                  <w:tcW w:w="225" w:type="pct"/>
                  <w:vAlign w:val="center"/>
                </w:tcPr>
                <w:p w14:paraId="7DE82E78">
                  <w:pPr>
                    <w:pStyle w:val="154"/>
                    <w:rPr>
                      <w:sz w:val="21"/>
                      <w:szCs w:val="21"/>
                    </w:rPr>
                  </w:pPr>
                  <w:r>
                    <w:rPr>
                      <w:rFonts w:hint="eastAsia"/>
                      <w:sz w:val="21"/>
                      <w:szCs w:val="21"/>
                    </w:rPr>
                    <w:t>4</w:t>
                  </w:r>
                </w:p>
              </w:tc>
              <w:tc>
                <w:tcPr>
                  <w:tcW w:w="309" w:type="pct"/>
                  <w:vAlign w:val="bottom"/>
                </w:tcPr>
                <w:p w14:paraId="69DC556A">
                  <w:pPr>
                    <w:pStyle w:val="154"/>
                    <w:rPr>
                      <w:sz w:val="21"/>
                      <w:szCs w:val="21"/>
                    </w:rPr>
                  </w:pPr>
                  <w:r>
                    <w:rPr>
                      <w:rFonts w:hint="eastAsia"/>
                      <w:sz w:val="21"/>
                      <w:szCs w:val="21"/>
                    </w:rPr>
                    <w:t>62.96</w:t>
                  </w:r>
                </w:p>
              </w:tc>
              <w:tc>
                <w:tcPr>
                  <w:tcW w:w="258" w:type="pct"/>
                  <w:vMerge w:val="continue"/>
                  <w:vAlign w:val="center"/>
                </w:tcPr>
                <w:p w14:paraId="182E5252">
                  <w:pPr>
                    <w:pStyle w:val="154"/>
                    <w:rPr>
                      <w:sz w:val="21"/>
                      <w:szCs w:val="21"/>
                    </w:rPr>
                  </w:pPr>
                </w:p>
              </w:tc>
              <w:tc>
                <w:tcPr>
                  <w:tcW w:w="258" w:type="pct"/>
                  <w:vAlign w:val="center"/>
                </w:tcPr>
                <w:p w14:paraId="2F275AF0">
                  <w:pPr>
                    <w:pStyle w:val="154"/>
                    <w:rPr>
                      <w:sz w:val="21"/>
                      <w:szCs w:val="21"/>
                    </w:rPr>
                  </w:pPr>
                  <w:r>
                    <w:rPr>
                      <w:sz w:val="21"/>
                      <w:szCs w:val="21"/>
                    </w:rPr>
                    <w:t>20</w:t>
                  </w:r>
                </w:p>
              </w:tc>
              <w:tc>
                <w:tcPr>
                  <w:tcW w:w="257" w:type="pct"/>
                  <w:vAlign w:val="bottom"/>
                </w:tcPr>
                <w:p w14:paraId="65B22D41">
                  <w:pPr>
                    <w:pStyle w:val="154"/>
                    <w:rPr>
                      <w:sz w:val="21"/>
                      <w:szCs w:val="21"/>
                    </w:rPr>
                  </w:pPr>
                  <w:r>
                    <w:rPr>
                      <w:rFonts w:hint="eastAsia"/>
                      <w:sz w:val="21"/>
                      <w:szCs w:val="21"/>
                    </w:rPr>
                    <w:t>42.96</w:t>
                  </w:r>
                </w:p>
              </w:tc>
              <w:tc>
                <w:tcPr>
                  <w:tcW w:w="251" w:type="pct"/>
                  <w:vAlign w:val="center"/>
                </w:tcPr>
                <w:p w14:paraId="4A16D856">
                  <w:pPr>
                    <w:pStyle w:val="154"/>
                    <w:rPr>
                      <w:sz w:val="21"/>
                      <w:szCs w:val="21"/>
                    </w:rPr>
                  </w:pPr>
                  <w:r>
                    <w:rPr>
                      <w:sz w:val="21"/>
                      <w:szCs w:val="21"/>
                    </w:rPr>
                    <w:t>1</w:t>
                  </w:r>
                </w:p>
              </w:tc>
            </w:tr>
            <w:tr w14:paraId="274996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5F466E5A">
                  <w:pPr>
                    <w:pStyle w:val="154"/>
                    <w:rPr>
                      <w:sz w:val="21"/>
                      <w:szCs w:val="21"/>
                    </w:rPr>
                  </w:pPr>
                </w:p>
              </w:tc>
              <w:tc>
                <w:tcPr>
                  <w:tcW w:w="257" w:type="pct"/>
                  <w:vMerge w:val="continue"/>
                  <w:vAlign w:val="center"/>
                </w:tcPr>
                <w:p w14:paraId="3EFCF19A">
                  <w:pPr>
                    <w:pStyle w:val="154"/>
                    <w:rPr>
                      <w:sz w:val="21"/>
                      <w:szCs w:val="21"/>
                    </w:rPr>
                  </w:pPr>
                </w:p>
              </w:tc>
              <w:tc>
                <w:tcPr>
                  <w:tcW w:w="566" w:type="pct"/>
                  <w:vMerge w:val="continue"/>
                  <w:vAlign w:val="center"/>
                </w:tcPr>
                <w:p w14:paraId="68640868">
                  <w:pPr>
                    <w:pStyle w:val="154"/>
                    <w:rPr>
                      <w:sz w:val="21"/>
                      <w:szCs w:val="21"/>
                    </w:rPr>
                  </w:pPr>
                </w:p>
              </w:tc>
              <w:tc>
                <w:tcPr>
                  <w:tcW w:w="208" w:type="pct"/>
                  <w:vMerge w:val="continue"/>
                  <w:vAlign w:val="center"/>
                </w:tcPr>
                <w:p w14:paraId="0C84F43A">
                  <w:pPr>
                    <w:pStyle w:val="154"/>
                    <w:rPr>
                      <w:sz w:val="21"/>
                      <w:szCs w:val="21"/>
                    </w:rPr>
                  </w:pPr>
                </w:p>
              </w:tc>
              <w:tc>
                <w:tcPr>
                  <w:tcW w:w="572" w:type="pct"/>
                  <w:vMerge w:val="continue"/>
                  <w:vAlign w:val="center"/>
                </w:tcPr>
                <w:p w14:paraId="20C3105D">
                  <w:pPr>
                    <w:pStyle w:val="154"/>
                    <w:rPr>
                      <w:sz w:val="21"/>
                      <w:szCs w:val="21"/>
                    </w:rPr>
                  </w:pPr>
                </w:p>
              </w:tc>
              <w:tc>
                <w:tcPr>
                  <w:tcW w:w="364" w:type="pct"/>
                  <w:vMerge w:val="continue"/>
                  <w:vAlign w:val="center"/>
                </w:tcPr>
                <w:p w14:paraId="3BADD8D8">
                  <w:pPr>
                    <w:pStyle w:val="154"/>
                    <w:rPr>
                      <w:sz w:val="21"/>
                      <w:szCs w:val="21"/>
                    </w:rPr>
                  </w:pPr>
                </w:p>
              </w:tc>
              <w:tc>
                <w:tcPr>
                  <w:tcW w:w="415" w:type="pct"/>
                  <w:vMerge w:val="continue"/>
                  <w:vAlign w:val="center"/>
                </w:tcPr>
                <w:p w14:paraId="25B5200D">
                  <w:pPr>
                    <w:pStyle w:val="154"/>
                    <w:rPr>
                      <w:sz w:val="21"/>
                      <w:szCs w:val="21"/>
                    </w:rPr>
                  </w:pPr>
                </w:p>
              </w:tc>
              <w:tc>
                <w:tcPr>
                  <w:tcW w:w="208" w:type="pct"/>
                  <w:vMerge w:val="continue"/>
                  <w:vAlign w:val="center"/>
                </w:tcPr>
                <w:p w14:paraId="45B0906B">
                  <w:pPr>
                    <w:pStyle w:val="154"/>
                    <w:rPr>
                      <w:sz w:val="21"/>
                      <w:szCs w:val="21"/>
                    </w:rPr>
                  </w:pPr>
                </w:p>
              </w:tc>
              <w:tc>
                <w:tcPr>
                  <w:tcW w:w="208" w:type="pct"/>
                  <w:vMerge w:val="continue"/>
                  <w:vAlign w:val="center"/>
                </w:tcPr>
                <w:p w14:paraId="0D685C3D">
                  <w:pPr>
                    <w:pStyle w:val="154"/>
                    <w:rPr>
                      <w:sz w:val="21"/>
                      <w:szCs w:val="21"/>
                    </w:rPr>
                  </w:pPr>
                </w:p>
              </w:tc>
              <w:tc>
                <w:tcPr>
                  <w:tcW w:w="260" w:type="pct"/>
                  <w:vMerge w:val="continue"/>
                  <w:vAlign w:val="center"/>
                </w:tcPr>
                <w:p w14:paraId="57254CD9">
                  <w:pPr>
                    <w:pStyle w:val="154"/>
                    <w:rPr>
                      <w:sz w:val="21"/>
                      <w:szCs w:val="21"/>
                    </w:rPr>
                  </w:pPr>
                </w:p>
              </w:tc>
              <w:tc>
                <w:tcPr>
                  <w:tcW w:w="224" w:type="pct"/>
                  <w:vAlign w:val="center"/>
                </w:tcPr>
                <w:p w14:paraId="213314CE">
                  <w:pPr>
                    <w:pStyle w:val="154"/>
                    <w:rPr>
                      <w:sz w:val="21"/>
                      <w:szCs w:val="21"/>
                    </w:rPr>
                  </w:pPr>
                  <w:r>
                    <w:rPr>
                      <w:sz w:val="21"/>
                      <w:szCs w:val="21"/>
                    </w:rPr>
                    <w:t>S</w:t>
                  </w:r>
                </w:p>
              </w:tc>
              <w:tc>
                <w:tcPr>
                  <w:tcW w:w="225" w:type="pct"/>
                  <w:vAlign w:val="center"/>
                </w:tcPr>
                <w:p w14:paraId="2819567E">
                  <w:pPr>
                    <w:pStyle w:val="154"/>
                    <w:rPr>
                      <w:sz w:val="21"/>
                      <w:szCs w:val="21"/>
                    </w:rPr>
                  </w:pPr>
                  <w:r>
                    <w:rPr>
                      <w:rFonts w:hint="eastAsia"/>
                      <w:sz w:val="21"/>
                      <w:szCs w:val="21"/>
                    </w:rPr>
                    <w:t>5</w:t>
                  </w:r>
                </w:p>
              </w:tc>
              <w:tc>
                <w:tcPr>
                  <w:tcW w:w="309" w:type="pct"/>
                  <w:vAlign w:val="bottom"/>
                </w:tcPr>
                <w:p w14:paraId="3AAE507B">
                  <w:pPr>
                    <w:pStyle w:val="154"/>
                    <w:rPr>
                      <w:sz w:val="21"/>
                      <w:szCs w:val="21"/>
                    </w:rPr>
                  </w:pPr>
                  <w:r>
                    <w:rPr>
                      <w:rFonts w:hint="eastAsia"/>
                      <w:sz w:val="21"/>
                      <w:szCs w:val="21"/>
                    </w:rPr>
                    <w:t>61.02</w:t>
                  </w:r>
                </w:p>
              </w:tc>
              <w:tc>
                <w:tcPr>
                  <w:tcW w:w="258" w:type="pct"/>
                  <w:vMerge w:val="continue"/>
                  <w:vAlign w:val="center"/>
                </w:tcPr>
                <w:p w14:paraId="3FEBB7A3">
                  <w:pPr>
                    <w:pStyle w:val="154"/>
                    <w:rPr>
                      <w:sz w:val="21"/>
                      <w:szCs w:val="21"/>
                    </w:rPr>
                  </w:pPr>
                </w:p>
              </w:tc>
              <w:tc>
                <w:tcPr>
                  <w:tcW w:w="258" w:type="pct"/>
                  <w:vAlign w:val="center"/>
                </w:tcPr>
                <w:p w14:paraId="26481A65">
                  <w:pPr>
                    <w:pStyle w:val="154"/>
                    <w:rPr>
                      <w:sz w:val="21"/>
                      <w:szCs w:val="21"/>
                    </w:rPr>
                  </w:pPr>
                  <w:r>
                    <w:rPr>
                      <w:sz w:val="21"/>
                      <w:szCs w:val="21"/>
                    </w:rPr>
                    <w:t>20</w:t>
                  </w:r>
                </w:p>
              </w:tc>
              <w:tc>
                <w:tcPr>
                  <w:tcW w:w="257" w:type="pct"/>
                  <w:vAlign w:val="bottom"/>
                </w:tcPr>
                <w:p w14:paraId="6D6624DD">
                  <w:pPr>
                    <w:pStyle w:val="154"/>
                    <w:rPr>
                      <w:sz w:val="21"/>
                      <w:szCs w:val="21"/>
                    </w:rPr>
                  </w:pPr>
                  <w:r>
                    <w:rPr>
                      <w:rFonts w:hint="eastAsia"/>
                      <w:sz w:val="21"/>
                      <w:szCs w:val="21"/>
                    </w:rPr>
                    <w:t>41.02</w:t>
                  </w:r>
                </w:p>
              </w:tc>
              <w:tc>
                <w:tcPr>
                  <w:tcW w:w="251" w:type="pct"/>
                  <w:vAlign w:val="center"/>
                </w:tcPr>
                <w:p w14:paraId="18618026">
                  <w:pPr>
                    <w:pStyle w:val="154"/>
                    <w:rPr>
                      <w:sz w:val="21"/>
                      <w:szCs w:val="21"/>
                    </w:rPr>
                  </w:pPr>
                  <w:r>
                    <w:rPr>
                      <w:sz w:val="21"/>
                      <w:szCs w:val="21"/>
                    </w:rPr>
                    <w:t>1</w:t>
                  </w:r>
                </w:p>
              </w:tc>
            </w:tr>
            <w:tr w14:paraId="164025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2C809BB5">
                  <w:pPr>
                    <w:pStyle w:val="154"/>
                    <w:rPr>
                      <w:sz w:val="21"/>
                      <w:szCs w:val="21"/>
                    </w:rPr>
                  </w:pPr>
                </w:p>
              </w:tc>
              <w:tc>
                <w:tcPr>
                  <w:tcW w:w="257" w:type="pct"/>
                  <w:vMerge w:val="continue"/>
                  <w:vAlign w:val="center"/>
                </w:tcPr>
                <w:p w14:paraId="6344F6E9">
                  <w:pPr>
                    <w:pStyle w:val="154"/>
                    <w:rPr>
                      <w:sz w:val="21"/>
                      <w:szCs w:val="21"/>
                    </w:rPr>
                  </w:pPr>
                </w:p>
              </w:tc>
              <w:tc>
                <w:tcPr>
                  <w:tcW w:w="566" w:type="pct"/>
                  <w:vMerge w:val="continue"/>
                  <w:vAlign w:val="center"/>
                </w:tcPr>
                <w:p w14:paraId="0AA700B6">
                  <w:pPr>
                    <w:pStyle w:val="154"/>
                    <w:rPr>
                      <w:sz w:val="21"/>
                      <w:szCs w:val="21"/>
                    </w:rPr>
                  </w:pPr>
                </w:p>
              </w:tc>
              <w:tc>
                <w:tcPr>
                  <w:tcW w:w="208" w:type="pct"/>
                  <w:vMerge w:val="continue"/>
                  <w:vAlign w:val="center"/>
                </w:tcPr>
                <w:p w14:paraId="1733CCC1">
                  <w:pPr>
                    <w:pStyle w:val="154"/>
                    <w:rPr>
                      <w:sz w:val="21"/>
                      <w:szCs w:val="21"/>
                    </w:rPr>
                  </w:pPr>
                </w:p>
              </w:tc>
              <w:tc>
                <w:tcPr>
                  <w:tcW w:w="572" w:type="pct"/>
                  <w:vMerge w:val="continue"/>
                  <w:vAlign w:val="center"/>
                </w:tcPr>
                <w:p w14:paraId="1F603786">
                  <w:pPr>
                    <w:pStyle w:val="154"/>
                    <w:rPr>
                      <w:sz w:val="21"/>
                      <w:szCs w:val="21"/>
                    </w:rPr>
                  </w:pPr>
                </w:p>
              </w:tc>
              <w:tc>
                <w:tcPr>
                  <w:tcW w:w="364" w:type="pct"/>
                  <w:vMerge w:val="continue"/>
                  <w:vAlign w:val="center"/>
                </w:tcPr>
                <w:p w14:paraId="37D97D4F">
                  <w:pPr>
                    <w:pStyle w:val="154"/>
                    <w:rPr>
                      <w:sz w:val="21"/>
                      <w:szCs w:val="21"/>
                    </w:rPr>
                  </w:pPr>
                </w:p>
              </w:tc>
              <w:tc>
                <w:tcPr>
                  <w:tcW w:w="415" w:type="pct"/>
                  <w:vMerge w:val="continue"/>
                  <w:vAlign w:val="center"/>
                </w:tcPr>
                <w:p w14:paraId="24EA2E34">
                  <w:pPr>
                    <w:pStyle w:val="154"/>
                    <w:rPr>
                      <w:sz w:val="21"/>
                      <w:szCs w:val="21"/>
                    </w:rPr>
                  </w:pPr>
                </w:p>
              </w:tc>
              <w:tc>
                <w:tcPr>
                  <w:tcW w:w="208" w:type="pct"/>
                  <w:vMerge w:val="continue"/>
                  <w:vAlign w:val="center"/>
                </w:tcPr>
                <w:p w14:paraId="51773A1C">
                  <w:pPr>
                    <w:pStyle w:val="154"/>
                    <w:rPr>
                      <w:sz w:val="21"/>
                      <w:szCs w:val="21"/>
                    </w:rPr>
                  </w:pPr>
                </w:p>
              </w:tc>
              <w:tc>
                <w:tcPr>
                  <w:tcW w:w="208" w:type="pct"/>
                  <w:vMerge w:val="continue"/>
                  <w:vAlign w:val="center"/>
                </w:tcPr>
                <w:p w14:paraId="4C3D09B6">
                  <w:pPr>
                    <w:pStyle w:val="154"/>
                    <w:rPr>
                      <w:sz w:val="21"/>
                      <w:szCs w:val="21"/>
                    </w:rPr>
                  </w:pPr>
                </w:p>
              </w:tc>
              <w:tc>
                <w:tcPr>
                  <w:tcW w:w="260" w:type="pct"/>
                  <w:vMerge w:val="continue"/>
                  <w:vAlign w:val="center"/>
                </w:tcPr>
                <w:p w14:paraId="5789C791">
                  <w:pPr>
                    <w:pStyle w:val="154"/>
                    <w:rPr>
                      <w:sz w:val="21"/>
                      <w:szCs w:val="21"/>
                    </w:rPr>
                  </w:pPr>
                </w:p>
              </w:tc>
              <w:tc>
                <w:tcPr>
                  <w:tcW w:w="224" w:type="pct"/>
                  <w:vAlign w:val="center"/>
                </w:tcPr>
                <w:p w14:paraId="5FD748EB">
                  <w:pPr>
                    <w:pStyle w:val="154"/>
                    <w:rPr>
                      <w:sz w:val="21"/>
                      <w:szCs w:val="21"/>
                    </w:rPr>
                  </w:pPr>
                  <w:r>
                    <w:rPr>
                      <w:sz w:val="21"/>
                      <w:szCs w:val="21"/>
                    </w:rPr>
                    <w:t>N</w:t>
                  </w:r>
                </w:p>
              </w:tc>
              <w:tc>
                <w:tcPr>
                  <w:tcW w:w="225" w:type="pct"/>
                  <w:vAlign w:val="center"/>
                </w:tcPr>
                <w:p w14:paraId="14CF2084">
                  <w:pPr>
                    <w:pStyle w:val="154"/>
                    <w:rPr>
                      <w:sz w:val="21"/>
                      <w:szCs w:val="21"/>
                    </w:rPr>
                  </w:pPr>
                  <w:r>
                    <w:rPr>
                      <w:rFonts w:hint="eastAsia"/>
                      <w:sz w:val="21"/>
                      <w:szCs w:val="21"/>
                    </w:rPr>
                    <w:t>26</w:t>
                  </w:r>
                </w:p>
              </w:tc>
              <w:tc>
                <w:tcPr>
                  <w:tcW w:w="309" w:type="pct"/>
                  <w:vAlign w:val="bottom"/>
                </w:tcPr>
                <w:p w14:paraId="189DCEE8">
                  <w:pPr>
                    <w:pStyle w:val="154"/>
                    <w:rPr>
                      <w:sz w:val="21"/>
                      <w:szCs w:val="21"/>
                    </w:rPr>
                  </w:pPr>
                  <w:r>
                    <w:rPr>
                      <w:rFonts w:hint="eastAsia"/>
                      <w:sz w:val="21"/>
                      <w:szCs w:val="21"/>
                    </w:rPr>
                    <w:t>46.70</w:t>
                  </w:r>
                </w:p>
              </w:tc>
              <w:tc>
                <w:tcPr>
                  <w:tcW w:w="258" w:type="pct"/>
                  <w:vMerge w:val="continue"/>
                  <w:vAlign w:val="center"/>
                </w:tcPr>
                <w:p w14:paraId="36766E7E">
                  <w:pPr>
                    <w:pStyle w:val="154"/>
                    <w:rPr>
                      <w:sz w:val="21"/>
                      <w:szCs w:val="21"/>
                    </w:rPr>
                  </w:pPr>
                </w:p>
              </w:tc>
              <w:tc>
                <w:tcPr>
                  <w:tcW w:w="258" w:type="pct"/>
                  <w:vAlign w:val="center"/>
                </w:tcPr>
                <w:p w14:paraId="1F0DCB71">
                  <w:pPr>
                    <w:pStyle w:val="154"/>
                    <w:rPr>
                      <w:sz w:val="21"/>
                      <w:szCs w:val="21"/>
                    </w:rPr>
                  </w:pPr>
                  <w:r>
                    <w:rPr>
                      <w:sz w:val="21"/>
                      <w:szCs w:val="21"/>
                    </w:rPr>
                    <w:t>20</w:t>
                  </w:r>
                </w:p>
              </w:tc>
              <w:tc>
                <w:tcPr>
                  <w:tcW w:w="257" w:type="pct"/>
                  <w:vAlign w:val="bottom"/>
                </w:tcPr>
                <w:p w14:paraId="4F756C7C">
                  <w:pPr>
                    <w:pStyle w:val="154"/>
                    <w:rPr>
                      <w:sz w:val="21"/>
                      <w:szCs w:val="21"/>
                    </w:rPr>
                  </w:pPr>
                  <w:r>
                    <w:rPr>
                      <w:rFonts w:hint="eastAsia"/>
                      <w:sz w:val="21"/>
                      <w:szCs w:val="21"/>
                    </w:rPr>
                    <w:t>26.70</w:t>
                  </w:r>
                </w:p>
              </w:tc>
              <w:tc>
                <w:tcPr>
                  <w:tcW w:w="251" w:type="pct"/>
                  <w:vAlign w:val="center"/>
                </w:tcPr>
                <w:p w14:paraId="127E8E57">
                  <w:pPr>
                    <w:pStyle w:val="154"/>
                    <w:rPr>
                      <w:sz w:val="21"/>
                      <w:szCs w:val="21"/>
                    </w:rPr>
                  </w:pPr>
                  <w:r>
                    <w:rPr>
                      <w:sz w:val="21"/>
                      <w:szCs w:val="21"/>
                    </w:rPr>
                    <w:t>1</w:t>
                  </w:r>
                </w:p>
              </w:tc>
            </w:tr>
            <w:tr w14:paraId="14FE7F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56C5A3DF">
                  <w:pPr>
                    <w:pStyle w:val="154"/>
                    <w:rPr>
                      <w:sz w:val="21"/>
                      <w:szCs w:val="21"/>
                    </w:rPr>
                  </w:pPr>
                  <w:r>
                    <w:rPr>
                      <w:rFonts w:hint="eastAsia"/>
                      <w:sz w:val="21"/>
                      <w:szCs w:val="21"/>
                    </w:rPr>
                    <w:t>11</w:t>
                  </w:r>
                </w:p>
              </w:tc>
              <w:tc>
                <w:tcPr>
                  <w:tcW w:w="257" w:type="pct"/>
                  <w:vMerge w:val="continue"/>
                  <w:vAlign w:val="center"/>
                </w:tcPr>
                <w:p w14:paraId="5056476C">
                  <w:pPr>
                    <w:pStyle w:val="154"/>
                    <w:rPr>
                      <w:sz w:val="21"/>
                      <w:szCs w:val="21"/>
                    </w:rPr>
                  </w:pPr>
                </w:p>
              </w:tc>
              <w:tc>
                <w:tcPr>
                  <w:tcW w:w="566" w:type="pct"/>
                  <w:vMerge w:val="restart"/>
                  <w:vAlign w:val="center"/>
                </w:tcPr>
                <w:p w14:paraId="547E4FAB">
                  <w:pPr>
                    <w:pStyle w:val="154"/>
                    <w:rPr>
                      <w:sz w:val="21"/>
                      <w:szCs w:val="21"/>
                    </w:rPr>
                  </w:pPr>
                  <w:r>
                    <w:rPr>
                      <w:rFonts w:hint="eastAsia"/>
                      <w:sz w:val="21"/>
                      <w:szCs w:val="21"/>
                    </w:rPr>
                    <w:t>搅拌</w:t>
                  </w:r>
                  <w:r>
                    <w:rPr>
                      <w:sz w:val="21"/>
                      <w:szCs w:val="21"/>
                    </w:rPr>
                    <w:t>机</w:t>
                  </w:r>
                  <w:r>
                    <w:rPr>
                      <w:rFonts w:hint="eastAsia"/>
                      <w:sz w:val="21"/>
                      <w:szCs w:val="21"/>
                    </w:rPr>
                    <w:t>3</w:t>
                  </w:r>
                  <w:r>
                    <w:rPr>
                      <w:sz w:val="21"/>
                      <w:szCs w:val="21"/>
                    </w:rPr>
                    <w:t>#</w:t>
                  </w:r>
                </w:p>
              </w:tc>
              <w:tc>
                <w:tcPr>
                  <w:tcW w:w="208" w:type="pct"/>
                  <w:vMerge w:val="restart"/>
                  <w:vAlign w:val="center"/>
                </w:tcPr>
                <w:p w14:paraId="135D3A2A">
                  <w:pPr>
                    <w:pStyle w:val="154"/>
                    <w:rPr>
                      <w:sz w:val="21"/>
                      <w:szCs w:val="21"/>
                    </w:rPr>
                  </w:pPr>
                  <w:r>
                    <w:rPr>
                      <w:sz w:val="21"/>
                      <w:szCs w:val="21"/>
                    </w:rPr>
                    <w:t>/</w:t>
                  </w:r>
                </w:p>
              </w:tc>
              <w:tc>
                <w:tcPr>
                  <w:tcW w:w="572" w:type="pct"/>
                  <w:vMerge w:val="restart"/>
                  <w:vAlign w:val="center"/>
                </w:tcPr>
                <w:p w14:paraId="1F2F9D36">
                  <w:pPr>
                    <w:pStyle w:val="154"/>
                    <w:rPr>
                      <w:sz w:val="21"/>
                      <w:szCs w:val="21"/>
                    </w:rPr>
                  </w:pPr>
                  <w:r>
                    <w:rPr>
                      <w:sz w:val="21"/>
                      <w:szCs w:val="21"/>
                    </w:rPr>
                    <w:t>/</w:t>
                  </w:r>
                </w:p>
              </w:tc>
              <w:tc>
                <w:tcPr>
                  <w:tcW w:w="364" w:type="pct"/>
                  <w:vMerge w:val="restart"/>
                  <w:vAlign w:val="center"/>
                </w:tcPr>
                <w:p w14:paraId="532FD364">
                  <w:pPr>
                    <w:pStyle w:val="154"/>
                    <w:rPr>
                      <w:sz w:val="21"/>
                      <w:szCs w:val="21"/>
                    </w:rPr>
                  </w:pPr>
                  <w:r>
                    <w:rPr>
                      <w:rFonts w:hint="eastAsia"/>
                      <w:sz w:val="21"/>
                      <w:szCs w:val="21"/>
                    </w:rPr>
                    <w:t>75</w:t>
                  </w:r>
                </w:p>
              </w:tc>
              <w:tc>
                <w:tcPr>
                  <w:tcW w:w="415" w:type="pct"/>
                  <w:vMerge w:val="continue"/>
                  <w:vAlign w:val="center"/>
                </w:tcPr>
                <w:p w14:paraId="324803CA">
                  <w:pPr>
                    <w:pStyle w:val="154"/>
                    <w:rPr>
                      <w:sz w:val="21"/>
                      <w:szCs w:val="21"/>
                    </w:rPr>
                  </w:pPr>
                </w:p>
              </w:tc>
              <w:tc>
                <w:tcPr>
                  <w:tcW w:w="208" w:type="pct"/>
                  <w:vMerge w:val="restart"/>
                  <w:vAlign w:val="center"/>
                </w:tcPr>
                <w:p w14:paraId="22709B8D">
                  <w:pPr>
                    <w:pStyle w:val="154"/>
                    <w:rPr>
                      <w:sz w:val="21"/>
                      <w:szCs w:val="21"/>
                    </w:rPr>
                  </w:pPr>
                  <w:r>
                    <w:rPr>
                      <w:rFonts w:hint="eastAsia"/>
                      <w:sz w:val="21"/>
                      <w:szCs w:val="21"/>
                    </w:rPr>
                    <w:t>4</w:t>
                  </w:r>
                </w:p>
              </w:tc>
              <w:tc>
                <w:tcPr>
                  <w:tcW w:w="208" w:type="pct"/>
                  <w:vMerge w:val="restart"/>
                  <w:vAlign w:val="center"/>
                </w:tcPr>
                <w:p w14:paraId="50D9B19F">
                  <w:pPr>
                    <w:pStyle w:val="154"/>
                    <w:rPr>
                      <w:sz w:val="21"/>
                      <w:szCs w:val="21"/>
                    </w:rPr>
                  </w:pPr>
                  <w:r>
                    <w:rPr>
                      <w:rFonts w:hint="eastAsia"/>
                      <w:sz w:val="21"/>
                      <w:szCs w:val="21"/>
                    </w:rPr>
                    <w:t>8</w:t>
                  </w:r>
                </w:p>
              </w:tc>
              <w:tc>
                <w:tcPr>
                  <w:tcW w:w="260" w:type="pct"/>
                  <w:vMerge w:val="restart"/>
                  <w:vAlign w:val="center"/>
                </w:tcPr>
                <w:p w14:paraId="02AFAA15">
                  <w:pPr>
                    <w:pStyle w:val="154"/>
                    <w:rPr>
                      <w:sz w:val="21"/>
                      <w:szCs w:val="21"/>
                    </w:rPr>
                  </w:pPr>
                  <w:r>
                    <w:rPr>
                      <w:sz w:val="21"/>
                      <w:szCs w:val="21"/>
                    </w:rPr>
                    <w:t>1</w:t>
                  </w:r>
                </w:p>
              </w:tc>
              <w:tc>
                <w:tcPr>
                  <w:tcW w:w="224" w:type="pct"/>
                  <w:vAlign w:val="center"/>
                </w:tcPr>
                <w:p w14:paraId="039BD25D">
                  <w:pPr>
                    <w:pStyle w:val="154"/>
                    <w:rPr>
                      <w:sz w:val="21"/>
                      <w:szCs w:val="21"/>
                    </w:rPr>
                  </w:pPr>
                  <w:r>
                    <w:rPr>
                      <w:sz w:val="21"/>
                      <w:szCs w:val="21"/>
                    </w:rPr>
                    <w:t>E</w:t>
                  </w:r>
                </w:p>
              </w:tc>
              <w:tc>
                <w:tcPr>
                  <w:tcW w:w="225" w:type="pct"/>
                  <w:vAlign w:val="center"/>
                </w:tcPr>
                <w:p w14:paraId="7A629D31">
                  <w:pPr>
                    <w:pStyle w:val="154"/>
                    <w:rPr>
                      <w:sz w:val="21"/>
                      <w:szCs w:val="21"/>
                    </w:rPr>
                  </w:pPr>
                  <w:r>
                    <w:rPr>
                      <w:rFonts w:hint="eastAsia"/>
                      <w:sz w:val="21"/>
                      <w:szCs w:val="21"/>
                    </w:rPr>
                    <w:t>32</w:t>
                  </w:r>
                </w:p>
              </w:tc>
              <w:tc>
                <w:tcPr>
                  <w:tcW w:w="309" w:type="pct"/>
                  <w:vAlign w:val="bottom"/>
                </w:tcPr>
                <w:p w14:paraId="5B59C146">
                  <w:pPr>
                    <w:pStyle w:val="154"/>
                    <w:rPr>
                      <w:sz w:val="21"/>
                      <w:szCs w:val="21"/>
                    </w:rPr>
                  </w:pPr>
                  <w:r>
                    <w:rPr>
                      <w:rFonts w:hint="eastAsia"/>
                      <w:sz w:val="21"/>
                      <w:szCs w:val="21"/>
                    </w:rPr>
                    <w:t>44.90</w:t>
                  </w:r>
                </w:p>
              </w:tc>
              <w:tc>
                <w:tcPr>
                  <w:tcW w:w="258" w:type="pct"/>
                  <w:vMerge w:val="restart"/>
                  <w:vAlign w:val="center"/>
                </w:tcPr>
                <w:p w14:paraId="6E1D5D2A">
                  <w:pPr>
                    <w:pStyle w:val="154"/>
                    <w:rPr>
                      <w:sz w:val="21"/>
                      <w:szCs w:val="21"/>
                    </w:rPr>
                  </w:pPr>
                  <w:r>
                    <w:rPr>
                      <w:rFonts w:hint="eastAsia"/>
                      <w:sz w:val="21"/>
                      <w:szCs w:val="21"/>
                    </w:rPr>
                    <w:t>昼间</w:t>
                  </w:r>
                </w:p>
              </w:tc>
              <w:tc>
                <w:tcPr>
                  <w:tcW w:w="258" w:type="pct"/>
                  <w:vAlign w:val="center"/>
                </w:tcPr>
                <w:p w14:paraId="1C27BAF4">
                  <w:pPr>
                    <w:pStyle w:val="154"/>
                    <w:rPr>
                      <w:sz w:val="21"/>
                      <w:szCs w:val="21"/>
                    </w:rPr>
                  </w:pPr>
                  <w:r>
                    <w:rPr>
                      <w:sz w:val="21"/>
                      <w:szCs w:val="21"/>
                    </w:rPr>
                    <w:t>20</w:t>
                  </w:r>
                </w:p>
              </w:tc>
              <w:tc>
                <w:tcPr>
                  <w:tcW w:w="257" w:type="pct"/>
                  <w:vAlign w:val="bottom"/>
                </w:tcPr>
                <w:p w14:paraId="47A89405">
                  <w:pPr>
                    <w:pStyle w:val="154"/>
                    <w:rPr>
                      <w:sz w:val="21"/>
                      <w:szCs w:val="21"/>
                    </w:rPr>
                  </w:pPr>
                  <w:r>
                    <w:rPr>
                      <w:rFonts w:hint="eastAsia"/>
                      <w:sz w:val="21"/>
                      <w:szCs w:val="21"/>
                    </w:rPr>
                    <w:t>24.90</w:t>
                  </w:r>
                </w:p>
              </w:tc>
              <w:tc>
                <w:tcPr>
                  <w:tcW w:w="251" w:type="pct"/>
                  <w:vAlign w:val="center"/>
                </w:tcPr>
                <w:p w14:paraId="3DCEBA86">
                  <w:pPr>
                    <w:pStyle w:val="154"/>
                    <w:rPr>
                      <w:sz w:val="21"/>
                      <w:szCs w:val="21"/>
                    </w:rPr>
                  </w:pPr>
                  <w:r>
                    <w:rPr>
                      <w:sz w:val="21"/>
                      <w:szCs w:val="21"/>
                    </w:rPr>
                    <w:t>1</w:t>
                  </w:r>
                </w:p>
              </w:tc>
            </w:tr>
            <w:tr w14:paraId="033956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2C3C566F">
                  <w:pPr>
                    <w:pStyle w:val="154"/>
                    <w:rPr>
                      <w:sz w:val="21"/>
                      <w:szCs w:val="21"/>
                    </w:rPr>
                  </w:pPr>
                </w:p>
              </w:tc>
              <w:tc>
                <w:tcPr>
                  <w:tcW w:w="257" w:type="pct"/>
                  <w:vMerge w:val="continue"/>
                  <w:vAlign w:val="center"/>
                </w:tcPr>
                <w:p w14:paraId="61FFE9F0">
                  <w:pPr>
                    <w:pStyle w:val="154"/>
                    <w:rPr>
                      <w:sz w:val="21"/>
                      <w:szCs w:val="21"/>
                    </w:rPr>
                  </w:pPr>
                </w:p>
              </w:tc>
              <w:tc>
                <w:tcPr>
                  <w:tcW w:w="566" w:type="pct"/>
                  <w:vMerge w:val="continue"/>
                  <w:vAlign w:val="center"/>
                </w:tcPr>
                <w:p w14:paraId="768BD1DF">
                  <w:pPr>
                    <w:pStyle w:val="154"/>
                    <w:rPr>
                      <w:sz w:val="21"/>
                      <w:szCs w:val="21"/>
                    </w:rPr>
                  </w:pPr>
                </w:p>
              </w:tc>
              <w:tc>
                <w:tcPr>
                  <w:tcW w:w="208" w:type="pct"/>
                  <w:vMerge w:val="continue"/>
                  <w:vAlign w:val="center"/>
                </w:tcPr>
                <w:p w14:paraId="680F03FE">
                  <w:pPr>
                    <w:pStyle w:val="154"/>
                    <w:rPr>
                      <w:sz w:val="21"/>
                      <w:szCs w:val="21"/>
                    </w:rPr>
                  </w:pPr>
                </w:p>
              </w:tc>
              <w:tc>
                <w:tcPr>
                  <w:tcW w:w="572" w:type="pct"/>
                  <w:vMerge w:val="continue"/>
                  <w:vAlign w:val="center"/>
                </w:tcPr>
                <w:p w14:paraId="7F1B4F3F">
                  <w:pPr>
                    <w:pStyle w:val="154"/>
                    <w:rPr>
                      <w:sz w:val="21"/>
                      <w:szCs w:val="21"/>
                    </w:rPr>
                  </w:pPr>
                </w:p>
              </w:tc>
              <w:tc>
                <w:tcPr>
                  <w:tcW w:w="364" w:type="pct"/>
                  <w:vMerge w:val="continue"/>
                  <w:vAlign w:val="center"/>
                </w:tcPr>
                <w:p w14:paraId="594274A1">
                  <w:pPr>
                    <w:pStyle w:val="154"/>
                    <w:rPr>
                      <w:sz w:val="21"/>
                      <w:szCs w:val="21"/>
                    </w:rPr>
                  </w:pPr>
                </w:p>
              </w:tc>
              <w:tc>
                <w:tcPr>
                  <w:tcW w:w="415" w:type="pct"/>
                  <w:vMerge w:val="continue"/>
                  <w:vAlign w:val="center"/>
                </w:tcPr>
                <w:p w14:paraId="20A36D86">
                  <w:pPr>
                    <w:pStyle w:val="154"/>
                    <w:rPr>
                      <w:sz w:val="21"/>
                      <w:szCs w:val="21"/>
                    </w:rPr>
                  </w:pPr>
                </w:p>
              </w:tc>
              <w:tc>
                <w:tcPr>
                  <w:tcW w:w="208" w:type="pct"/>
                  <w:vMerge w:val="continue"/>
                  <w:vAlign w:val="center"/>
                </w:tcPr>
                <w:p w14:paraId="4A83A14F">
                  <w:pPr>
                    <w:pStyle w:val="154"/>
                    <w:rPr>
                      <w:sz w:val="21"/>
                      <w:szCs w:val="21"/>
                    </w:rPr>
                  </w:pPr>
                </w:p>
              </w:tc>
              <w:tc>
                <w:tcPr>
                  <w:tcW w:w="208" w:type="pct"/>
                  <w:vMerge w:val="continue"/>
                  <w:vAlign w:val="center"/>
                </w:tcPr>
                <w:p w14:paraId="698FA5D7">
                  <w:pPr>
                    <w:pStyle w:val="154"/>
                    <w:rPr>
                      <w:sz w:val="21"/>
                      <w:szCs w:val="21"/>
                    </w:rPr>
                  </w:pPr>
                </w:p>
              </w:tc>
              <w:tc>
                <w:tcPr>
                  <w:tcW w:w="260" w:type="pct"/>
                  <w:vMerge w:val="continue"/>
                  <w:vAlign w:val="center"/>
                </w:tcPr>
                <w:p w14:paraId="220D6565">
                  <w:pPr>
                    <w:pStyle w:val="154"/>
                    <w:rPr>
                      <w:sz w:val="21"/>
                      <w:szCs w:val="21"/>
                    </w:rPr>
                  </w:pPr>
                </w:p>
              </w:tc>
              <w:tc>
                <w:tcPr>
                  <w:tcW w:w="224" w:type="pct"/>
                  <w:vAlign w:val="center"/>
                </w:tcPr>
                <w:p w14:paraId="615988E2">
                  <w:pPr>
                    <w:pStyle w:val="154"/>
                    <w:rPr>
                      <w:sz w:val="21"/>
                      <w:szCs w:val="21"/>
                    </w:rPr>
                  </w:pPr>
                  <w:r>
                    <w:rPr>
                      <w:rFonts w:hint="eastAsia"/>
                      <w:sz w:val="21"/>
                      <w:szCs w:val="21"/>
                    </w:rPr>
                    <w:t>W</w:t>
                  </w:r>
                </w:p>
              </w:tc>
              <w:tc>
                <w:tcPr>
                  <w:tcW w:w="225" w:type="pct"/>
                  <w:vAlign w:val="center"/>
                </w:tcPr>
                <w:p w14:paraId="567C793D">
                  <w:pPr>
                    <w:pStyle w:val="154"/>
                    <w:rPr>
                      <w:sz w:val="21"/>
                      <w:szCs w:val="21"/>
                    </w:rPr>
                  </w:pPr>
                  <w:r>
                    <w:rPr>
                      <w:rFonts w:hint="eastAsia"/>
                      <w:sz w:val="21"/>
                      <w:szCs w:val="21"/>
                    </w:rPr>
                    <w:t>4</w:t>
                  </w:r>
                </w:p>
              </w:tc>
              <w:tc>
                <w:tcPr>
                  <w:tcW w:w="309" w:type="pct"/>
                  <w:vAlign w:val="bottom"/>
                </w:tcPr>
                <w:p w14:paraId="469D670F">
                  <w:pPr>
                    <w:pStyle w:val="154"/>
                    <w:rPr>
                      <w:sz w:val="21"/>
                      <w:szCs w:val="21"/>
                    </w:rPr>
                  </w:pPr>
                  <w:r>
                    <w:rPr>
                      <w:rFonts w:hint="eastAsia"/>
                      <w:sz w:val="21"/>
                      <w:szCs w:val="21"/>
                    </w:rPr>
                    <w:t>62.96</w:t>
                  </w:r>
                </w:p>
              </w:tc>
              <w:tc>
                <w:tcPr>
                  <w:tcW w:w="258" w:type="pct"/>
                  <w:vMerge w:val="continue"/>
                  <w:vAlign w:val="center"/>
                </w:tcPr>
                <w:p w14:paraId="10A19EAB">
                  <w:pPr>
                    <w:pStyle w:val="154"/>
                    <w:rPr>
                      <w:sz w:val="21"/>
                      <w:szCs w:val="21"/>
                    </w:rPr>
                  </w:pPr>
                </w:p>
              </w:tc>
              <w:tc>
                <w:tcPr>
                  <w:tcW w:w="258" w:type="pct"/>
                  <w:vAlign w:val="center"/>
                </w:tcPr>
                <w:p w14:paraId="49749481">
                  <w:pPr>
                    <w:pStyle w:val="154"/>
                    <w:rPr>
                      <w:sz w:val="21"/>
                      <w:szCs w:val="21"/>
                    </w:rPr>
                  </w:pPr>
                  <w:r>
                    <w:rPr>
                      <w:rFonts w:hint="eastAsia"/>
                      <w:sz w:val="21"/>
                      <w:szCs w:val="21"/>
                    </w:rPr>
                    <w:t>20</w:t>
                  </w:r>
                </w:p>
              </w:tc>
              <w:tc>
                <w:tcPr>
                  <w:tcW w:w="257" w:type="pct"/>
                  <w:vAlign w:val="bottom"/>
                </w:tcPr>
                <w:p w14:paraId="7642D029">
                  <w:pPr>
                    <w:pStyle w:val="154"/>
                    <w:rPr>
                      <w:sz w:val="21"/>
                      <w:szCs w:val="21"/>
                    </w:rPr>
                  </w:pPr>
                  <w:r>
                    <w:rPr>
                      <w:rFonts w:hint="eastAsia"/>
                      <w:sz w:val="21"/>
                      <w:szCs w:val="21"/>
                    </w:rPr>
                    <w:t>42.96</w:t>
                  </w:r>
                </w:p>
              </w:tc>
              <w:tc>
                <w:tcPr>
                  <w:tcW w:w="251" w:type="pct"/>
                  <w:vAlign w:val="center"/>
                </w:tcPr>
                <w:p w14:paraId="4C65D1EE">
                  <w:pPr>
                    <w:pStyle w:val="154"/>
                    <w:rPr>
                      <w:sz w:val="21"/>
                      <w:szCs w:val="21"/>
                    </w:rPr>
                  </w:pPr>
                  <w:r>
                    <w:rPr>
                      <w:rFonts w:hint="eastAsia"/>
                      <w:sz w:val="21"/>
                      <w:szCs w:val="21"/>
                    </w:rPr>
                    <w:t>1</w:t>
                  </w:r>
                </w:p>
              </w:tc>
            </w:tr>
            <w:tr w14:paraId="741E2A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535E603E">
                  <w:pPr>
                    <w:pStyle w:val="154"/>
                    <w:rPr>
                      <w:sz w:val="21"/>
                      <w:szCs w:val="21"/>
                    </w:rPr>
                  </w:pPr>
                </w:p>
              </w:tc>
              <w:tc>
                <w:tcPr>
                  <w:tcW w:w="257" w:type="pct"/>
                  <w:vMerge w:val="continue"/>
                  <w:vAlign w:val="center"/>
                </w:tcPr>
                <w:p w14:paraId="5D4A275D">
                  <w:pPr>
                    <w:pStyle w:val="154"/>
                    <w:rPr>
                      <w:sz w:val="21"/>
                      <w:szCs w:val="21"/>
                    </w:rPr>
                  </w:pPr>
                </w:p>
              </w:tc>
              <w:tc>
                <w:tcPr>
                  <w:tcW w:w="566" w:type="pct"/>
                  <w:vMerge w:val="continue"/>
                  <w:vAlign w:val="center"/>
                </w:tcPr>
                <w:p w14:paraId="17CF8421">
                  <w:pPr>
                    <w:pStyle w:val="154"/>
                    <w:rPr>
                      <w:sz w:val="21"/>
                      <w:szCs w:val="21"/>
                    </w:rPr>
                  </w:pPr>
                </w:p>
              </w:tc>
              <w:tc>
                <w:tcPr>
                  <w:tcW w:w="208" w:type="pct"/>
                  <w:vMerge w:val="continue"/>
                  <w:vAlign w:val="center"/>
                </w:tcPr>
                <w:p w14:paraId="5A0692A8">
                  <w:pPr>
                    <w:pStyle w:val="154"/>
                    <w:rPr>
                      <w:sz w:val="21"/>
                      <w:szCs w:val="21"/>
                    </w:rPr>
                  </w:pPr>
                </w:p>
              </w:tc>
              <w:tc>
                <w:tcPr>
                  <w:tcW w:w="572" w:type="pct"/>
                  <w:vMerge w:val="continue"/>
                  <w:vAlign w:val="center"/>
                </w:tcPr>
                <w:p w14:paraId="2F8E060D">
                  <w:pPr>
                    <w:pStyle w:val="154"/>
                    <w:rPr>
                      <w:sz w:val="21"/>
                      <w:szCs w:val="21"/>
                    </w:rPr>
                  </w:pPr>
                </w:p>
              </w:tc>
              <w:tc>
                <w:tcPr>
                  <w:tcW w:w="364" w:type="pct"/>
                  <w:vMerge w:val="continue"/>
                  <w:vAlign w:val="center"/>
                </w:tcPr>
                <w:p w14:paraId="019AEA72">
                  <w:pPr>
                    <w:pStyle w:val="154"/>
                    <w:rPr>
                      <w:sz w:val="21"/>
                      <w:szCs w:val="21"/>
                    </w:rPr>
                  </w:pPr>
                </w:p>
              </w:tc>
              <w:tc>
                <w:tcPr>
                  <w:tcW w:w="415" w:type="pct"/>
                  <w:vMerge w:val="continue"/>
                  <w:vAlign w:val="center"/>
                </w:tcPr>
                <w:p w14:paraId="78D9F1E5">
                  <w:pPr>
                    <w:pStyle w:val="154"/>
                    <w:rPr>
                      <w:sz w:val="21"/>
                      <w:szCs w:val="21"/>
                    </w:rPr>
                  </w:pPr>
                </w:p>
              </w:tc>
              <w:tc>
                <w:tcPr>
                  <w:tcW w:w="208" w:type="pct"/>
                  <w:vMerge w:val="continue"/>
                  <w:vAlign w:val="center"/>
                </w:tcPr>
                <w:p w14:paraId="5FC16034">
                  <w:pPr>
                    <w:pStyle w:val="154"/>
                    <w:rPr>
                      <w:sz w:val="21"/>
                      <w:szCs w:val="21"/>
                    </w:rPr>
                  </w:pPr>
                </w:p>
              </w:tc>
              <w:tc>
                <w:tcPr>
                  <w:tcW w:w="208" w:type="pct"/>
                  <w:vMerge w:val="continue"/>
                  <w:vAlign w:val="center"/>
                </w:tcPr>
                <w:p w14:paraId="75696A53">
                  <w:pPr>
                    <w:pStyle w:val="154"/>
                    <w:rPr>
                      <w:sz w:val="21"/>
                      <w:szCs w:val="21"/>
                    </w:rPr>
                  </w:pPr>
                </w:p>
              </w:tc>
              <w:tc>
                <w:tcPr>
                  <w:tcW w:w="260" w:type="pct"/>
                  <w:vMerge w:val="continue"/>
                  <w:vAlign w:val="center"/>
                </w:tcPr>
                <w:p w14:paraId="182FC2C8">
                  <w:pPr>
                    <w:pStyle w:val="154"/>
                    <w:rPr>
                      <w:sz w:val="21"/>
                      <w:szCs w:val="21"/>
                    </w:rPr>
                  </w:pPr>
                </w:p>
              </w:tc>
              <w:tc>
                <w:tcPr>
                  <w:tcW w:w="224" w:type="pct"/>
                  <w:vAlign w:val="center"/>
                </w:tcPr>
                <w:p w14:paraId="671E96F5">
                  <w:pPr>
                    <w:pStyle w:val="154"/>
                    <w:rPr>
                      <w:sz w:val="21"/>
                      <w:szCs w:val="21"/>
                    </w:rPr>
                  </w:pPr>
                  <w:r>
                    <w:rPr>
                      <w:sz w:val="21"/>
                      <w:szCs w:val="21"/>
                    </w:rPr>
                    <w:t>S</w:t>
                  </w:r>
                </w:p>
              </w:tc>
              <w:tc>
                <w:tcPr>
                  <w:tcW w:w="225" w:type="pct"/>
                  <w:vAlign w:val="center"/>
                </w:tcPr>
                <w:p w14:paraId="5BB73705">
                  <w:pPr>
                    <w:pStyle w:val="154"/>
                    <w:rPr>
                      <w:sz w:val="21"/>
                      <w:szCs w:val="21"/>
                    </w:rPr>
                  </w:pPr>
                  <w:r>
                    <w:rPr>
                      <w:rFonts w:hint="eastAsia"/>
                      <w:sz w:val="21"/>
                      <w:szCs w:val="21"/>
                    </w:rPr>
                    <w:t>8</w:t>
                  </w:r>
                </w:p>
              </w:tc>
              <w:tc>
                <w:tcPr>
                  <w:tcW w:w="309" w:type="pct"/>
                  <w:vAlign w:val="bottom"/>
                </w:tcPr>
                <w:p w14:paraId="6A2C2E73">
                  <w:pPr>
                    <w:pStyle w:val="154"/>
                    <w:rPr>
                      <w:sz w:val="21"/>
                      <w:szCs w:val="21"/>
                    </w:rPr>
                  </w:pPr>
                  <w:r>
                    <w:rPr>
                      <w:rFonts w:hint="eastAsia"/>
                      <w:sz w:val="21"/>
                      <w:szCs w:val="21"/>
                    </w:rPr>
                    <w:t>56.94</w:t>
                  </w:r>
                </w:p>
              </w:tc>
              <w:tc>
                <w:tcPr>
                  <w:tcW w:w="258" w:type="pct"/>
                  <w:vMerge w:val="continue"/>
                  <w:vAlign w:val="center"/>
                </w:tcPr>
                <w:p w14:paraId="2301FE27">
                  <w:pPr>
                    <w:pStyle w:val="154"/>
                    <w:rPr>
                      <w:sz w:val="21"/>
                      <w:szCs w:val="21"/>
                    </w:rPr>
                  </w:pPr>
                </w:p>
              </w:tc>
              <w:tc>
                <w:tcPr>
                  <w:tcW w:w="258" w:type="pct"/>
                  <w:vAlign w:val="center"/>
                </w:tcPr>
                <w:p w14:paraId="0D0C3BAF">
                  <w:pPr>
                    <w:pStyle w:val="154"/>
                    <w:rPr>
                      <w:sz w:val="21"/>
                      <w:szCs w:val="21"/>
                    </w:rPr>
                  </w:pPr>
                  <w:r>
                    <w:rPr>
                      <w:rFonts w:hint="eastAsia"/>
                      <w:sz w:val="21"/>
                      <w:szCs w:val="21"/>
                    </w:rPr>
                    <w:t>20</w:t>
                  </w:r>
                </w:p>
              </w:tc>
              <w:tc>
                <w:tcPr>
                  <w:tcW w:w="257" w:type="pct"/>
                  <w:vAlign w:val="bottom"/>
                </w:tcPr>
                <w:p w14:paraId="6781EA5D">
                  <w:pPr>
                    <w:pStyle w:val="154"/>
                    <w:rPr>
                      <w:sz w:val="21"/>
                      <w:szCs w:val="21"/>
                    </w:rPr>
                  </w:pPr>
                  <w:r>
                    <w:rPr>
                      <w:rFonts w:hint="eastAsia"/>
                      <w:sz w:val="21"/>
                      <w:szCs w:val="21"/>
                    </w:rPr>
                    <w:t>36.94</w:t>
                  </w:r>
                </w:p>
              </w:tc>
              <w:tc>
                <w:tcPr>
                  <w:tcW w:w="251" w:type="pct"/>
                  <w:vAlign w:val="center"/>
                </w:tcPr>
                <w:p w14:paraId="30362652">
                  <w:pPr>
                    <w:pStyle w:val="154"/>
                    <w:rPr>
                      <w:sz w:val="21"/>
                      <w:szCs w:val="21"/>
                    </w:rPr>
                  </w:pPr>
                  <w:r>
                    <w:rPr>
                      <w:rFonts w:hint="eastAsia"/>
                      <w:sz w:val="21"/>
                      <w:szCs w:val="21"/>
                    </w:rPr>
                    <w:t>1</w:t>
                  </w:r>
                </w:p>
              </w:tc>
            </w:tr>
            <w:tr w14:paraId="5D46F6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160" w:type="pct"/>
                  <w:vMerge w:val="continue"/>
                  <w:vAlign w:val="center"/>
                </w:tcPr>
                <w:p w14:paraId="66529014">
                  <w:pPr>
                    <w:pStyle w:val="154"/>
                    <w:rPr>
                      <w:sz w:val="21"/>
                      <w:szCs w:val="21"/>
                    </w:rPr>
                  </w:pPr>
                </w:p>
              </w:tc>
              <w:tc>
                <w:tcPr>
                  <w:tcW w:w="257" w:type="pct"/>
                  <w:vMerge w:val="continue"/>
                  <w:vAlign w:val="center"/>
                </w:tcPr>
                <w:p w14:paraId="0E812124">
                  <w:pPr>
                    <w:pStyle w:val="154"/>
                    <w:rPr>
                      <w:sz w:val="21"/>
                      <w:szCs w:val="21"/>
                    </w:rPr>
                  </w:pPr>
                </w:p>
              </w:tc>
              <w:tc>
                <w:tcPr>
                  <w:tcW w:w="566" w:type="pct"/>
                  <w:vMerge w:val="continue"/>
                  <w:vAlign w:val="center"/>
                </w:tcPr>
                <w:p w14:paraId="378D12CF">
                  <w:pPr>
                    <w:pStyle w:val="154"/>
                    <w:rPr>
                      <w:sz w:val="21"/>
                      <w:szCs w:val="21"/>
                    </w:rPr>
                  </w:pPr>
                </w:p>
              </w:tc>
              <w:tc>
                <w:tcPr>
                  <w:tcW w:w="208" w:type="pct"/>
                  <w:vMerge w:val="continue"/>
                  <w:vAlign w:val="center"/>
                </w:tcPr>
                <w:p w14:paraId="452277C4">
                  <w:pPr>
                    <w:pStyle w:val="154"/>
                    <w:rPr>
                      <w:sz w:val="21"/>
                      <w:szCs w:val="21"/>
                    </w:rPr>
                  </w:pPr>
                </w:p>
              </w:tc>
              <w:tc>
                <w:tcPr>
                  <w:tcW w:w="572" w:type="pct"/>
                  <w:vMerge w:val="continue"/>
                  <w:vAlign w:val="center"/>
                </w:tcPr>
                <w:p w14:paraId="10DEFF50">
                  <w:pPr>
                    <w:pStyle w:val="154"/>
                    <w:rPr>
                      <w:sz w:val="21"/>
                      <w:szCs w:val="21"/>
                    </w:rPr>
                  </w:pPr>
                </w:p>
              </w:tc>
              <w:tc>
                <w:tcPr>
                  <w:tcW w:w="364" w:type="pct"/>
                  <w:vMerge w:val="continue"/>
                  <w:vAlign w:val="center"/>
                </w:tcPr>
                <w:p w14:paraId="7AF6D1BC">
                  <w:pPr>
                    <w:pStyle w:val="154"/>
                    <w:rPr>
                      <w:sz w:val="21"/>
                      <w:szCs w:val="21"/>
                    </w:rPr>
                  </w:pPr>
                </w:p>
              </w:tc>
              <w:tc>
                <w:tcPr>
                  <w:tcW w:w="415" w:type="pct"/>
                  <w:vMerge w:val="continue"/>
                  <w:vAlign w:val="center"/>
                </w:tcPr>
                <w:p w14:paraId="25E307B8">
                  <w:pPr>
                    <w:pStyle w:val="154"/>
                    <w:rPr>
                      <w:sz w:val="21"/>
                      <w:szCs w:val="21"/>
                    </w:rPr>
                  </w:pPr>
                </w:p>
              </w:tc>
              <w:tc>
                <w:tcPr>
                  <w:tcW w:w="208" w:type="pct"/>
                  <w:vMerge w:val="continue"/>
                  <w:vAlign w:val="center"/>
                </w:tcPr>
                <w:p w14:paraId="62E13820">
                  <w:pPr>
                    <w:pStyle w:val="154"/>
                    <w:rPr>
                      <w:sz w:val="21"/>
                      <w:szCs w:val="21"/>
                    </w:rPr>
                  </w:pPr>
                </w:p>
              </w:tc>
              <w:tc>
                <w:tcPr>
                  <w:tcW w:w="208" w:type="pct"/>
                  <w:vMerge w:val="continue"/>
                  <w:vAlign w:val="center"/>
                </w:tcPr>
                <w:p w14:paraId="27989475">
                  <w:pPr>
                    <w:pStyle w:val="154"/>
                    <w:rPr>
                      <w:sz w:val="21"/>
                      <w:szCs w:val="21"/>
                    </w:rPr>
                  </w:pPr>
                </w:p>
              </w:tc>
              <w:tc>
                <w:tcPr>
                  <w:tcW w:w="260" w:type="pct"/>
                  <w:vMerge w:val="continue"/>
                  <w:vAlign w:val="center"/>
                </w:tcPr>
                <w:p w14:paraId="1D8F58AA">
                  <w:pPr>
                    <w:pStyle w:val="154"/>
                    <w:rPr>
                      <w:sz w:val="21"/>
                      <w:szCs w:val="21"/>
                    </w:rPr>
                  </w:pPr>
                </w:p>
              </w:tc>
              <w:tc>
                <w:tcPr>
                  <w:tcW w:w="224" w:type="pct"/>
                  <w:vAlign w:val="center"/>
                </w:tcPr>
                <w:p w14:paraId="4378D795">
                  <w:pPr>
                    <w:pStyle w:val="154"/>
                    <w:rPr>
                      <w:sz w:val="21"/>
                      <w:szCs w:val="21"/>
                    </w:rPr>
                  </w:pPr>
                  <w:r>
                    <w:rPr>
                      <w:sz w:val="21"/>
                      <w:szCs w:val="21"/>
                    </w:rPr>
                    <w:t>N</w:t>
                  </w:r>
                </w:p>
              </w:tc>
              <w:tc>
                <w:tcPr>
                  <w:tcW w:w="225" w:type="pct"/>
                  <w:vAlign w:val="center"/>
                </w:tcPr>
                <w:p w14:paraId="7EC0A7ED">
                  <w:pPr>
                    <w:pStyle w:val="154"/>
                    <w:rPr>
                      <w:sz w:val="21"/>
                      <w:szCs w:val="21"/>
                    </w:rPr>
                  </w:pPr>
                  <w:r>
                    <w:rPr>
                      <w:rFonts w:hint="eastAsia"/>
                      <w:sz w:val="21"/>
                      <w:szCs w:val="21"/>
                    </w:rPr>
                    <w:t>23</w:t>
                  </w:r>
                </w:p>
              </w:tc>
              <w:tc>
                <w:tcPr>
                  <w:tcW w:w="309" w:type="pct"/>
                  <w:vAlign w:val="bottom"/>
                </w:tcPr>
                <w:p w14:paraId="114B2E4D">
                  <w:pPr>
                    <w:pStyle w:val="154"/>
                    <w:rPr>
                      <w:sz w:val="21"/>
                      <w:szCs w:val="21"/>
                    </w:rPr>
                  </w:pPr>
                  <w:r>
                    <w:rPr>
                      <w:rFonts w:hint="eastAsia"/>
                      <w:sz w:val="21"/>
                      <w:szCs w:val="21"/>
                    </w:rPr>
                    <w:t>47.77</w:t>
                  </w:r>
                </w:p>
              </w:tc>
              <w:tc>
                <w:tcPr>
                  <w:tcW w:w="258" w:type="pct"/>
                  <w:vMerge w:val="continue"/>
                  <w:vAlign w:val="center"/>
                </w:tcPr>
                <w:p w14:paraId="00B77C7D">
                  <w:pPr>
                    <w:pStyle w:val="154"/>
                    <w:rPr>
                      <w:sz w:val="21"/>
                      <w:szCs w:val="21"/>
                    </w:rPr>
                  </w:pPr>
                </w:p>
              </w:tc>
              <w:tc>
                <w:tcPr>
                  <w:tcW w:w="258" w:type="pct"/>
                  <w:vAlign w:val="center"/>
                </w:tcPr>
                <w:p w14:paraId="6CBE104B">
                  <w:pPr>
                    <w:pStyle w:val="154"/>
                    <w:rPr>
                      <w:sz w:val="21"/>
                      <w:szCs w:val="21"/>
                    </w:rPr>
                  </w:pPr>
                  <w:r>
                    <w:rPr>
                      <w:rFonts w:hint="eastAsia"/>
                      <w:sz w:val="21"/>
                      <w:szCs w:val="21"/>
                    </w:rPr>
                    <w:t>20</w:t>
                  </w:r>
                </w:p>
              </w:tc>
              <w:tc>
                <w:tcPr>
                  <w:tcW w:w="257" w:type="pct"/>
                  <w:vAlign w:val="bottom"/>
                </w:tcPr>
                <w:p w14:paraId="4A360C60">
                  <w:pPr>
                    <w:pStyle w:val="154"/>
                    <w:rPr>
                      <w:sz w:val="21"/>
                      <w:szCs w:val="21"/>
                    </w:rPr>
                  </w:pPr>
                  <w:r>
                    <w:rPr>
                      <w:rFonts w:hint="eastAsia"/>
                      <w:sz w:val="21"/>
                      <w:szCs w:val="21"/>
                    </w:rPr>
                    <w:t>27.77</w:t>
                  </w:r>
                </w:p>
              </w:tc>
              <w:tc>
                <w:tcPr>
                  <w:tcW w:w="251" w:type="pct"/>
                  <w:vAlign w:val="center"/>
                </w:tcPr>
                <w:p w14:paraId="49AAC438">
                  <w:pPr>
                    <w:pStyle w:val="154"/>
                    <w:rPr>
                      <w:sz w:val="21"/>
                      <w:szCs w:val="21"/>
                    </w:rPr>
                  </w:pPr>
                  <w:r>
                    <w:rPr>
                      <w:rFonts w:hint="eastAsia"/>
                      <w:sz w:val="21"/>
                      <w:szCs w:val="21"/>
                    </w:rPr>
                    <w:t>1</w:t>
                  </w:r>
                </w:p>
              </w:tc>
            </w:tr>
            <w:tr w14:paraId="5DF7CC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 w:hRule="atLeast"/>
                <w:jc w:val="center"/>
              </w:trPr>
              <w:tc>
                <w:tcPr>
                  <w:tcW w:w="160" w:type="pct"/>
                  <w:vMerge w:val="restart"/>
                  <w:vAlign w:val="center"/>
                </w:tcPr>
                <w:p w14:paraId="71D78140">
                  <w:pPr>
                    <w:pStyle w:val="154"/>
                    <w:rPr>
                      <w:sz w:val="21"/>
                      <w:szCs w:val="21"/>
                    </w:rPr>
                  </w:pPr>
                  <w:r>
                    <w:rPr>
                      <w:rFonts w:hint="eastAsia"/>
                      <w:sz w:val="21"/>
                      <w:szCs w:val="21"/>
                    </w:rPr>
                    <w:t>12</w:t>
                  </w:r>
                </w:p>
              </w:tc>
              <w:tc>
                <w:tcPr>
                  <w:tcW w:w="257" w:type="pct"/>
                  <w:vMerge w:val="continue"/>
                </w:tcPr>
                <w:p w14:paraId="6B1C44BB">
                  <w:pPr>
                    <w:pStyle w:val="154"/>
                    <w:rPr>
                      <w:sz w:val="21"/>
                      <w:szCs w:val="21"/>
                    </w:rPr>
                  </w:pPr>
                </w:p>
              </w:tc>
              <w:tc>
                <w:tcPr>
                  <w:tcW w:w="566" w:type="pct"/>
                  <w:vMerge w:val="restart"/>
                  <w:vAlign w:val="center"/>
                </w:tcPr>
                <w:p w14:paraId="1584CBB0">
                  <w:pPr>
                    <w:pStyle w:val="154"/>
                    <w:rPr>
                      <w:sz w:val="21"/>
                      <w:szCs w:val="21"/>
                    </w:rPr>
                  </w:pPr>
                  <w:r>
                    <w:rPr>
                      <w:rFonts w:hint="eastAsia"/>
                      <w:sz w:val="21"/>
                      <w:szCs w:val="21"/>
                    </w:rPr>
                    <w:t>破碎机</w:t>
                  </w:r>
                  <w:r>
                    <w:rPr>
                      <w:sz w:val="21"/>
                      <w:szCs w:val="21"/>
                    </w:rPr>
                    <w:t>1#</w:t>
                  </w:r>
                </w:p>
              </w:tc>
              <w:tc>
                <w:tcPr>
                  <w:tcW w:w="208" w:type="pct"/>
                  <w:vMerge w:val="restart"/>
                  <w:vAlign w:val="center"/>
                </w:tcPr>
                <w:p w14:paraId="45ACF04E">
                  <w:pPr>
                    <w:pStyle w:val="154"/>
                    <w:rPr>
                      <w:sz w:val="21"/>
                      <w:szCs w:val="21"/>
                    </w:rPr>
                  </w:pPr>
                  <w:r>
                    <w:rPr>
                      <w:rFonts w:hint="eastAsia"/>
                      <w:sz w:val="21"/>
                      <w:szCs w:val="21"/>
                    </w:rPr>
                    <w:t>/</w:t>
                  </w:r>
                </w:p>
              </w:tc>
              <w:tc>
                <w:tcPr>
                  <w:tcW w:w="572" w:type="pct"/>
                  <w:vMerge w:val="restart"/>
                  <w:vAlign w:val="center"/>
                </w:tcPr>
                <w:p w14:paraId="289E34CF">
                  <w:pPr>
                    <w:pStyle w:val="154"/>
                    <w:rPr>
                      <w:sz w:val="21"/>
                      <w:szCs w:val="21"/>
                    </w:rPr>
                  </w:pPr>
                  <w:r>
                    <w:rPr>
                      <w:rFonts w:hint="eastAsia"/>
                      <w:sz w:val="21"/>
                      <w:szCs w:val="21"/>
                    </w:rPr>
                    <w:t>/</w:t>
                  </w:r>
                </w:p>
              </w:tc>
              <w:tc>
                <w:tcPr>
                  <w:tcW w:w="364" w:type="pct"/>
                  <w:vMerge w:val="restart"/>
                  <w:vAlign w:val="center"/>
                </w:tcPr>
                <w:p w14:paraId="038E6A96">
                  <w:pPr>
                    <w:pStyle w:val="154"/>
                    <w:rPr>
                      <w:sz w:val="21"/>
                      <w:szCs w:val="21"/>
                    </w:rPr>
                  </w:pPr>
                  <w:r>
                    <w:rPr>
                      <w:rFonts w:hint="eastAsia"/>
                      <w:sz w:val="21"/>
                      <w:szCs w:val="21"/>
                    </w:rPr>
                    <w:t>80</w:t>
                  </w:r>
                </w:p>
              </w:tc>
              <w:tc>
                <w:tcPr>
                  <w:tcW w:w="415" w:type="pct"/>
                  <w:vMerge w:val="continue"/>
                  <w:vAlign w:val="center"/>
                </w:tcPr>
                <w:p w14:paraId="189F9223">
                  <w:pPr>
                    <w:pStyle w:val="154"/>
                    <w:rPr>
                      <w:sz w:val="21"/>
                      <w:szCs w:val="21"/>
                    </w:rPr>
                  </w:pPr>
                </w:p>
              </w:tc>
              <w:tc>
                <w:tcPr>
                  <w:tcW w:w="208" w:type="pct"/>
                  <w:vMerge w:val="restart"/>
                  <w:vAlign w:val="center"/>
                </w:tcPr>
                <w:p w14:paraId="6A27480E">
                  <w:pPr>
                    <w:pStyle w:val="154"/>
                    <w:rPr>
                      <w:sz w:val="21"/>
                      <w:szCs w:val="21"/>
                    </w:rPr>
                  </w:pPr>
                  <w:r>
                    <w:rPr>
                      <w:rFonts w:hint="eastAsia"/>
                      <w:sz w:val="21"/>
                      <w:szCs w:val="21"/>
                    </w:rPr>
                    <w:t>27</w:t>
                  </w:r>
                </w:p>
              </w:tc>
              <w:tc>
                <w:tcPr>
                  <w:tcW w:w="208" w:type="pct"/>
                  <w:vMerge w:val="restart"/>
                  <w:vAlign w:val="center"/>
                </w:tcPr>
                <w:p w14:paraId="749266D1">
                  <w:pPr>
                    <w:pStyle w:val="154"/>
                    <w:rPr>
                      <w:sz w:val="21"/>
                      <w:szCs w:val="21"/>
                    </w:rPr>
                  </w:pPr>
                  <w:r>
                    <w:rPr>
                      <w:rFonts w:hint="eastAsia"/>
                      <w:sz w:val="21"/>
                      <w:szCs w:val="21"/>
                    </w:rPr>
                    <w:t>4</w:t>
                  </w:r>
                </w:p>
              </w:tc>
              <w:tc>
                <w:tcPr>
                  <w:tcW w:w="260" w:type="pct"/>
                  <w:vMerge w:val="restart"/>
                  <w:vAlign w:val="center"/>
                </w:tcPr>
                <w:p w14:paraId="68232281">
                  <w:pPr>
                    <w:pStyle w:val="154"/>
                    <w:rPr>
                      <w:sz w:val="21"/>
                      <w:szCs w:val="21"/>
                    </w:rPr>
                  </w:pPr>
                  <w:r>
                    <w:rPr>
                      <w:rFonts w:hint="eastAsia"/>
                      <w:sz w:val="21"/>
                      <w:szCs w:val="21"/>
                    </w:rPr>
                    <w:t>1</w:t>
                  </w:r>
                </w:p>
              </w:tc>
              <w:tc>
                <w:tcPr>
                  <w:tcW w:w="224" w:type="pct"/>
                  <w:vAlign w:val="center"/>
                </w:tcPr>
                <w:p w14:paraId="6B350F28">
                  <w:pPr>
                    <w:pStyle w:val="154"/>
                    <w:rPr>
                      <w:sz w:val="21"/>
                      <w:szCs w:val="21"/>
                    </w:rPr>
                  </w:pPr>
                  <w:r>
                    <w:rPr>
                      <w:sz w:val="21"/>
                      <w:szCs w:val="21"/>
                    </w:rPr>
                    <w:t>E</w:t>
                  </w:r>
                </w:p>
              </w:tc>
              <w:tc>
                <w:tcPr>
                  <w:tcW w:w="225" w:type="pct"/>
                  <w:vAlign w:val="center"/>
                </w:tcPr>
                <w:p w14:paraId="043CA22E">
                  <w:pPr>
                    <w:pStyle w:val="154"/>
                    <w:rPr>
                      <w:sz w:val="21"/>
                      <w:szCs w:val="21"/>
                    </w:rPr>
                  </w:pPr>
                  <w:r>
                    <w:rPr>
                      <w:rFonts w:hint="eastAsia"/>
                      <w:sz w:val="21"/>
                      <w:szCs w:val="21"/>
                    </w:rPr>
                    <w:t>10</w:t>
                  </w:r>
                </w:p>
              </w:tc>
              <w:tc>
                <w:tcPr>
                  <w:tcW w:w="309" w:type="pct"/>
                  <w:vAlign w:val="center"/>
                </w:tcPr>
                <w:p w14:paraId="0CA722AD">
                  <w:pPr>
                    <w:jc w:val="center"/>
                    <w:rPr>
                      <w:rFonts w:ascii="Times New Roman" w:hAnsi="Times New Roman" w:cs="Times New Roman"/>
                      <w:color w:val="000000"/>
                      <w:sz w:val="21"/>
                      <w:szCs w:val="21"/>
                    </w:rPr>
                  </w:pPr>
                  <w:r>
                    <w:rPr>
                      <w:rFonts w:ascii="Times New Roman" w:hAnsi="Times New Roman" w:cs="Times New Roman"/>
                      <w:color w:val="000000"/>
                      <w:sz w:val="21"/>
                      <w:szCs w:val="21"/>
                    </w:rPr>
                    <w:t>60.00</w:t>
                  </w:r>
                </w:p>
              </w:tc>
              <w:tc>
                <w:tcPr>
                  <w:tcW w:w="258" w:type="pct"/>
                  <w:vMerge w:val="restart"/>
                  <w:vAlign w:val="center"/>
                </w:tcPr>
                <w:p w14:paraId="0A837223">
                  <w:pPr>
                    <w:pStyle w:val="154"/>
                    <w:rPr>
                      <w:sz w:val="21"/>
                      <w:szCs w:val="21"/>
                    </w:rPr>
                  </w:pPr>
                  <w:r>
                    <w:rPr>
                      <w:rFonts w:hint="eastAsia"/>
                      <w:sz w:val="21"/>
                      <w:szCs w:val="21"/>
                    </w:rPr>
                    <w:t>昼间</w:t>
                  </w:r>
                </w:p>
              </w:tc>
              <w:tc>
                <w:tcPr>
                  <w:tcW w:w="258" w:type="pct"/>
                  <w:vAlign w:val="center"/>
                </w:tcPr>
                <w:p w14:paraId="085E58EA">
                  <w:pPr>
                    <w:pStyle w:val="154"/>
                    <w:rPr>
                      <w:sz w:val="21"/>
                      <w:szCs w:val="21"/>
                    </w:rPr>
                  </w:pPr>
                  <w:r>
                    <w:rPr>
                      <w:rFonts w:hint="eastAsia"/>
                      <w:sz w:val="21"/>
                      <w:szCs w:val="21"/>
                    </w:rPr>
                    <w:t>20</w:t>
                  </w:r>
                </w:p>
              </w:tc>
              <w:tc>
                <w:tcPr>
                  <w:tcW w:w="257" w:type="pct"/>
                  <w:vAlign w:val="center"/>
                </w:tcPr>
                <w:p w14:paraId="52BA1DFA">
                  <w:pPr>
                    <w:pStyle w:val="154"/>
                    <w:rPr>
                      <w:rFonts w:cs="宋体"/>
                      <w:sz w:val="21"/>
                      <w:szCs w:val="21"/>
                    </w:rPr>
                  </w:pPr>
                  <w:r>
                    <w:rPr>
                      <w:rFonts w:hint="eastAsia" w:cs="宋体"/>
                      <w:sz w:val="21"/>
                      <w:szCs w:val="21"/>
                    </w:rPr>
                    <w:t>40.00</w:t>
                  </w:r>
                </w:p>
              </w:tc>
              <w:tc>
                <w:tcPr>
                  <w:tcW w:w="251" w:type="pct"/>
                  <w:vAlign w:val="center"/>
                </w:tcPr>
                <w:p w14:paraId="6C4F3A38">
                  <w:pPr>
                    <w:pStyle w:val="154"/>
                    <w:rPr>
                      <w:sz w:val="21"/>
                      <w:szCs w:val="21"/>
                    </w:rPr>
                  </w:pPr>
                  <w:r>
                    <w:rPr>
                      <w:rFonts w:hint="eastAsia"/>
                      <w:sz w:val="21"/>
                      <w:szCs w:val="21"/>
                    </w:rPr>
                    <w:t>1</w:t>
                  </w:r>
                </w:p>
              </w:tc>
            </w:tr>
            <w:tr w14:paraId="204D75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251F9066">
                  <w:pPr>
                    <w:pStyle w:val="154"/>
                    <w:rPr>
                      <w:sz w:val="21"/>
                      <w:szCs w:val="21"/>
                    </w:rPr>
                  </w:pPr>
                </w:p>
              </w:tc>
              <w:tc>
                <w:tcPr>
                  <w:tcW w:w="257" w:type="pct"/>
                  <w:vMerge w:val="continue"/>
                  <w:vAlign w:val="center"/>
                </w:tcPr>
                <w:p w14:paraId="33CDF95E">
                  <w:pPr>
                    <w:pStyle w:val="154"/>
                    <w:rPr>
                      <w:sz w:val="21"/>
                      <w:szCs w:val="21"/>
                    </w:rPr>
                  </w:pPr>
                </w:p>
              </w:tc>
              <w:tc>
                <w:tcPr>
                  <w:tcW w:w="566" w:type="pct"/>
                  <w:vMerge w:val="continue"/>
                  <w:vAlign w:val="center"/>
                </w:tcPr>
                <w:p w14:paraId="3FCFD96D">
                  <w:pPr>
                    <w:pStyle w:val="154"/>
                    <w:rPr>
                      <w:sz w:val="21"/>
                      <w:szCs w:val="21"/>
                    </w:rPr>
                  </w:pPr>
                </w:p>
              </w:tc>
              <w:tc>
                <w:tcPr>
                  <w:tcW w:w="208" w:type="pct"/>
                  <w:vMerge w:val="continue"/>
                  <w:vAlign w:val="center"/>
                </w:tcPr>
                <w:p w14:paraId="5E1B94FD">
                  <w:pPr>
                    <w:pStyle w:val="154"/>
                    <w:rPr>
                      <w:sz w:val="21"/>
                      <w:szCs w:val="21"/>
                    </w:rPr>
                  </w:pPr>
                </w:p>
              </w:tc>
              <w:tc>
                <w:tcPr>
                  <w:tcW w:w="572" w:type="pct"/>
                  <w:vMerge w:val="continue"/>
                  <w:vAlign w:val="center"/>
                </w:tcPr>
                <w:p w14:paraId="0CBD2DF6">
                  <w:pPr>
                    <w:pStyle w:val="154"/>
                    <w:rPr>
                      <w:sz w:val="21"/>
                      <w:szCs w:val="21"/>
                    </w:rPr>
                  </w:pPr>
                </w:p>
              </w:tc>
              <w:tc>
                <w:tcPr>
                  <w:tcW w:w="364" w:type="pct"/>
                  <w:vMerge w:val="continue"/>
                  <w:vAlign w:val="center"/>
                </w:tcPr>
                <w:p w14:paraId="16E09A45">
                  <w:pPr>
                    <w:pStyle w:val="154"/>
                    <w:rPr>
                      <w:sz w:val="21"/>
                      <w:szCs w:val="21"/>
                    </w:rPr>
                  </w:pPr>
                </w:p>
              </w:tc>
              <w:tc>
                <w:tcPr>
                  <w:tcW w:w="415" w:type="pct"/>
                  <w:vMerge w:val="continue"/>
                  <w:vAlign w:val="center"/>
                </w:tcPr>
                <w:p w14:paraId="4100F413">
                  <w:pPr>
                    <w:pStyle w:val="154"/>
                    <w:rPr>
                      <w:sz w:val="21"/>
                      <w:szCs w:val="21"/>
                    </w:rPr>
                  </w:pPr>
                </w:p>
              </w:tc>
              <w:tc>
                <w:tcPr>
                  <w:tcW w:w="208" w:type="pct"/>
                  <w:vMerge w:val="continue"/>
                  <w:vAlign w:val="center"/>
                </w:tcPr>
                <w:p w14:paraId="2E727CB6">
                  <w:pPr>
                    <w:pStyle w:val="154"/>
                    <w:rPr>
                      <w:sz w:val="21"/>
                      <w:szCs w:val="21"/>
                    </w:rPr>
                  </w:pPr>
                </w:p>
              </w:tc>
              <w:tc>
                <w:tcPr>
                  <w:tcW w:w="208" w:type="pct"/>
                  <w:vMerge w:val="continue"/>
                  <w:vAlign w:val="center"/>
                </w:tcPr>
                <w:p w14:paraId="73862C22">
                  <w:pPr>
                    <w:pStyle w:val="154"/>
                    <w:rPr>
                      <w:sz w:val="21"/>
                      <w:szCs w:val="21"/>
                    </w:rPr>
                  </w:pPr>
                </w:p>
              </w:tc>
              <w:tc>
                <w:tcPr>
                  <w:tcW w:w="260" w:type="pct"/>
                  <w:vMerge w:val="continue"/>
                  <w:vAlign w:val="center"/>
                </w:tcPr>
                <w:p w14:paraId="1189F3F4">
                  <w:pPr>
                    <w:pStyle w:val="154"/>
                    <w:rPr>
                      <w:sz w:val="21"/>
                      <w:szCs w:val="21"/>
                    </w:rPr>
                  </w:pPr>
                </w:p>
              </w:tc>
              <w:tc>
                <w:tcPr>
                  <w:tcW w:w="224" w:type="pct"/>
                  <w:vAlign w:val="center"/>
                </w:tcPr>
                <w:p w14:paraId="539EA2A5">
                  <w:pPr>
                    <w:pStyle w:val="154"/>
                    <w:rPr>
                      <w:sz w:val="21"/>
                      <w:szCs w:val="21"/>
                    </w:rPr>
                  </w:pPr>
                  <w:r>
                    <w:rPr>
                      <w:rFonts w:hint="eastAsia"/>
                      <w:sz w:val="21"/>
                      <w:szCs w:val="21"/>
                    </w:rPr>
                    <w:t>W</w:t>
                  </w:r>
                </w:p>
              </w:tc>
              <w:tc>
                <w:tcPr>
                  <w:tcW w:w="225" w:type="pct"/>
                  <w:vAlign w:val="center"/>
                </w:tcPr>
                <w:p w14:paraId="30CC4EEA">
                  <w:pPr>
                    <w:pStyle w:val="154"/>
                    <w:rPr>
                      <w:sz w:val="21"/>
                      <w:szCs w:val="21"/>
                    </w:rPr>
                  </w:pPr>
                  <w:r>
                    <w:rPr>
                      <w:rFonts w:hint="eastAsia"/>
                      <w:sz w:val="21"/>
                      <w:szCs w:val="21"/>
                    </w:rPr>
                    <w:t>27</w:t>
                  </w:r>
                </w:p>
              </w:tc>
              <w:tc>
                <w:tcPr>
                  <w:tcW w:w="309" w:type="pct"/>
                  <w:vAlign w:val="center"/>
                </w:tcPr>
                <w:p w14:paraId="6A72CF64">
                  <w:pPr>
                    <w:jc w:val="center"/>
                    <w:rPr>
                      <w:rFonts w:ascii="Times New Roman" w:hAnsi="Times New Roman" w:cs="Times New Roman"/>
                      <w:color w:val="000000"/>
                      <w:sz w:val="21"/>
                      <w:szCs w:val="21"/>
                    </w:rPr>
                  </w:pPr>
                  <w:r>
                    <w:rPr>
                      <w:rFonts w:ascii="Times New Roman" w:hAnsi="Times New Roman" w:cs="Times New Roman"/>
                      <w:color w:val="000000"/>
                      <w:sz w:val="21"/>
                      <w:szCs w:val="21"/>
                    </w:rPr>
                    <w:t>51.37</w:t>
                  </w:r>
                </w:p>
              </w:tc>
              <w:tc>
                <w:tcPr>
                  <w:tcW w:w="258" w:type="pct"/>
                  <w:vMerge w:val="continue"/>
                  <w:vAlign w:val="center"/>
                </w:tcPr>
                <w:p w14:paraId="3A60EEA7">
                  <w:pPr>
                    <w:pStyle w:val="154"/>
                    <w:rPr>
                      <w:sz w:val="21"/>
                      <w:szCs w:val="21"/>
                    </w:rPr>
                  </w:pPr>
                </w:p>
              </w:tc>
              <w:tc>
                <w:tcPr>
                  <w:tcW w:w="258" w:type="pct"/>
                  <w:vAlign w:val="center"/>
                </w:tcPr>
                <w:p w14:paraId="451955D8">
                  <w:pPr>
                    <w:pStyle w:val="154"/>
                    <w:rPr>
                      <w:sz w:val="21"/>
                      <w:szCs w:val="21"/>
                    </w:rPr>
                  </w:pPr>
                  <w:r>
                    <w:rPr>
                      <w:rFonts w:hint="eastAsia"/>
                      <w:sz w:val="21"/>
                      <w:szCs w:val="21"/>
                    </w:rPr>
                    <w:t>20</w:t>
                  </w:r>
                </w:p>
              </w:tc>
              <w:tc>
                <w:tcPr>
                  <w:tcW w:w="257" w:type="pct"/>
                  <w:vAlign w:val="center"/>
                </w:tcPr>
                <w:p w14:paraId="1FD74B34">
                  <w:pPr>
                    <w:pStyle w:val="154"/>
                    <w:rPr>
                      <w:rFonts w:cs="宋体"/>
                      <w:sz w:val="21"/>
                      <w:szCs w:val="21"/>
                    </w:rPr>
                  </w:pPr>
                  <w:r>
                    <w:rPr>
                      <w:rFonts w:hint="eastAsia" w:cs="宋体"/>
                      <w:sz w:val="21"/>
                      <w:szCs w:val="21"/>
                    </w:rPr>
                    <w:t>31.37</w:t>
                  </w:r>
                </w:p>
              </w:tc>
              <w:tc>
                <w:tcPr>
                  <w:tcW w:w="251" w:type="pct"/>
                  <w:vAlign w:val="center"/>
                </w:tcPr>
                <w:p w14:paraId="36083D40">
                  <w:pPr>
                    <w:pStyle w:val="154"/>
                    <w:rPr>
                      <w:sz w:val="21"/>
                      <w:szCs w:val="21"/>
                    </w:rPr>
                  </w:pPr>
                  <w:r>
                    <w:rPr>
                      <w:rFonts w:hint="eastAsia"/>
                      <w:sz w:val="21"/>
                      <w:szCs w:val="21"/>
                    </w:rPr>
                    <w:t>1</w:t>
                  </w:r>
                </w:p>
              </w:tc>
            </w:tr>
            <w:tr w14:paraId="6325DE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4491E638">
                  <w:pPr>
                    <w:pStyle w:val="154"/>
                    <w:rPr>
                      <w:sz w:val="21"/>
                      <w:szCs w:val="21"/>
                    </w:rPr>
                  </w:pPr>
                </w:p>
              </w:tc>
              <w:tc>
                <w:tcPr>
                  <w:tcW w:w="257" w:type="pct"/>
                  <w:vMerge w:val="continue"/>
                  <w:vAlign w:val="center"/>
                </w:tcPr>
                <w:p w14:paraId="40E463DC">
                  <w:pPr>
                    <w:pStyle w:val="154"/>
                    <w:rPr>
                      <w:sz w:val="21"/>
                      <w:szCs w:val="21"/>
                    </w:rPr>
                  </w:pPr>
                </w:p>
              </w:tc>
              <w:tc>
                <w:tcPr>
                  <w:tcW w:w="566" w:type="pct"/>
                  <w:vMerge w:val="continue"/>
                  <w:vAlign w:val="center"/>
                </w:tcPr>
                <w:p w14:paraId="7548AF88">
                  <w:pPr>
                    <w:pStyle w:val="154"/>
                    <w:rPr>
                      <w:sz w:val="21"/>
                      <w:szCs w:val="21"/>
                    </w:rPr>
                  </w:pPr>
                </w:p>
              </w:tc>
              <w:tc>
                <w:tcPr>
                  <w:tcW w:w="208" w:type="pct"/>
                  <w:vMerge w:val="continue"/>
                  <w:vAlign w:val="center"/>
                </w:tcPr>
                <w:p w14:paraId="3489EDD6">
                  <w:pPr>
                    <w:pStyle w:val="154"/>
                    <w:rPr>
                      <w:sz w:val="21"/>
                      <w:szCs w:val="21"/>
                    </w:rPr>
                  </w:pPr>
                </w:p>
              </w:tc>
              <w:tc>
                <w:tcPr>
                  <w:tcW w:w="572" w:type="pct"/>
                  <w:vMerge w:val="continue"/>
                  <w:vAlign w:val="center"/>
                </w:tcPr>
                <w:p w14:paraId="2333697F">
                  <w:pPr>
                    <w:pStyle w:val="154"/>
                    <w:rPr>
                      <w:sz w:val="21"/>
                      <w:szCs w:val="21"/>
                    </w:rPr>
                  </w:pPr>
                </w:p>
              </w:tc>
              <w:tc>
                <w:tcPr>
                  <w:tcW w:w="364" w:type="pct"/>
                  <w:vMerge w:val="continue"/>
                  <w:vAlign w:val="center"/>
                </w:tcPr>
                <w:p w14:paraId="1C585B43">
                  <w:pPr>
                    <w:pStyle w:val="154"/>
                    <w:rPr>
                      <w:sz w:val="21"/>
                      <w:szCs w:val="21"/>
                    </w:rPr>
                  </w:pPr>
                </w:p>
              </w:tc>
              <w:tc>
                <w:tcPr>
                  <w:tcW w:w="415" w:type="pct"/>
                  <w:vMerge w:val="continue"/>
                  <w:vAlign w:val="center"/>
                </w:tcPr>
                <w:p w14:paraId="3B0FAE08">
                  <w:pPr>
                    <w:pStyle w:val="154"/>
                    <w:rPr>
                      <w:sz w:val="21"/>
                      <w:szCs w:val="21"/>
                    </w:rPr>
                  </w:pPr>
                </w:p>
              </w:tc>
              <w:tc>
                <w:tcPr>
                  <w:tcW w:w="208" w:type="pct"/>
                  <w:vMerge w:val="continue"/>
                  <w:vAlign w:val="center"/>
                </w:tcPr>
                <w:p w14:paraId="0C376B39">
                  <w:pPr>
                    <w:pStyle w:val="154"/>
                    <w:rPr>
                      <w:sz w:val="21"/>
                      <w:szCs w:val="21"/>
                    </w:rPr>
                  </w:pPr>
                </w:p>
              </w:tc>
              <w:tc>
                <w:tcPr>
                  <w:tcW w:w="208" w:type="pct"/>
                  <w:vMerge w:val="continue"/>
                  <w:vAlign w:val="center"/>
                </w:tcPr>
                <w:p w14:paraId="4A89DF12">
                  <w:pPr>
                    <w:pStyle w:val="154"/>
                    <w:rPr>
                      <w:sz w:val="21"/>
                      <w:szCs w:val="21"/>
                    </w:rPr>
                  </w:pPr>
                </w:p>
              </w:tc>
              <w:tc>
                <w:tcPr>
                  <w:tcW w:w="260" w:type="pct"/>
                  <w:vMerge w:val="continue"/>
                  <w:vAlign w:val="center"/>
                </w:tcPr>
                <w:p w14:paraId="022F8015">
                  <w:pPr>
                    <w:pStyle w:val="154"/>
                    <w:rPr>
                      <w:sz w:val="21"/>
                      <w:szCs w:val="21"/>
                    </w:rPr>
                  </w:pPr>
                </w:p>
              </w:tc>
              <w:tc>
                <w:tcPr>
                  <w:tcW w:w="224" w:type="pct"/>
                  <w:vAlign w:val="center"/>
                </w:tcPr>
                <w:p w14:paraId="5A4B7989">
                  <w:pPr>
                    <w:pStyle w:val="154"/>
                    <w:rPr>
                      <w:sz w:val="21"/>
                      <w:szCs w:val="21"/>
                    </w:rPr>
                  </w:pPr>
                  <w:r>
                    <w:rPr>
                      <w:sz w:val="21"/>
                      <w:szCs w:val="21"/>
                    </w:rPr>
                    <w:t>S</w:t>
                  </w:r>
                </w:p>
              </w:tc>
              <w:tc>
                <w:tcPr>
                  <w:tcW w:w="225" w:type="pct"/>
                  <w:vAlign w:val="center"/>
                </w:tcPr>
                <w:p w14:paraId="6AEA4F77">
                  <w:pPr>
                    <w:pStyle w:val="154"/>
                    <w:rPr>
                      <w:sz w:val="21"/>
                      <w:szCs w:val="21"/>
                    </w:rPr>
                  </w:pPr>
                  <w:r>
                    <w:rPr>
                      <w:rFonts w:hint="eastAsia"/>
                      <w:sz w:val="21"/>
                      <w:szCs w:val="21"/>
                    </w:rPr>
                    <w:t>4</w:t>
                  </w:r>
                </w:p>
              </w:tc>
              <w:tc>
                <w:tcPr>
                  <w:tcW w:w="309" w:type="pct"/>
                  <w:vAlign w:val="center"/>
                </w:tcPr>
                <w:p w14:paraId="25CED0C1">
                  <w:pPr>
                    <w:jc w:val="center"/>
                    <w:rPr>
                      <w:rFonts w:ascii="Times New Roman" w:hAnsi="Times New Roman" w:cs="Times New Roman"/>
                      <w:color w:val="000000"/>
                      <w:sz w:val="21"/>
                      <w:szCs w:val="21"/>
                    </w:rPr>
                  </w:pPr>
                  <w:r>
                    <w:rPr>
                      <w:rFonts w:ascii="Times New Roman" w:hAnsi="Times New Roman" w:cs="Times New Roman"/>
                      <w:color w:val="000000"/>
                      <w:sz w:val="21"/>
                      <w:szCs w:val="21"/>
                    </w:rPr>
                    <w:t>67.96</w:t>
                  </w:r>
                </w:p>
              </w:tc>
              <w:tc>
                <w:tcPr>
                  <w:tcW w:w="258" w:type="pct"/>
                  <w:vMerge w:val="continue"/>
                  <w:vAlign w:val="center"/>
                </w:tcPr>
                <w:p w14:paraId="5B5B044C">
                  <w:pPr>
                    <w:pStyle w:val="154"/>
                    <w:rPr>
                      <w:sz w:val="21"/>
                      <w:szCs w:val="21"/>
                    </w:rPr>
                  </w:pPr>
                </w:p>
              </w:tc>
              <w:tc>
                <w:tcPr>
                  <w:tcW w:w="258" w:type="pct"/>
                  <w:vAlign w:val="center"/>
                </w:tcPr>
                <w:p w14:paraId="19AB87D2">
                  <w:pPr>
                    <w:pStyle w:val="154"/>
                    <w:rPr>
                      <w:sz w:val="21"/>
                      <w:szCs w:val="21"/>
                    </w:rPr>
                  </w:pPr>
                  <w:r>
                    <w:rPr>
                      <w:rFonts w:hint="eastAsia"/>
                      <w:sz w:val="21"/>
                      <w:szCs w:val="21"/>
                    </w:rPr>
                    <w:t>20</w:t>
                  </w:r>
                </w:p>
              </w:tc>
              <w:tc>
                <w:tcPr>
                  <w:tcW w:w="257" w:type="pct"/>
                  <w:vAlign w:val="center"/>
                </w:tcPr>
                <w:p w14:paraId="2BAA771C">
                  <w:pPr>
                    <w:pStyle w:val="154"/>
                    <w:rPr>
                      <w:rFonts w:cs="宋体"/>
                      <w:sz w:val="21"/>
                      <w:szCs w:val="21"/>
                    </w:rPr>
                  </w:pPr>
                  <w:r>
                    <w:rPr>
                      <w:rFonts w:hint="eastAsia" w:cs="宋体"/>
                      <w:sz w:val="21"/>
                      <w:szCs w:val="21"/>
                    </w:rPr>
                    <w:t>47.96</w:t>
                  </w:r>
                </w:p>
              </w:tc>
              <w:tc>
                <w:tcPr>
                  <w:tcW w:w="251" w:type="pct"/>
                  <w:vAlign w:val="center"/>
                </w:tcPr>
                <w:p w14:paraId="7D8EAB89">
                  <w:pPr>
                    <w:pStyle w:val="154"/>
                    <w:rPr>
                      <w:sz w:val="21"/>
                      <w:szCs w:val="21"/>
                    </w:rPr>
                  </w:pPr>
                  <w:r>
                    <w:rPr>
                      <w:rFonts w:hint="eastAsia"/>
                      <w:sz w:val="21"/>
                      <w:szCs w:val="21"/>
                    </w:rPr>
                    <w:t>1</w:t>
                  </w:r>
                </w:p>
              </w:tc>
            </w:tr>
            <w:tr w14:paraId="522F2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28C9FA7C">
                  <w:pPr>
                    <w:pStyle w:val="154"/>
                    <w:rPr>
                      <w:sz w:val="21"/>
                      <w:szCs w:val="21"/>
                    </w:rPr>
                  </w:pPr>
                </w:p>
              </w:tc>
              <w:tc>
                <w:tcPr>
                  <w:tcW w:w="257" w:type="pct"/>
                  <w:vMerge w:val="continue"/>
                  <w:vAlign w:val="center"/>
                </w:tcPr>
                <w:p w14:paraId="33E6EEB7">
                  <w:pPr>
                    <w:pStyle w:val="154"/>
                    <w:rPr>
                      <w:sz w:val="21"/>
                      <w:szCs w:val="21"/>
                    </w:rPr>
                  </w:pPr>
                </w:p>
              </w:tc>
              <w:tc>
                <w:tcPr>
                  <w:tcW w:w="566" w:type="pct"/>
                  <w:vMerge w:val="continue"/>
                  <w:vAlign w:val="center"/>
                </w:tcPr>
                <w:p w14:paraId="38983687">
                  <w:pPr>
                    <w:pStyle w:val="154"/>
                    <w:rPr>
                      <w:sz w:val="21"/>
                      <w:szCs w:val="21"/>
                    </w:rPr>
                  </w:pPr>
                </w:p>
              </w:tc>
              <w:tc>
                <w:tcPr>
                  <w:tcW w:w="208" w:type="pct"/>
                  <w:vMerge w:val="continue"/>
                  <w:vAlign w:val="center"/>
                </w:tcPr>
                <w:p w14:paraId="7B526B0D">
                  <w:pPr>
                    <w:pStyle w:val="154"/>
                    <w:rPr>
                      <w:sz w:val="21"/>
                      <w:szCs w:val="21"/>
                    </w:rPr>
                  </w:pPr>
                </w:p>
              </w:tc>
              <w:tc>
                <w:tcPr>
                  <w:tcW w:w="572" w:type="pct"/>
                  <w:vMerge w:val="continue"/>
                  <w:vAlign w:val="center"/>
                </w:tcPr>
                <w:p w14:paraId="6A5F3A2E">
                  <w:pPr>
                    <w:pStyle w:val="154"/>
                    <w:rPr>
                      <w:sz w:val="21"/>
                      <w:szCs w:val="21"/>
                    </w:rPr>
                  </w:pPr>
                </w:p>
              </w:tc>
              <w:tc>
                <w:tcPr>
                  <w:tcW w:w="364" w:type="pct"/>
                  <w:vMerge w:val="continue"/>
                  <w:vAlign w:val="center"/>
                </w:tcPr>
                <w:p w14:paraId="6493E5D3">
                  <w:pPr>
                    <w:pStyle w:val="154"/>
                    <w:rPr>
                      <w:sz w:val="21"/>
                      <w:szCs w:val="21"/>
                    </w:rPr>
                  </w:pPr>
                </w:p>
              </w:tc>
              <w:tc>
                <w:tcPr>
                  <w:tcW w:w="415" w:type="pct"/>
                  <w:vMerge w:val="continue"/>
                  <w:vAlign w:val="center"/>
                </w:tcPr>
                <w:p w14:paraId="4CF1BB2C">
                  <w:pPr>
                    <w:pStyle w:val="154"/>
                    <w:rPr>
                      <w:sz w:val="21"/>
                      <w:szCs w:val="21"/>
                    </w:rPr>
                  </w:pPr>
                </w:p>
              </w:tc>
              <w:tc>
                <w:tcPr>
                  <w:tcW w:w="208" w:type="pct"/>
                  <w:vMerge w:val="continue"/>
                  <w:vAlign w:val="center"/>
                </w:tcPr>
                <w:p w14:paraId="55B3AF13">
                  <w:pPr>
                    <w:pStyle w:val="154"/>
                    <w:rPr>
                      <w:sz w:val="21"/>
                      <w:szCs w:val="21"/>
                    </w:rPr>
                  </w:pPr>
                </w:p>
              </w:tc>
              <w:tc>
                <w:tcPr>
                  <w:tcW w:w="208" w:type="pct"/>
                  <w:vMerge w:val="continue"/>
                  <w:vAlign w:val="center"/>
                </w:tcPr>
                <w:p w14:paraId="7BE74A57">
                  <w:pPr>
                    <w:pStyle w:val="154"/>
                    <w:rPr>
                      <w:sz w:val="21"/>
                      <w:szCs w:val="21"/>
                    </w:rPr>
                  </w:pPr>
                </w:p>
              </w:tc>
              <w:tc>
                <w:tcPr>
                  <w:tcW w:w="260" w:type="pct"/>
                  <w:vMerge w:val="continue"/>
                  <w:vAlign w:val="center"/>
                </w:tcPr>
                <w:p w14:paraId="0F817761">
                  <w:pPr>
                    <w:pStyle w:val="154"/>
                    <w:rPr>
                      <w:sz w:val="21"/>
                      <w:szCs w:val="21"/>
                    </w:rPr>
                  </w:pPr>
                </w:p>
              </w:tc>
              <w:tc>
                <w:tcPr>
                  <w:tcW w:w="224" w:type="pct"/>
                  <w:vAlign w:val="center"/>
                </w:tcPr>
                <w:p w14:paraId="773EA714">
                  <w:pPr>
                    <w:pStyle w:val="154"/>
                    <w:rPr>
                      <w:sz w:val="21"/>
                      <w:szCs w:val="21"/>
                    </w:rPr>
                  </w:pPr>
                  <w:r>
                    <w:rPr>
                      <w:sz w:val="21"/>
                      <w:szCs w:val="21"/>
                    </w:rPr>
                    <w:t>N</w:t>
                  </w:r>
                </w:p>
              </w:tc>
              <w:tc>
                <w:tcPr>
                  <w:tcW w:w="225" w:type="pct"/>
                  <w:vAlign w:val="center"/>
                </w:tcPr>
                <w:p w14:paraId="1705E013">
                  <w:pPr>
                    <w:pStyle w:val="154"/>
                    <w:rPr>
                      <w:sz w:val="21"/>
                      <w:szCs w:val="21"/>
                    </w:rPr>
                  </w:pPr>
                  <w:r>
                    <w:rPr>
                      <w:rFonts w:hint="eastAsia"/>
                      <w:sz w:val="21"/>
                      <w:szCs w:val="21"/>
                    </w:rPr>
                    <w:t>28</w:t>
                  </w:r>
                </w:p>
              </w:tc>
              <w:tc>
                <w:tcPr>
                  <w:tcW w:w="309" w:type="pct"/>
                  <w:vAlign w:val="center"/>
                </w:tcPr>
                <w:p w14:paraId="45E25C80">
                  <w:pPr>
                    <w:jc w:val="center"/>
                    <w:rPr>
                      <w:rFonts w:ascii="Times New Roman" w:hAnsi="Times New Roman" w:cs="Times New Roman"/>
                      <w:color w:val="000000"/>
                      <w:sz w:val="21"/>
                      <w:szCs w:val="21"/>
                    </w:rPr>
                  </w:pPr>
                  <w:r>
                    <w:rPr>
                      <w:rFonts w:ascii="Times New Roman" w:hAnsi="Times New Roman" w:cs="Times New Roman"/>
                      <w:color w:val="000000"/>
                      <w:sz w:val="21"/>
                      <w:szCs w:val="21"/>
                    </w:rPr>
                    <w:t>51.06</w:t>
                  </w:r>
                </w:p>
              </w:tc>
              <w:tc>
                <w:tcPr>
                  <w:tcW w:w="258" w:type="pct"/>
                  <w:vMerge w:val="continue"/>
                  <w:vAlign w:val="center"/>
                </w:tcPr>
                <w:p w14:paraId="21EA6FBA">
                  <w:pPr>
                    <w:pStyle w:val="154"/>
                    <w:rPr>
                      <w:sz w:val="21"/>
                      <w:szCs w:val="21"/>
                    </w:rPr>
                  </w:pPr>
                </w:p>
              </w:tc>
              <w:tc>
                <w:tcPr>
                  <w:tcW w:w="258" w:type="pct"/>
                  <w:vAlign w:val="center"/>
                </w:tcPr>
                <w:p w14:paraId="264FC387">
                  <w:pPr>
                    <w:pStyle w:val="154"/>
                    <w:rPr>
                      <w:sz w:val="21"/>
                      <w:szCs w:val="21"/>
                    </w:rPr>
                  </w:pPr>
                  <w:r>
                    <w:rPr>
                      <w:rFonts w:hint="eastAsia"/>
                      <w:sz w:val="21"/>
                      <w:szCs w:val="21"/>
                    </w:rPr>
                    <w:t>20</w:t>
                  </w:r>
                </w:p>
              </w:tc>
              <w:tc>
                <w:tcPr>
                  <w:tcW w:w="257" w:type="pct"/>
                  <w:vAlign w:val="center"/>
                </w:tcPr>
                <w:p w14:paraId="7290CD5A">
                  <w:pPr>
                    <w:pStyle w:val="154"/>
                    <w:rPr>
                      <w:rFonts w:cs="宋体"/>
                      <w:sz w:val="21"/>
                      <w:szCs w:val="21"/>
                    </w:rPr>
                  </w:pPr>
                  <w:r>
                    <w:rPr>
                      <w:rFonts w:hint="eastAsia" w:cs="宋体"/>
                      <w:sz w:val="21"/>
                      <w:szCs w:val="21"/>
                    </w:rPr>
                    <w:t>31.06</w:t>
                  </w:r>
                </w:p>
              </w:tc>
              <w:tc>
                <w:tcPr>
                  <w:tcW w:w="251" w:type="pct"/>
                  <w:vAlign w:val="center"/>
                </w:tcPr>
                <w:p w14:paraId="422A6C6D">
                  <w:pPr>
                    <w:pStyle w:val="154"/>
                    <w:rPr>
                      <w:sz w:val="21"/>
                      <w:szCs w:val="21"/>
                    </w:rPr>
                  </w:pPr>
                  <w:r>
                    <w:rPr>
                      <w:rFonts w:hint="eastAsia"/>
                      <w:sz w:val="21"/>
                      <w:szCs w:val="21"/>
                    </w:rPr>
                    <w:t>1</w:t>
                  </w:r>
                </w:p>
              </w:tc>
            </w:tr>
            <w:tr w14:paraId="3D2548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0CE4E66E">
                  <w:pPr>
                    <w:pStyle w:val="154"/>
                    <w:rPr>
                      <w:sz w:val="21"/>
                      <w:szCs w:val="21"/>
                    </w:rPr>
                  </w:pPr>
                  <w:r>
                    <w:rPr>
                      <w:rFonts w:hint="eastAsia"/>
                      <w:sz w:val="21"/>
                      <w:szCs w:val="21"/>
                    </w:rPr>
                    <w:t>13</w:t>
                  </w:r>
                </w:p>
              </w:tc>
              <w:tc>
                <w:tcPr>
                  <w:tcW w:w="257" w:type="pct"/>
                  <w:vMerge w:val="continue"/>
                  <w:vAlign w:val="center"/>
                </w:tcPr>
                <w:p w14:paraId="42FFE07F">
                  <w:pPr>
                    <w:pStyle w:val="154"/>
                    <w:rPr>
                      <w:sz w:val="21"/>
                      <w:szCs w:val="21"/>
                    </w:rPr>
                  </w:pPr>
                </w:p>
              </w:tc>
              <w:tc>
                <w:tcPr>
                  <w:tcW w:w="566" w:type="pct"/>
                  <w:vMerge w:val="restart"/>
                  <w:vAlign w:val="center"/>
                </w:tcPr>
                <w:p w14:paraId="1B652157">
                  <w:pPr>
                    <w:pStyle w:val="154"/>
                    <w:rPr>
                      <w:sz w:val="21"/>
                      <w:szCs w:val="21"/>
                    </w:rPr>
                  </w:pPr>
                  <w:r>
                    <w:rPr>
                      <w:rFonts w:hint="eastAsia"/>
                      <w:sz w:val="21"/>
                      <w:szCs w:val="21"/>
                    </w:rPr>
                    <w:t>破碎机2#</w:t>
                  </w:r>
                </w:p>
              </w:tc>
              <w:tc>
                <w:tcPr>
                  <w:tcW w:w="208" w:type="pct"/>
                  <w:vMerge w:val="restart"/>
                  <w:vAlign w:val="center"/>
                </w:tcPr>
                <w:p w14:paraId="57EE6CF5">
                  <w:pPr>
                    <w:pStyle w:val="154"/>
                    <w:rPr>
                      <w:sz w:val="21"/>
                      <w:szCs w:val="21"/>
                    </w:rPr>
                  </w:pPr>
                  <w:r>
                    <w:rPr>
                      <w:rFonts w:hint="eastAsia"/>
                      <w:sz w:val="21"/>
                      <w:szCs w:val="21"/>
                    </w:rPr>
                    <w:t>/</w:t>
                  </w:r>
                </w:p>
              </w:tc>
              <w:tc>
                <w:tcPr>
                  <w:tcW w:w="572" w:type="pct"/>
                  <w:vMerge w:val="restart"/>
                  <w:vAlign w:val="center"/>
                </w:tcPr>
                <w:p w14:paraId="32FAE4F2">
                  <w:pPr>
                    <w:pStyle w:val="154"/>
                    <w:rPr>
                      <w:sz w:val="21"/>
                      <w:szCs w:val="21"/>
                    </w:rPr>
                  </w:pPr>
                  <w:r>
                    <w:rPr>
                      <w:rFonts w:hint="eastAsia"/>
                      <w:sz w:val="21"/>
                      <w:szCs w:val="21"/>
                    </w:rPr>
                    <w:t>/</w:t>
                  </w:r>
                </w:p>
              </w:tc>
              <w:tc>
                <w:tcPr>
                  <w:tcW w:w="364" w:type="pct"/>
                  <w:vMerge w:val="restart"/>
                  <w:vAlign w:val="center"/>
                </w:tcPr>
                <w:p w14:paraId="1D06E555">
                  <w:pPr>
                    <w:pStyle w:val="154"/>
                    <w:rPr>
                      <w:sz w:val="21"/>
                      <w:szCs w:val="21"/>
                    </w:rPr>
                  </w:pPr>
                  <w:r>
                    <w:rPr>
                      <w:rFonts w:hint="eastAsia"/>
                      <w:sz w:val="21"/>
                      <w:szCs w:val="21"/>
                    </w:rPr>
                    <w:t>80</w:t>
                  </w:r>
                </w:p>
              </w:tc>
              <w:tc>
                <w:tcPr>
                  <w:tcW w:w="415" w:type="pct"/>
                  <w:vMerge w:val="continue"/>
                  <w:vAlign w:val="center"/>
                </w:tcPr>
                <w:p w14:paraId="2AA33F1B">
                  <w:pPr>
                    <w:pStyle w:val="154"/>
                    <w:rPr>
                      <w:sz w:val="21"/>
                      <w:szCs w:val="21"/>
                    </w:rPr>
                  </w:pPr>
                </w:p>
              </w:tc>
              <w:tc>
                <w:tcPr>
                  <w:tcW w:w="208" w:type="pct"/>
                  <w:vMerge w:val="restart"/>
                  <w:vAlign w:val="center"/>
                </w:tcPr>
                <w:p w14:paraId="5D4D9C76">
                  <w:pPr>
                    <w:pStyle w:val="154"/>
                    <w:rPr>
                      <w:sz w:val="21"/>
                      <w:szCs w:val="21"/>
                    </w:rPr>
                  </w:pPr>
                  <w:r>
                    <w:rPr>
                      <w:rFonts w:hint="eastAsia"/>
                      <w:sz w:val="21"/>
                      <w:szCs w:val="21"/>
                    </w:rPr>
                    <w:t>19</w:t>
                  </w:r>
                </w:p>
              </w:tc>
              <w:tc>
                <w:tcPr>
                  <w:tcW w:w="208" w:type="pct"/>
                  <w:vMerge w:val="restart"/>
                  <w:vAlign w:val="center"/>
                </w:tcPr>
                <w:p w14:paraId="322F6354">
                  <w:pPr>
                    <w:pStyle w:val="154"/>
                    <w:rPr>
                      <w:sz w:val="21"/>
                      <w:szCs w:val="21"/>
                    </w:rPr>
                  </w:pPr>
                  <w:r>
                    <w:rPr>
                      <w:rFonts w:hint="eastAsia"/>
                      <w:sz w:val="21"/>
                      <w:szCs w:val="21"/>
                    </w:rPr>
                    <w:t>4</w:t>
                  </w:r>
                </w:p>
              </w:tc>
              <w:tc>
                <w:tcPr>
                  <w:tcW w:w="260" w:type="pct"/>
                  <w:vMerge w:val="restart"/>
                  <w:vAlign w:val="center"/>
                </w:tcPr>
                <w:p w14:paraId="65E3D592">
                  <w:pPr>
                    <w:pStyle w:val="154"/>
                    <w:rPr>
                      <w:sz w:val="21"/>
                      <w:szCs w:val="21"/>
                    </w:rPr>
                  </w:pPr>
                  <w:r>
                    <w:rPr>
                      <w:rFonts w:hint="eastAsia"/>
                      <w:sz w:val="21"/>
                      <w:szCs w:val="21"/>
                    </w:rPr>
                    <w:t>1</w:t>
                  </w:r>
                </w:p>
              </w:tc>
              <w:tc>
                <w:tcPr>
                  <w:tcW w:w="224" w:type="pct"/>
                  <w:vAlign w:val="center"/>
                </w:tcPr>
                <w:p w14:paraId="7302CCF3">
                  <w:pPr>
                    <w:pStyle w:val="154"/>
                    <w:rPr>
                      <w:sz w:val="21"/>
                      <w:szCs w:val="21"/>
                    </w:rPr>
                  </w:pPr>
                  <w:r>
                    <w:rPr>
                      <w:sz w:val="21"/>
                      <w:szCs w:val="21"/>
                    </w:rPr>
                    <w:t>E</w:t>
                  </w:r>
                </w:p>
              </w:tc>
              <w:tc>
                <w:tcPr>
                  <w:tcW w:w="225" w:type="pct"/>
                  <w:vAlign w:val="center"/>
                </w:tcPr>
                <w:p w14:paraId="6AD99255">
                  <w:pPr>
                    <w:pStyle w:val="154"/>
                    <w:rPr>
                      <w:sz w:val="21"/>
                      <w:szCs w:val="21"/>
                    </w:rPr>
                  </w:pPr>
                  <w:r>
                    <w:rPr>
                      <w:rFonts w:hint="eastAsia"/>
                      <w:sz w:val="21"/>
                      <w:szCs w:val="21"/>
                    </w:rPr>
                    <w:t>15</w:t>
                  </w:r>
                </w:p>
              </w:tc>
              <w:tc>
                <w:tcPr>
                  <w:tcW w:w="309" w:type="pct"/>
                  <w:vAlign w:val="center"/>
                </w:tcPr>
                <w:p w14:paraId="07323048">
                  <w:pPr>
                    <w:jc w:val="center"/>
                    <w:rPr>
                      <w:rFonts w:ascii="Times New Roman" w:hAnsi="Times New Roman" w:cs="Times New Roman"/>
                      <w:color w:val="000000"/>
                      <w:sz w:val="21"/>
                      <w:szCs w:val="21"/>
                    </w:rPr>
                  </w:pPr>
                  <w:r>
                    <w:rPr>
                      <w:rFonts w:ascii="Times New Roman" w:hAnsi="Times New Roman" w:cs="Times New Roman"/>
                      <w:color w:val="000000"/>
                      <w:sz w:val="21"/>
                      <w:szCs w:val="21"/>
                    </w:rPr>
                    <w:t>56.48</w:t>
                  </w:r>
                </w:p>
              </w:tc>
              <w:tc>
                <w:tcPr>
                  <w:tcW w:w="258" w:type="pct"/>
                  <w:vMerge w:val="restart"/>
                  <w:vAlign w:val="center"/>
                </w:tcPr>
                <w:p w14:paraId="7604531D">
                  <w:pPr>
                    <w:pStyle w:val="154"/>
                    <w:rPr>
                      <w:sz w:val="21"/>
                      <w:szCs w:val="21"/>
                    </w:rPr>
                  </w:pPr>
                  <w:r>
                    <w:rPr>
                      <w:rFonts w:hint="eastAsia"/>
                      <w:sz w:val="21"/>
                      <w:szCs w:val="21"/>
                    </w:rPr>
                    <w:t>昼间</w:t>
                  </w:r>
                </w:p>
              </w:tc>
              <w:tc>
                <w:tcPr>
                  <w:tcW w:w="258" w:type="pct"/>
                  <w:vAlign w:val="center"/>
                </w:tcPr>
                <w:p w14:paraId="6046EEC6">
                  <w:pPr>
                    <w:pStyle w:val="154"/>
                    <w:rPr>
                      <w:sz w:val="21"/>
                      <w:szCs w:val="21"/>
                    </w:rPr>
                  </w:pPr>
                  <w:r>
                    <w:rPr>
                      <w:sz w:val="21"/>
                      <w:szCs w:val="21"/>
                    </w:rPr>
                    <w:t>20</w:t>
                  </w:r>
                </w:p>
              </w:tc>
              <w:tc>
                <w:tcPr>
                  <w:tcW w:w="257" w:type="pct"/>
                  <w:vAlign w:val="center"/>
                </w:tcPr>
                <w:p w14:paraId="5A778EC0">
                  <w:pPr>
                    <w:pStyle w:val="154"/>
                    <w:rPr>
                      <w:color w:val="000000"/>
                      <w:sz w:val="21"/>
                      <w:szCs w:val="21"/>
                    </w:rPr>
                  </w:pPr>
                  <w:r>
                    <w:rPr>
                      <w:rFonts w:hint="eastAsia"/>
                      <w:color w:val="000000"/>
                      <w:sz w:val="21"/>
                      <w:szCs w:val="21"/>
                    </w:rPr>
                    <w:t>36.48</w:t>
                  </w:r>
                </w:p>
              </w:tc>
              <w:tc>
                <w:tcPr>
                  <w:tcW w:w="251" w:type="pct"/>
                  <w:vAlign w:val="center"/>
                </w:tcPr>
                <w:p w14:paraId="30249DA0">
                  <w:pPr>
                    <w:pStyle w:val="154"/>
                    <w:rPr>
                      <w:sz w:val="21"/>
                      <w:szCs w:val="21"/>
                    </w:rPr>
                  </w:pPr>
                  <w:r>
                    <w:rPr>
                      <w:sz w:val="21"/>
                      <w:szCs w:val="21"/>
                    </w:rPr>
                    <w:t>1</w:t>
                  </w:r>
                </w:p>
              </w:tc>
            </w:tr>
            <w:tr w14:paraId="009764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56E6A231">
                  <w:pPr>
                    <w:pStyle w:val="154"/>
                    <w:rPr>
                      <w:sz w:val="21"/>
                      <w:szCs w:val="21"/>
                    </w:rPr>
                  </w:pPr>
                </w:p>
              </w:tc>
              <w:tc>
                <w:tcPr>
                  <w:tcW w:w="257" w:type="pct"/>
                  <w:vMerge w:val="continue"/>
                  <w:vAlign w:val="center"/>
                </w:tcPr>
                <w:p w14:paraId="7757F433">
                  <w:pPr>
                    <w:pStyle w:val="154"/>
                    <w:rPr>
                      <w:sz w:val="21"/>
                      <w:szCs w:val="21"/>
                    </w:rPr>
                  </w:pPr>
                </w:p>
              </w:tc>
              <w:tc>
                <w:tcPr>
                  <w:tcW w:w="566" w:type="pct"/>
                  <w:vMerge w:val="continue"/>
                  <w:vAlign w:val="center"/>
                </w:tcPr>
                <w:p w14:paraId="3F7A2242">
                  <w:pPr>
                    <w:pStyle w:val="154"/>
                    <w:rPr>
                      <w:sz w:val="21"/>
                      <w:szCs w:val="21"/>
                    </w:rPr>
                  </w:pPr>
                </w:p>
              </w:tc>
              <w:tc>
                <w:tcPr>
                  <w:tcW w:w="208" w:type="pct"/>
                  <w:vMerge w:val="continue"/>
                  <w:vAlign w:val="center"/>
                </w:tcPr>
                <w:p w14:paraId="1C078920">
                  <w:pPr>
                    <w:pStyle w:val="154"/>
                    <w:rPr>
                      <w:sz w:val="21"/>
                      <w:szCs w:val="21"/>
                    </w:rPr>
                  </w:pPr>
                </w:p>
              </w:tc>
              <w:tc>
                <w:tcPr>
                  <w:tcW w:w="572" w:type="pct"/>
                  <w:vMerge w:val="continue"/>
                  <w:vAlign w:val="center"/>
                </w:tcPr>
                <w:p w14:paraId="0F0EDE7B">
                  <w:pPr>
                    <w:pStyle w:val="154"/>
                    <w:rPr>
                      <w:sz w:val="21"/>
                      <w:szCs w:val="21"/>
                    </w:rPr>
                  </w:pPr>
                </w:p>
              </w:tc>
              <w:tc>
                <w:tcPr>
                  <w:tcW w:w="364" w:type="pct"/>
                  <w:vMerge w:val="continue"/>
                  <w:vAlign w:val="center"/>
                </w:tcPr>
                <w:p w14:paraId="7088ED00">
                  <w:pPr>
                    <w:pStyle w:val="154"/>
                    <w:rPr>
                      <w:sz w:val="21"/>
                      <w:szCs w:val="21"/>
                    </w:rPr>
                  </w:pPr>
                </w:p>
              </w:tc>
              <w:tc>
                <w:tcPr>
                  <w:tcW w:w="415" w:type="pct"/>
                  <w:vMerge w:val="continue"/>
                  <w:vAlign w:val="center"/>
                </w:tcPr>
                <w:p w14:paraId="4A93EB29">
                  <w:pPr>
                    <w:pStyle w:val="154"/>
                    <w:rPr>
                      <w:sz w:val="21"/>
                      <w:szCs w:val="21"/>
                    </w:rPr>
                  </w:pPr>
                </w:p>
              </w:tc>
              <w:tc>
                <w:tcPr>
                  <w:tcW w:w="208" w:type="pct"/>
                  <w:vMerge w:val="continue"/>
                  <w:vAlign w:val="center"/>
                </w:tcPr>
                <w:p w14:paraId="48E3B9B6">
                  <w:pPr>
                    <w:pStyle w:val="154"/>
                    <w:rPr>
                      <w:sz w:val="21"/>
                      <w:szCs w:val="21"/>
                    </w:rPr>
                  </w:pPr>
                </w:p>
              </w:tc>
              <w:tc>
                <w:tcPr>
                  <w:tcW w:w="208" w:type="pct"/>
                  <w:vMerge w:val="continue"/>
                  <w:vAlign w:val="center"/>
                </w:tcPr>
                <w:p w14:paraId="16E11A85">
                  <w:pPr>
                    <w:pStyle w:val="154"/>
                    <w:rPr>
                      <w:sz w:val="21"/>
                      <w:szCs w:val="21"/>
                    </w:rPr>
                  </w:pPr>
                </w:p>
              </w:tc>
              <w:tc>
                <w:tcPr>
                  <w:tcW w:w="260" w:type="pct"/>
                  <w:vMerge w:val="continue"/>
                  <w:vAlign w:val="center"/>
                </w:tcPr>
                <w:p w14:paraId="71BE89B4">
                  <w:pPr>
                    <w:pStyle w:val="154"/>
                    <w:rPr>
                      <w:sz w:val="21"/>
                      <w:szCs w:val="21"/>
                    </w:rPr>
                  </w:pPr>
                </w:p>
              </w:tc>
              <w:tc>
                <w:tcPr>
                  <w:tcW w:w="224" w:type="pct"/>
                  <w:vAlign w:val="center"/>
                </w:tcPr>
                <w:p w14:paraId="4D39242D">
                  <w:pPr>
                    <w:pStyle w:val="154"/>
                    <w:rPr>
                      <w:sz w:val="21"/>
                      <w:szCs w:val="21"/>
                    </w:rPr>
                  </w:pPr>
                  <w:r>
                    <w:rPr>
                      <w:rFonts w:hint="eastAsia"/>
                      <w:sz w:val="21"/>
                      <w:szCs w:val="21"/>
                    </w:rPr>
                    <w:t>W</w:t>
                  </w:r>
                </w:p>
              </w:tc>
              <w:tc>
                <w:tcPr>
                  <w:tcW w:w="225" w:type="pct"/>
                  <w:vAlign w:val="center"/>
                </w:tcPr>
                <w:p w14:paraId="384E6851">
                  <w:pPr>
                    <w:pStyle w:val="154"/>
                    <w:rPr>
                      <w:sz w:val="21"/>
                      <w:szCs w:val="21"/>
                    </w:rPr>
                  </w:pPr>
                  <w:r>
                    <w:rPr>
                      <w:rFonts w:hint="eastAsia"/>
                      <w:sz w:val="21"/>
                      <w:szCs w:val="21"/>
                    </w:rPr>
                    <w:t>19</w:t>
                  </w:r>
                </w:p>
              </w:tc>
              <w:tc>
                <w:tcPr>
                  <w:tcW w:w="309" w:type="pct"/>
                  <w:vAlign w:val="center"/>
                </w:tcPr>
                <w:p w14:paraId="1B9E9CE9">
                  <w:pPr>
                    <w:jc w:val="center"/>
                    <w:rPr>
                      <w:rFonts w:ascii="Times New Roman" w:hAnsi="Times New Roman" w:cs="Times New Roman"/>
                      <w:color w:val="000000"/>
                      <w:sz w:val="21"/>
                      <w:szCs w:val="21"/>
                    </w:rPr>
                  </w:pPr>
                  <w:r>
                    <w:rPr>
                      <w:rFonts w:ascii="Times New Roman" w:hAnsi="Times New Roman" w:cs="Times New Roman"/>
                      <w:color w:val="000000"/>
                      <w:sz w:val="21"/>
                      <w:szCs w:val="21"/>
                    </w:rPr>
                    <w:t>54.42</w:t>
                  </w:r>
                </w:p>
              </w:tc>
              <w:tc>
                <w:tcPr>
                  <w:tcW w:w="258" w:type="pct"/>
                  <w:vMerge w:val="continue"/>
                  <w:vAlign w:val="center"/>
                </w:tcPr>
                <w:p w14:paraId="120ACD77">
                  <w:pPr>
                    <w:pStyle w:val="154"/>
                    <w:rPr>
                      <w:sz w:val="21"/>
                      <w:szCs w:val="21"/>
                    </w:rPr>
                  </w:pPr>
                </w:p>
              </w:tc>
              <w:tc>
                <w:tcPr>
                  <w:tcW w:w="258" w:type="pct"/>
                  <w:vAlign w:val="center"/>
                </w:tcPr>
                <w:p w14:paraId="451ED5CB">
                  <w:pPr>
                    <w:pStyle w:val="154"/>
                    <w:rPr>
                      <w:sz w:val="21"/>
                      <w:szCs w:val="21"/>
                    </w:rPr>
                  </w:pPr>
                  <w:r>
                    <w:rPr>
                      <w:rFonts w:hint="eastAsia"/>
                      <w:sz w:val="21"/>
                      <w:szCs w:val="21"/>
                    </w:rPr>
                    <w:t>20</w:t>
                  </w:r>
                </w:p>
              </w:tc>
              <w:tc>
                <w:tcPr>
                  <w:tcW w:w="257" w:type="pct"/>
                  <w:vAlign w:val="center"/>
                </w:tcPr>
                <w:p w14:paraId="6637720C">
                  <w:pPr>
                    <w:pStyle w:val="154"/>
                    <w:rPr>
                      <w:color w:val="000000"/>
                      <w:sz w:val="21"/>
                      <w:szCs w:val="21"/>
                    </w:rPr>
                  </w:pPr>
                  <w:r>
                    <w:rPr>
                      <w:rFonts w:hint="eastAsia"/>
                      <w:color w:val="000000"/>
                      <w:sz w:val="21"/>
                      <w:szCs w:val="21"/>
                    </w:rPr>
                    <w:t>34.42</w:t>
                  </w:r>
                </w:p>
              </w:tc>
              <w:tc>
                <w:tcPr>
                  <w:tcW w:w="251" w:type="pct"/>
                  <w:vAlign w:val="center"/>
                </w:tcPr>
                <w:p w14:paraId="1E67EE69">
                  <w:pPr>
                    <w:pStyle w:val="154"/>
                    <w:rPr>
                      <w:sz w:val="21"/>
                      <w:szCs w:val="21"/>
                    </w:rPr>
                  </w:pPr>
                  <w:r>
                    <w:rPr>
                      <w:rFonts w:hint="eastAsia"/>
                      <w:sz w:val="21"/>
                      <w:szCs w:val="21"/>
                    </w:rPr>
                    <w:t>1</w:t>
                  </w:r>
                </w:p>
              </w:tc>
            </w:tr>
            <w:tr w14:paraId="76065A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602305D7">
                  <w:pPr>
                    <w:pStyle w:val="154"/>
                    <w:rPr>
                      <w:sz w:val="21"/>
                      <w:szCs w:val="21"/>
                    </w:rPr>
                  </w:pPr>
                </w:p>
              </w:tc>
              <w:tc>
                <w:tcPr>
                  <w:tcW w:w="257" w:type="pct"/>
                  <w:vMerge w:val="continue"/>
                  <w:vAlign w:val="center"/>
                </w:tcPr>
                <w:p w14:paraId="0EABF104">
                  <w:pPr>
                    <w:pStyle w:val="154"/>
                    <w:rPr>
                      <w:sz w:val="21"/>
                      <w:szCs w:val="21"/>
                    </w:rPr>
                  </w:pPr>
                </w:p>
              </w:tc>
              <w:tc>
                <w:tcPr>
                  <w:tcW w:w="566" w:type="pct"/>
                  <w:vMerge w:val="continue"/>
                  <w:vAlign w:val="center"/>
                </w:tcPr>
                <w:p w14:paraId="6E30C316">
                  <w:pPr>
                    <w:pStyle w:val="154"/>
                    <w:rPr>
                      <w:sz w:val="21"/>
                      <w:szCs w:val="21"/>
                    </w:rPr>
                  </w:pPr>
                </w:p>
              </w:tc>
              <w:tc>
                <w:tcPr>
                  <w:tcW w:w="208" w:type="pct"/>
                  <w:vMerge w:val="continue"/>
                  <w:vAlign w:val="center"/>
                </w:tcPr>
                <w:p w14:paraId="6FE6E2CC">
                  <w:pPr>
                    <w:pStyle w:val="154"/>
                    <w:rPr>
                      <w:sz w:val="21"/>
                      <w:szCs w:val="21"/>
                    </w:rPr>
                  </w:pPr>
                </w:p>
              </w:tc>
              <w:tc>
                <w:tcPr>
                  <w:tcW w:w="572" w:type="pct"/>
                  <w:vMerge w:val="continue"/>
                  <w:vAlign w:val="center"/>
                </w:tcPr>
                <w:p w14:paraId="05A341AE">
                  <w:pPr>
                    <w:pStyle w:val="154"/>
                    <w:rPr>
                      <w:sz w:val="21"/>
                      <w:szCs w:val="21"/>
                    </w:rPr>
                  </w:pPr>
                </w:p>
              </w:tc>
              <w:tc>
                <w:tcPr>
                  <w:tcW w:w="364" w:type="pct"/>
                  <w:vMerge w:val="continue"/>
                  <w:vAlign w:val="center"/>
                </w:tcPr>
                <w:p w14:paraId="2D25A15F">
                  <w:pPr>
                    <w:pStyle w:val="154"/>
                    <w:rPr>
                      <w:sz w:val="21"/>
                      <w:szCs w:val="21"/>
                    </w:rPr>
                  </w:pPr>
                </w:p>
              </w:tc>
              <w:tc>
                <w:tcPr>
                  <w:tcW w:w="415" w:type="pct"/>
                  <w:vMerge w:val="continue"/>
                  <w:vAlign w:val="center"/>
                </w:tcPr>
                <w:p w14:paraId="55524132">
                  <w:pPr>
                    <w:pStyle w:val="154"/>
                    <w:rPr>
                      <w:sz w:val="21"/>
                      <w:szCs w:val="21"/>
                    </w:rPr>
                  </w:pPr>
                </w:p>
              </w:tc>
              <w:tc>
                <w:tcPr>
                  <w:tcW w:w="208" w:type="pct"/>
                  <w:vMerge w:val="continue"/>
                  <w:vAlign w:val="center"/>
                </w:tcPr>
                <w:p w14:paraId="3345F8C2">
                  <w:pPr>
                    <w:pStyle w:val="154"/>
                    <w:rPr>
                      <w:sz w:val="21"/>
                      <w:szCs w:val="21"/>
                    </w:rPr>
                  </w:pPr>
                </w:p>
              </w:tc>
              <w:tc>
                <w:tcPr>
                  <w:tcW w:w="208" w:type="pct"/>
                  <w:vMerge w:val="continue"/>
                  <w:vAlign w:val="center"/>
                </w:tcPr>
                <w:p w14:paraId="735C4921">
                  <w:pPr>
                    <w:pStyle w:val="154"/>
                    <w:rPr>
                      <w:sz w:val="21"/>
                      <w:szCs w:val="21"/>
                    </w:rPr>
                  </w:pPr>
                </w:p>
              </w:tc>
              <w:tc>
                <w:tcPr>
                  <w:tcW w:w="260" w:type="pct"/>
                  <w:vMerge w:val="continue"/>
                  <w:vAlign w:val="center"/>
                </w:tcPr>
                <w:p w14:paraId="17DC2AE5">
                  <w:pPr>
                    <w:pStyle w:val="154"/>
                    <w:rPr>
                      <w:sz w:val="21"/>
                      <w:szCs w:val="21"/>
                    </w:rPr>
                  </w:pPr>
                </w:p>
              </w:tc>
              <w:tc>
                <w:tcPr>
                  <w:tcW w:w="224" w:type="pct"/>
                  <w:vAlign w:val="center"/>
                </w:tcPr>
                <w:p w14:paraId="09326958">
                  <w:pPr>
                    <w:pStyle w:val="154"/>
                    <w:rPr>
                      <w:sz w:val="21"/>
                      <w:szCs w:val="21"/>
                    </w:rPr>
                  </w:pPr>
                  <w:r>
                    <w:rPr>
                      <w:sz w:val="21"/>
                      <w:szCs w:val="21"/>
                    </w:rPr>
                    <w:t>S</w:t>
                  </w:r>
                </w:p>
              </w:tc>
              <w:tc>
                <w:tcPr>
                  <w:tcW w:w="225" w:type="pct"/>
                  <w:vAlign w:val="center"/>
                </w:tcPr>
                <w:p w14:paraId="642E997D">
                  <w:pPr>
                    <w:pStyle w:val="154"/>
                    <w:rPr>
                      <w:sz w:val="21"/>
                      <w:szCs w:val="21"/>
                    </w:rPr>
                  </w:pPr>
                  <w:r>
                    <w:rPr>
                      <w:rFonts w:hint="eastAsia"/>
                      <w:sz w:val="21"/>
                      <w:szCs w:val="21"/>
                    </w:rPr>
                    <w:t>4</w:t>
                  </w:r>
                </w:p>
              </w:tc>
              <w:tc>
                <w:tcPr>
                  <w:tcW w:w="309" w:type="pct"/>
                  <w:vAlign w:val="center"/>
                </w:tcPr>
                <w:p w14:paraId="683CAC08">
                  <w:pPr>
                    <w:jc w:val="center"/>
                    <w:rPr>
                      <w:rFonts w:ascii="Times New Roman" w:hAnsi="Times New Roman" w:cs="Times New Roman"/>
                      <w:color w:val="000000"/>
                      <w:sz w:val="21"/>
                      <w:szCs w:val="21"/>
                    </w:rPr>
                  </w:pPr>
                  <w:r>
                    <w:rPr>
                      <w:rFonts w:ascii="Times New Roman" w:hAnsi="Times New Roman" w:cs="Times New Roman"/>
                      <w:color w:val="000000"/>
                      <w:sz w:val="21"/>
                      <w:szCs w:val="21"/>
                    </w:rPr>
                    <w:t>67.96</w:t>
                  </w:r>
                </w:p>
              </w:tc>
              <w:tc>
                <w:tcPr>
                  <w:tcW w:w="258" w:type="pct"/>
                  <w:vMerge w:val="continue"/>
                  <w:vAlign w:val="center"/>
                </w:tcPr>
                <w:p w14:paraId="49E04BA6">
                  <w:pPr>
                    <w:pStyle w:val="154"/>
                    <w:rPr>
                      <w:sz w:val="21"/>
                      <w:szCs w:val="21"/>
                    </w:rPr>
                  </w:pPr>
                </w:p>
              </w:tc>
              <w:tc>
                <w:tcPr>
                  <w:tcW w:w="258" w:type="pct"/>
                  <w:vAlign w:val="center"/>
                </w:tcPr>
                <w:p w14:paraId="65D5D409">
                  <w:pPr>
                    <w:pStyle w:val="154"/>
                    <w:rPr>
                      <w:sz w:val="21"/>
                      <w:szCs w:val="21"/>
                    </w:rPr>
                  </w:pPr>
                  <w:r>
                    <w:rPr>
                      <w:rFonts w:hint="eastAsia"/>
                      <w:sz w:val="21"/>
                      <w:szCs w:val="21"/>
                    </w:rPr>
                    <w:t>20</w:t>
                  </w:r>
                </w:p>
              </w:tc>
              <w:tc>
                <w:tcPr>
                  <w:tcW w:w="257" w:type="pct"/>
                  <w:vAlign w:val="center"/>
                </w:tcPr>
                <w:p w14:paraId="4EC313B0">
                  <w:pPr>
                    <w:pStyle w:val="154"/>
                    <w:rPr>
                      <w:color w:val="000000"/>
                      <w:sz w:val="21"/>
                      <w:szCs w:val="21"/>
                    </w:rPr>
                  </w:pPr>
                  <w:r>
                    <w:rPr>
                      <w:rFonts w:hint="eastAsia"/>
                      <w:color w:val="000000"/>
                      <w:sz w:val="21"/>
                      <w:szCs w:val="21"/>
                    </w:rPr>
                    <w:t>47.96</w:t>
                  </w:r>
                </w:p>
              </w:tc>
              <w:tc>
                <w:tcPr>
                  <w:tcW w:w="251" w:type="pct"/>
                  <w:vAlign w:val="center"/>
                </w:tcPr>
                <w:p w14:paraId="7FE5028B">
                  <w:pPr>
                    <w:pStyle w:val="154"/>
                    <w:rPr>
                      <w:sz w:val="21"/>
                      <w:szCs w:val="21"/>
                    </w:rPr>
                  </w:pPr>
                  <w:r>
                    <w:rPr>
                      <w:rFonts w:hint="eastAsia"/>
                      <w:sz w:val="21"/>
                      <w:szCs w:val="21"/>
                    </w:rPr>
                    <w:t>1</w:t>
                  </w:r>
                </w:p>
              </w:tc>
            </w:tr>
            <w:tr w14:paraId="63120D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0757668F">
                  <w:pPr>
                    <w:pStyle w:val="154"/>
                    <w:rPr>
                      <w:sz w:val="21"/>
                      <w:szCs w:val="21"/>
                    </w:rPr>
                  </w:pPr>
                </w:p>
              </w:tc>
              <w:tc>
                <w:tcPr>
                  <w:tcW w:w="257" w:type="pct"/>
                  <w:vMerge w:val="continue"/>
                  <w:vAlign w:val="center"/>
                </w:tcPr>
                <w:p w14:paraId="22BE777A">
                  <w:pPr>
                    <w:pStyle w:val="154"/>
                    <w:rPr>
                      <w:sz w:val="21"/>
                      <w:szCs w:val="21"/>
                    </w:rPr>
                  </w:pPr>
                </w:p>
              </w:tc>
              <w:tc>
                <w:tcPr>
                  <w:tcW w:w="566" w:type="pct"/>
                  <w:vMerge w:val="continue"/>
                  <w:vAlign w:val="center"/>
                </w:tcPr>
                <w:p w14:paraId="2C1D8497">
                  <w:pPr>
                    <w:pStyle w:val="154"/>
                    <w:rPr>
                      <w:sz w:val="21"/>
                      <w:szCs w:val="21"/>
                    </w:rPr>
                  </w:pPr>
                </w:p>
              </w:tc>
              <w:tc>
                <w:tcPr>
                  <w:tcW w:w="208" w:type="pct"/>
                  <w:vMerge w:val="continue"/>
                  <w:vAlign w:val="center"/>
                </w:tcPr>
                <w:p w14:paraId="0AB52BF0">
                  <w:pPr>
                    <w:pStyle w:val="154"/>
                    <w:rPr>
                      <w:sz w:val="21"/>
                      <w:szCs w:val="21"/>
                    </w:rPr>
                  </w:pPr>
                </w:p>
              </w:tc>
              <w:tc>
                <w:tcPr>
                  <w:tcW w:w="572" w:type="pct"/>
                  <w:vMerge w:val="continue"/>
                  <w:vAlign w:val="center"/>
                </w:tcPr>
                <w:p w14:paraId="7E7CEAB4">
                  <w:pPr>
                    <w:pStyle w:val="154"/>
                    <w:rPr>
                      <w:sz w:val="21"/>
                      <w:szCs w:val="21"/>
                    </w:rPr>
                  </w:pPr>
                </w:p>
              </w:tc>
              <w:tc>
                <w:tcPr>
                  <w:tcW w:w="364" w:type="pct"/>
                  <w:vMerge w:val="continue"/>
                  <w:vAlign w:val="center"/>
                </w:tcPr>
                <w:p w14:paraId="62D85724">
                  <w:pPr>
                    <w:pStyle w:val="154"/>
                    <w:rPr>
                      <w:sz w:val="21"/>
                      <w:szCs w:val="21"/>
                    </w:rPr>
                  </w:pPr>
                </w:p>
              </w:tc>
              <w:tc>
                <w:tcPr>
                  <w:tcW w:w="415" w:type="pct"/>
                  <w:vMerge w:val="continue"/>
                  <w:vAlign w:val="center"/>
                </w:tcPr>
                <w:p w14:paraId="4DAA6A51">
                  <w:pPr>
                    <w:pStyle w:val="154"/>
                    <w:rPr>
                      <w:sz w:val="21"/>
                      <w:szCs w:val="21"/>
                    </w:rPr>
                  </w:pPr>
                </w:p>
              </w:tc>
              <w:tc>
                <w:tcPr>
                  <w:tcW w:w="208" w:type="pct"/>
                  <w:vMerge w:val="continue"/>
                  <w:vAlign w:val="center"/>
                </w:tcPr>
                <w:p w14:paraId="28535CBC">
                  <w:pPr>
                    <w:pStyle w:val="154"/>
                    <w:rPr>
                      <w:sz w:val="21"/>
                      <w:szCs w:val="21"/>
                    </w:rPr>
                  </w:pPr>
                </w:p>
              </w:tc>
              <w:tc>
                <w:tcPr>
                  <w:tcW w:w="208" w:type="pct"/>
                  <w:vMerge w:val="continue"/>
                  <w:vAlign w:val="center"/>
                </w:tcPr>
                <w:p w14:paraId="2B9F02B8">
                  <w:pPr>
                    <w:pStyle w:val="154"/>
                    <w:rPr>
                      <w:sz w:val="21"/>
                      <w:szCs w:val="21"/>
                    </w:rPr>
                  </w:pPr>
                </w:p>
              </w:tc>
              <w:tc>
                <w:tcPr>
                  <w:tcW w:w="260" w:type="pct"/>
                  <w:vMerge w:val="continue"/>
                  <w:vAlign w:val="center"/>
                </w:tcPr>
                <w:p w14:paraId="0A652DCA">
                  <w:pPr>
                    <w:pStyle w:val="154"/>
                    <w:rPr>
                      <w:sz w:val="21"/>
                      <w:szCs w:val="21"/>
                    </w:rPr>
                  </w:pPr>
                </w:p>
              </w:tc>
              <w:tc>
                <w:tcPr>
                  <w:tcW w:w="224" w:type="pct"/>
                  <w:vAlign w:val="center"/>
                </w:tcPr>
                <w:p w14:paraId="7BCFF9D5">
                  <w:pPr>
                    <w:pStyle w:val="154"/>
                    <w:rPr>
                      <w:sz w:val="21"/>
                      <w:szCs w:val="21"/>
                    </w:rPr>
                  </w:pPr>
                  <w:r>
                    <w:rPr>
                      <w:sz w:val="21"/>
                      <w:szCs w:val="21"/>
                    </w:rPr>
                    <w:t>N</w:t>
                  </w:r>
                </w:p>
              </w:tc>
              <w:tc>
                <w:tcPr>
                  <w:tcW w:w="225" w:type="pct"/>
                  <w:vAlign w:val="center"/>
                </w:tcPr>
                <w:p w14:paraId="4EABF225">
                  <w:pPr>
                    <w:pStyle w:val="154"/>
                    <w:rPr>
                      <w:sz w:val="21"/>
                      <w:szCs w:val="21"/>
                    </w:rPr>
                  </w:pPr>
                  <w:r>
                    <w:rPr>
                      <w:rFonts w:hint="eastAsia"/>
                      <w:sz w:val="21"/>
                      <w:szCs w:val="21"/>
                    </w:rPr>
                    <w:t>28</w:t>
                  </w:r>
                </w:p>
              </w:tc>
              <w:tc>
                <w:tcPr>
                  <w:tcW w:w="309" w:type="pct"/>
                  <w:vAlign w:val="center"/>
                </w:tcPr>
                <w:p w14:paraId="52CBFE0C">
                  <w:pPr>
                    <w:jc w:val="center"/>
                    <w:rPr>
                      <w:rFonts w:ascii="Times New Roman" w:hAnsi="Times New Roman" w:cs="Times New Roman"/>
                      <w:color w:val="000000"/>
                      <w:sz w:val="21"/>
                      <w:szCs w:val="21"/>
                    </w:rPr>
                  </w:pPr>
                  <w:r>
                    <w:rPr>
                      <w:rFonts w:ascii="Times New Roman" w:hAnsi="Times New Roman" w:cs="Times New Roman"/>
                      <w:color w:val="000000"/>
                      <w:sz w:val="21"/>
                      <w:szCs w:val="21"/>
                    </w:rPr>
                    <w:t>51.06</w:t>
                  </w:r>
                </w:p>
              </w:tc>
              <w:tc>
                <w:tcPr>
                  <w:tcW w:w="258" w:type="pct"/>
                  <w:vMerge w:val="continue"/>
                  <w:vAlign w:val="center"/>
                </w:tcPr>
                <w:p w14:paraId="1C0802C6">
                  <w:pPr>
                    <w:pStyle w:val="154"/>
                    <w:rPr>
                      <w:sz w:val="21"/>
                      <w:szCs w:val="21"/>
                    </w:rPr>
                  </w:pPr>
                </w:p>
              </w:tc>
              <w:tc>
                <w:tcPr>
                  <w:tcW w:w="258" w:type="pct"/>
                  <w:vAlign w:val="center"/>
                </w:tcPr>
                <w:p w14:paraId="37AF17A6">
                  <w:pPr>
                    <w:pStyle w:val="154"/>
                    <w:rPr>
                      <w:sz w:val="21"/>
                      <w:szCs w:val="21"/>
                    </w:rPr>
                  </w:pPr>
                  <w:r>
                    <w:rPr>
                      <w:rFonts w:hint="eastAsia"/>
                      <w:sz w:val="21"/>
                      <w:szCs w:val="21"/>
                    </w:rPr>
                    <w:t>20</w:t>
                  </w:r>
                </w:p>
              </w:tc>
              <w:tc>
                <w:tcPr>
                  <w:tcW w:w="257" w:type="pct"/>
                  <w:vAlign w:val="center"/>
                </w:tcPr>
                <w:p w14:paraId="2A225F8D">
                  <w:pPr>
                    <w:pStyle w:val="154"/>
                    <w:rPr>
                      <w:color w:val="000000"/>
                      <w:sz w:val="21"/>
                      <w:szCs w:val="21"/>
                    </w:rPr>
                  </w:pPr>
                  <w:r>
                    <w:rPr>
                      <w:rFonts w:hint="eastAsia"/>
                      <w:color w:val="000000"/>
                      <w:sz w:val="21"/>
                      <w:szCs w:val="21"/>
                    </w:rPr>
                    <w:t>31.06</w:t>
                  </w:r>
                </w:p>
              </w:tc>
              <w:tc>
                <w:tcPr>
                  <w:tcW w:w="251" w:type="pct"/>
                  <w:vAlign w:val="center"/>
                </w:tcPr>
                <w:p w14:paraId="43F8C4E2">
                  <w:pPr>
                    <w:pStyle w:val="154"/>
                    <w:rPr>
                      <w:sz w:val="21"/>
                      <w:szCs w:val="21"/>
                    </w:rPr>
                  </w:pPr>
                  <w:r>
                    <w:rPr>
                      <w:rFonts w:hint="eastAsia"/>
                      <w:sz w:val="21"/>
                      <w:szCs w:val="21"/>
                    </w:rPr>
                    <w:t>1</w:t>
                  </w:r>
                </w:p>
              </w:tc>
            </w:tr>
            <w:tr w14:paraId="0DC47C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restart"/>
                  <w:vAlign w:val="center"/>
                </w:tcPr>
                <w:p w14:paraId="30468830">
                  <w:pPr>
                    <w:pStyle w:val="154"/>
                    <w:rPr>
                      <w:sz w:val="21"/>
                      <w:szCs w:val="21"/>
                    </w:rPr>
                  </w:pPr>
                  <w:r>
                    <w:rPr>
                      <w:rFonts w:hint="eastAsia"/>
                      <w:sz w:val="21"/>
                      <w:szCs w:val="21"/>
                    </w:rPr>
                    <w:t>14</w:t>
                  </w:r>
                </w:p>
              </w:tc>
              <w:tc>
                <w:tcPr>
                  <w:tcW w:w="257" w:type="pct"/>
                  <w:vMerge w:val="continue"/>
                  <w:vAlign w:val="center"/>
                </w:tcPr>
                <w:p w14:paraId="50992556">
                  <w:pPr>
                    <w:pStyle w:val="154"/>
                    <w:rPr>
                      <w:sz w:val="21"/>
                      <w:szCs w:val="21"/>
                    </w:rPr>
                  </w:pPr>
                </w:p>
              </w:tc>
              <w:tc>
                <w:tcPr>
                  <w:tcW w:w="566" w:type="pct"/>
                  <w:vMerge w:val="restart"/>
                  <w:vAlign w:val="center"/>
                </w:tcPr>
                <w:p w14:paraId="0FCE349E">
                  <w:pPr>
                    <w:pStyle w:val="154"/>
                    <w:rPr>
                      <w:sz w:val="21"/>
                      <w:szCs w:val="21"/>
                    </w:rPr>
                  </w:pPr>
                  <w:r>
                    <w:rPr>
                      <w:sz w:val="21"/>
                      <w:szCs w:val="21"/>
                    </w:rPr>
                    <w:t>破碎机</w:t>
                  </w:r>
                  <w:r>
                    <w:rPr>
                      <w:rFonts w:hint="eastAsia"/>
                      <w:sz w:val="21"/>
                      <w:szCs w:val="21"/>
                    </w:rPr>
                    <w:t>3#</w:t>
                  </w:r>
                </w:p>
              </w:tc>
              <w:tc>
                <w:tcPr>
                  <w:tcW w:w="208" w:type="pct"/>
                  <w:vMerge w:val="restart"/>
                  <w:vAlign w:val="center"/>
                </w:tcPr>
                <w:p w14:paraId="72D52C03">
                  <w:pPr>
                    <w:pStyle w:val="154"/>
                    <w:rPr>
                      <w:sz w:val="21"/>
                      <w:szCs w:val="21"/>
                    </w:rPr>
                  </w:pPr>
                  <w:r>
                    <w:rPr>
                      <w:rFonts w:hint="eastAsia"/>
                      <w:sz w:val="21"/>
                      <w:szCs w:val="21"/>
                    </w:rPr>
                    <w:t>/</w:t>
                  </w:r>
                </w:p>
              </w:tc>
              <w:tc>
                <w:tcPr>
                  <w:tcW w:w="572" w:type="pct"/>
                  <w:vMerge w:val="restart"/>
                  <w:vAlign w:val="center"/>
                </w:tcPr>
                <w:p w14:paraId="1E6D770D">
                  <w:pPr>
                    <w:pStyle w:val="154"/>
                    <w:rPr>
                      <w:sz w:val="21"/>
                      <w:szCs w:val="21"/>
                    </w:rPr>
                  </w:pPr>
                  <w:r>
                    <w:rPr>
                      <w:rFonts w:hint="eastAsia"/>
                      <w:sz w:val="21"/>
                      <w:szCs w:val="21"/>
                    </w:rPr>
                    <w:t>/</w:t>
                  </w:r>
                </w:p>
              </w:tc>
              <w:tc>
                <w:tcPr>
                  <w:tcW w:w="364" w:type="pct"/>
                  <w:vMerge w:val="restart"/>
                  <w:vAlign w:val="center"/>
                </w:tcPr>
                <w:p w14:paraId="55C4C5A8">
                  <w:pPr>
                    <w:pStyle w:val="154"/>
                    <w:rPr>
                      <w:sz w:val="21"/>
                      <w:szCs w:val="21"/>
                    </w:rPr>
                  </w:pPr>
                  <w:r>
                    <w:rPr>
                      <w:rFonts w:hint="eastAsia"/>
                      <w:sz w:val="21"/>
                      <w:szCs w:val="21"/>
                    </w:rPr>
                    <w:t>80</w:t>
                  </w:r>
                </w:p>
              </w:tc>
              <w:tc>
                <w:tcPr>
                  <w:tcW w:w="415" w:type="pct"/>
                  <w:vMerge w:val="continue"/>
                  <w:vAlign w:val="center"/>
                </w:tcPr>
                <w:p w14:paraId="39A471F1">
                  <w:pPr>
                    <w:pStyle w:val="154"/>
                    <w:rPr>
                      <w:sz w:val="21"/>
                      <w:szCs w:val="21"/>
                    </w:rPr>
                  </w:pPr>
                </w:p>
              </w:tc>
              <w:tc>
                <w:tcPr>
                  <w:tcW w:w="208" w:type="pct"/>
                  <w:vMerge w:val="restart"/>
                  <w:vAlign w:val="center"/>
                </w:tcPr>
                <w:p w14:paraId="6473140B">
                  <w:pPr>
                    <w:pStyle w:val="154"/>
                    <w:rPr>
                      <w:sz w:val="21"/>
                      <w:szCs w:val="21"/>
                    </w:rPr>
                  </w:pPr>
                  <w:r>
                    <w:rPr>
                      <w:rFonts w:hint="eastAsia"/>
                      <w:sz w:val="21"/>
                      <w:szCs w:val="21"/>
                    </w:rPr>
                    <w:t>15</w:t>
                  </w:r>
                </w:p>
              </w:tc>
              <w:tc>
                <w:tcPr>
                  <w:tcW w:w="208" w:type="pct"/>
                  <w:vMerge w:val="restart"/>
                  <w:vAlign w:val="center"/>
                </w:tcPr>
                <w:p w14:paraId="30F1F23D">
                  <w:pPr>
                    <w:pStyle w:val="154"/>
                    <w:rPr>
                      <w:sz w:val="21"/>
                      <w:szCs w:val="21"/>
                    </w:rPr>
                  </w:pPr>
                  <w:r>
                    <w:rPr>
                      <w:rFonts w:hint="eastAsia"/>
                      <w:sz w:val="21"/>
                      <w:szCs w:val="21"/>
                    </w:rPr>
                    <w:t>4</w:t>
                  </w:r>
                </w:p>
              </w:tc>
              <w:tc>
                <w:tcPr>
                  <w:tcW w:w="260" w:type="pct"/>
                  <w:vMerge w:val="restart"/>
                  <w:vAlign w:val="center"/>
                </w:tcPr>
                <w:p w14:paraId="110C6C2D">
                  <w:pPr>
                    <w:pStyle w:val="154"/>
                    <w:rPr>
                      <w:sz w:val="21"/>
                      <w:szCs w:val="21"/>
                    </w:rPr>
                  </w:pPr>
                  <w:r>
                    <w:rPr>
                      <w:rFonts w:hint="eastAsia"/>
                      <w:sz w:val="21"/>
                      <w:szCs w:val="21"/>
                    </w:rPr>
                    <w:t>1</w:t>
                  </w:r>
                </w:p>
              </w:tc>
              <w:tc>
                <w:tcPr>
                  <w:tcW w:w="224" w:type="pct"/>
                  <w:vAlign w:val="center"/>
                </w:tcPr>
                <w:p w14:paraId="79E1DF4D">
                  <w:pPr>
                    <w:pStyle w:val="154"/>
                    <w:rPr>
                      <w:sz w:val="21"/>
                      <w:szCs w:val="21"/>
                    </w:rPr>
                  </w:pPr>
                  <w:r>
                    <w:rPr>
                      <w:sz w:val="21"/>
                      <w:szCs w:val="21"/>
                    </w:rPr>
                    <w:t>E</w:t>
                  </w:r>
                </w:p>
              </w:tc>
              <w:tc>
                <w:tcPr>
                  <w:tcW w:w="225" w:type="pct"/>
                  <w:vAlign w:val="center"/>
                </w:tcPr>
                <w:p w14:paraId="33E671F0">
                  <w:pPr>
                    <w:pStyle w:val="154"/>
                    <w:rPr>
                      <w:sz w:val="21"/>
                      <w:szCs w:val="21"/>
                    </w:rPr>
                  </w:pPr>
                  <w:r>
                    <w:rPr>
                      <w:rFonts w:hint="eastAsia"/>
                      <w:sz w:val="21"/>
                      <w:szCs w:val="21"/>
                    </w:rPr>
                    <w:t>21</w:t>
                  </w:r>
                </w:p>
              </w:tc>
              <w:tc>
                <w:tcPr>
                  <w:tcW w:w="309" w:type="pct"/>
                  <w:vAlign w:val="center"/>
                </w:tcPr>
                <w:p w14:paraId="0C587AB4">
                  <w:pPr>
                    <w:jc w:val="center"/>
                    <w:rPr>
                      <w:rFonts w:ascii="Times New Roman" w:hAnsi="Times New Roman" w:cs="Times New Roman"/>
                      <w:color w:val="000000"/>
                      <w:sz w:val="21"/>
                      <w:szCs w:val="21"/>
                    </w:rPr>
                  </w:pPr>
                  <w:r>
                    <w:rPr>
                      <w:rFonts w:ascii="Times New Roman" w:hAnsi="Times New Roman" w:cs="Times New Roman"/>
                      <w:color w:val="000000"/>
                      <w:sz w:val="21"/>
                      <w:szCs w:val="21"/>
                    </w:rPr>
                    <w:t>53.56</w:t>
                  </w:r>
                </w:p>
              </w:tc>
              <w:tc>
                <w:tcPr>
                  <w:tcW w:w="258" w:type="pct"/>
                  <w:vMerge w:val="restart"/>
                  <w:vAlign w:val="center"/>
                </w:tcPr>
                <w:p w14:paraId="36963C2F">
                  <w:pPr>
                    <w:pStyle w:val="154"/>
                    <w:rPr>
                      <w:sz w:val="21"/>
                      <w:szCs w:val="21"/>
                    </w:rPr>
                  </w:pPr>
                  <w:r>
                    <w:rPr>
                      <w:rFonts w:hint="eastAsia"/>
                      <w:sz w:val="21"/>
                      <w:szCs w:val="21"/>
                    </w:rPr>
                    <w:t>昼间</w:t>
                  </w:r>
                </w:p>
              </w:tc>
              <w:tc>
                <w:tcPr>
                  <w:tcW w:w="258" w:type="pct"/>
                  <w:vAlign w:val="center"/>
                </w:tcPr>
                <w:p w14:paraId="7E9FD936">
                  <w:pPr>
                    <w:pStyle w:val="154"/>
                    <w:rPr>
                      <w:sz w:val="21"/>
                      <w:szCs w:val="21"/>
                    </w:rPr>
                  </w:pPr>
                  <w:r>
                    <w:rPr>
                      <w:rFonts w:hint="eastAsia"/>
                      <w:sz w:val="21"/>
                      <w:szCs w:val="21"/>
                    </w:rPr>
                    <w:t>20</w:t>
                  </w:r>
                </w:p>
              </w:tc>
              <w:tc>
                <w:tcPr>
                  <w:tcW w:w="257" w:type="pct"/>
                  <w:vAlign w:val="center"/>
                </w:tcPr>
                <w:p w14:paraId="6939A4D3">
                  <w:pPr>
                    <w:pStyle w:val="154"/>
                    <w:rPr>
                      <w:color w:val="000000"/>
                      <w:sz w:val="21"/>
                      <w:szCs w:val="21"/>
                    </w:rPr>
                  </w:pPr>
                  <w:r>
                    <w:rPr>
                      <w:rFonts w:hint="eastAsia"/>
                      <w:color w:val="000000"/>
                      <w:sz w:val="21"/>
                      <w:szCs w:val="21"/>
                    </w:rPr>
                    <w:t>33.56</w:t>
                  </w:r>
                </w:p>
              </w:tc>
              <w:tc>
                <w:tcPr>
                  <w:tcW w:w="251" w:type="pct"/>
                  <w:vAlign w:val="center"/>
                </w:tcPr>
                <w:p w14:paraId="24B10F62">
                  <w:pPr>
                    <w:pStyle w:val="154"/>
                    <w:rPr>
                      <w:sz w:val="21"/>
                      <w:szCs w:val="21"/>
                    </w:rPr>
                  </w:pPr>
                  <w:r>
                    <w:rPr>
                      <w:rFonts w:hint="eastAsia"/>
                      <w:sz w:val="21"/>
                      <w:szCs w:val="21"/>
                    </w:rPr>
                    <w:t>1</w:t>
                  </w:r>
                </w:p>
              </w:tc>
            </w:tr>
            <w:tr w14:paraId="4B6774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009F319A">
                  <w:pPr>
                    <w:pStyle w:val="154"/>
                    <w:rPr>
                      <w:sz w:val="21"/>
                      <w:szCs w:val="21"/>
                    </w:rPr>
                  </w:pPr>
                </w:p>
              </w:tc>
              <w:tc>
                <w:tcPr>
                  <w:tcW w:w="257" w:type="pct"/>
                  <w:vMerge w:val="continue"/>
                  <w:vAlign w:val="center"/>
                </w:tcPr>
                <w:p w14:paraId="73B55375">
                  <w:pPr>
                    <w:pStyle w:val="154"/>
                    <w:rPr>
                      <w:sz w:val="21"/>
                      <w:szCs w:val="21"/>
                    </w:rPr>
                  </w:pPr>
                </w:p>
              </w:tc>
              <w:tc>
                <w:tcPr>
                  <w:tcW w:w="566" w:type="pct"/>
                  <w:vMerge w:val="continue"/>
                  <w:vAlign w:val="center"/>
                </w:tcPr>
                <w:p w14:paraId="73955127">
                  <w:pPr>
                    <w:pStyle w:val="154"/>
                    <w:rPr>
                      <w:sz w:val="21"/>
                      <w:szCs w:val="21"/>
                    </w:rPr>
                  </w:pPr>
                </w:p>
              </w:tc>
              <w:tc>
                <w:tcPr>
                  <w:tcW w:w="208" w:type="pct"/>
                  <w:vMerge w:val="continue"/>
                  <w:vAlign w:val="center"/>
                </w:tcPr>
                <w:p w14:paraId="2B94B9A8">
                  <w:pPr>
                    <w:pStyle w:val="154"/>
                    <w:rPr>
                      <w:sz w:val="21"/>
                      <w:szCs w:val="21"/>
                    </w:rPr>
                  </w:pPr>
                </w:p>
              </w:tc>
              <w:tc>
                <w:tcPr>
                  <w:tcW w:w="572" w:type="pct"/>
                  <w:vMerge w:val="continue"/>
                  <w:vAlign w:val="center"/>
                </w:tcPr>
                <w:p w14:paraId="7D4283C8">
                  <w:pPr>
                    <w:pStyle w:val="154"/>
                    <w:rPr>
                      <w:sz w:val="21"/>
                      <w:szCs w:val="21"/>
                    </w:rPr>
                  </w:pPr>
                </w:p>
              </w:tc>
              <w:tc>
                <w:tcPr>
                  <w:tcW w:w="364" w:type="pct"/>
                  <w:vMerge w:val="continue"/>
                  <w:vAlign w:val="center"/>
                </w:tcPr>
                <w:p w14:paraId="12271FF9">
                  <w:pPr>
                    <w:pStyle w:val="154"/>
                    <w:rPr>
                      <w:sz w:val="21"/>
                      <w:szCs w:val="21"/>
                    </w:rPr>
                  </w:pPr>
                </w:p>
              </w:tc>
              <w:tc>
                <w:tcPr>
                  <w:tcW w:w="415" w:type="pct"/>
                  <w:vMerge w:val="continue"/>
                  <w:vAlign w:val="center"/>
                </w:tcPr>
                <w:p w14:paraId="4D443575">
                  <w:pPr>
                    <w:pStyle w:val="154"/>
                    <w:rPr>
                      <w:sz w:val="21"/>
                      <w:szCs w:val="21"/>
                    </w:rPr>
                  </w:pPr>
                </w:p>
              </w:tc>
              <w:tc>
                <w:tcPr>
                  <w:tcW w:w="208" w:type="pct"/>
                  <w:vMerge w:val="continue"/>
                  <w:vAlign w:val="center"/>
                </w:tcPr>
                <w:p w14:paraId="26800C58">
                  <w:pPr>
                    <w:pStyle w:val="154"/>
                    <w:rPr>
                      <w:sz w:val="21"/>
                      <w:szCs w:val="21"/>
                    </w:rPr>
                  </w:pPr>
                </w:p>
              </w:tc>
              <w:tc>
                <w:tcPr>
                  <w:tcW w:w="208" w:type="pct"/>
                  <w:vMerge w:val="continue"/>
                  <w:vAlign w:val="center"/>
                </w:tcPr>
                <w:p w14:paraId="3197DD14">
                  <w:pPr>
                    <w:pStyle w:val="154"/>
                    <w:rPr>
                      <w:sz w:val="21"/>
                      <w:szCs w:val="21"/>
                    </w:rPr>
                  </w:pPr>
                </w:p>
              </w:tc>
              <w:tc>
                <w:tcPr>
                  <w:tcW w:w="260" w:type="pct"/>
                  <w:vMerge w:val="continue"/>
                  <w:vAlign w:val="center"/>
                </w:tcPr>
                <w:p w14:paraId="4794D117">
                  <w:pPr>
                    <w:pStyle w:val="154"/>
                    <w:rPr>
                      <w:sz w:val="21"/>
                      <w:szCs w:val="21"/>
                    </w:rPr>
                  </w:pPr>
                </w:p>
              </w:tc>
              <w:tc>
                <w:tcPr>
                  <w:tcW w:w="224" w:type="pct"/>
                  <w:vAlign w:val="center"/>
                </w:tcPr>
                <w:p w14:paraId="0EE745E5">
                  <w:pPr>
                    <w:pStyle w:val="154"/>
                    <w:rPr>
                      <w:sz w:val="21"/>
                      <w:szCs w:val="21"/>
                    </w:rPr>
                  </w:pPr>
                  <w:r>
                    <w:rPr>
                      <w:rFonts w:hint="eastAsia"/>
                      <w:sz w:val="21"/>
                      <w:szCs w:val="21"/>
                    </w:rPr>
                    <w:t>W</w:t>
                  </w:r>
                </w:p>
              </w:tc>
              <w:tc>
                <w:tcPr>
                  <w:tcW w:w="225" w:type="pct"/>
                  <w:vAlign w:val="center"/>
                </w:tcPr>
                <w:p w14:paraId="2EB4A87F">
                  <w:pPr>
                    <w:pStyle w:val="154"/>
                    <w:rPr>
                      <w:sz w:val="21"/>
                      <w:szCs w:val="21"/>
                    </w:rPr>
                  </w:pPr>
                  <w:r>
                    <w:rPr>
                      <w:rFonts w:hint="eastAsia"/>
                      <w:sz w:val="21"/>
                      <w:szCs w:val="21"/>
                    </w:rPr>
                    <w:t>15</w:t>
                  </w:r>
                </w:p>
              </w:tc>
              <w:tc>
                <w:tcPr>
                  <w:tcW w:w="309" w:type="pct"/>
                  <w:vAlign w:val="center"/>
                </w:tcPr>
                <w:p w14:paraId="6B47AF1C">
                  <w:pPr>
                    <w:jc w:val="center"/>
                    <w:rPr>
                      <w:rFonts w:ascii="Times New Roman" w:hAnsi="Times New Roman" w:cs="Times New Roman"/>
                      <w:color w:val="000000"/>
                      <w:sz w:val="21"/>
                      <w:szCs w:val="21"/>
                    </w:rPr>
                  </w:pPr>
                  <w:r>
                    <w:rPr>
                      <w:rFonts w:ascii="Times New Roman" w:hAnsi="Times New Roman" w:cs="Times New Roman"/>
                      <w:color w:val="000000"/>
                      <w:sz w:val="21"/>
                      <w:szCs w:val="21"/>
                    </w:rPr>
                    <w:t>56.48</w:t>
                  </w:r>
                </w:p>
              </w:tc>
              <w:tc>
                <w:tcPr>
                  <w:tcW w:w="258" w:type="pct"/>
                  <w:vMerge w:val="continue"/>
                  <w:vAlign w:val="center"/>
                </w:tcPr>
                <w:p w14:paraId="21D4AD25">
                  <w:pPr>
                    <w:pStyle w:val="154"/>
                    <w:rPr>
                      <w:sz w:val="21"/>
                      <w:szCs w:val="21"/>
                    </w:rPr>
                  </w:pPr>
                </w:p>
              </w:tc>
              <w:tc>
                <w:tcPr>
                  <w:tcW w:w="258" w:type="pct"/>
                  <w:vAlign w:val="center"/>
                </w:tcPr>
                <w:p w14:paraId="2EE5058E">
                  <w:pPr>
                    <w:pStyle w:val="154"/>
                    <w:rPr>
                      <w:sz w:val="21"/>
                      <w:szCs w:val="21"/>
                    </w:rPr>
                  </w:pPr>
                  <w:r>
                    <w:rPr>
                      <w:rFonts w:hint="eastAsia"/>
                      <w:sz w:val="21"/>
                      <w:szCs w:val="21"/>
                    </w:rPr>
                    <w:t>20</w:t>
                  </w:r>
                </w:p>
              </w:tc>
              <w:tc>
                <w:tcPr>
                  <w:tcW w:w="257" w:type="pct"/>
                  <w:vAlign w:val="center"/>
                </w:tcPr>
                <w:p w14:paraId="79E41CE3">
                  <w:pPr>
                    <w:pStyle w:val="154"/>
                    <w:rPr>
                      <w:color w:val="000000"/>
                      <w:sz w:val="21"/>
                      <w:szCs w:val="21"/>
                    </w:rPr>
                  </w:pPr>
                  <w:r>
                    <w:rPr>
                      <w:rFonts w:hint="eastAsia"/>
                      <w:color w:val="000000"/>
                      <w:sz w:val="21"/>
                      <w:szCs w:val="21"/>
                    </w:rPr>
                    <w:t>36.48</w:t>
                  </w:r>
                </w:p>
              </w:tc>
              <w:tc>
                <w:tcPr>
                  <w:tcW w:w="251" w:type="pct"/>
                  <w:vAlign w:val="center"/>
                </w:tcPr>
                <w:p w14:paraId="0F20D85B">
                  <w:pPr>
                    <w:pStyle w:val="154"/>
                    <w:rPr>
                      <w:sz w:val="21"/>
                      <w:szCs w:val="21"/>
                    </w:rPr>
                  </w:pPr>
                  <w:r>
                    <w:rPr>
                      <w:rFonts w:hint="eastAsia"/>
                      <w:sz w:val="21"/>
                      <w:szCs w:val="21"/>
                    </w:rPr>
                    <w:t>1</w:t>
                  </w:r>
                </w:p>
              </w:tc>
            </w:tr>
            <w:tr w14:paraId="510863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1922B5B4">
                  <w:pPr>
                    <w:pStyle w:val="154"/>
                    <w:rPr>
                      <w:sz w:val="21"/>
                      <w:szCs w:val="21"/>
                    </w:rPr>
                  </w:pPr>
                </w:p>
              </w:tc>
              <w:tc>
                <w:tcPr>
                  <w:tcW w:w="257" w:type="pct"/>
                  <w:vMerge w:val="continue"/>
                  <w:vAlign w:val="center"/>
                </w:tcPr>
                <w:p w14:paraId="4D5D5937">
                  <w:pPr>
                    <w:pStyle w:val="154"/>
                    <w:rPr>
                      <w:sz w:val="21"/>
                      <w:szCs w:val="21"/>
                    </w:rPr>
                  </w:pPr>
                </w:p>
              </w:tc>
              <w:tc>
                <w:tcPr>
                  <w:tcW w:w="566" w:type="pct"/>
                  <w:vMerge w:val="continue"/>
                  <w:vAlign w:val="center"/>
                </w:tcPr>
                <w:p w14:paraId="178319D0">
                  <w:pPr>
                    <w:pStyle w:val="154"/>
                    <w:rPr>
                      <w:sz w:val="21"/>
                      <w:szCs w:val="21"/>
                    </w:rPr>
                  </w:pPr>
                </w:p>
              </w:tc>
              <w:tc>
                <w:tcPr>
                  <w:tcW w:w="208" w:type="pct"/>
                  <w:vMerge w:val="continue"/>
                  <w:vAlign w:val="center"/>
                </w:tcPr>
                <w:p w14:paraId="2577FBD0">
                  <w:pPr>
                    <w:pStyle w:val="154"/>
                    <w:rPr>
                      <w:sz w:val="21"/>
                      <w:szCs w:val="21"/>
                    </w:rPr>
                  </w:pPr>
                </w:p>
              </w:tc>
              <w:tc>
                <w:tcPr>
                  <w:tcW w:w="572" w:type="pct"/>
                  <w:vMerge w:val="continue"/>
                  <w:vAlign w:val="center"/>
                </w:tcPr>
                <w:p w14:paraId="7B5FEE44">
                  <w:pPr>
                    <w:pStyle w:val="154"/>
                    <w:rPr>
                      <w:sz w:val="21"/>
                      <w:szCs w:val="21"/>
                    </w:rPr>
                  </w:pPr>
                </w:p>
              </w:tc>
              <w:tc>
                <w:tcPr>
                  <w:tcW w:w="364" w:type="pct"/>
                  <w:vMerge w:val="continue"/>
                  <w:vAlign w:val="center"/>
                </w:tcPr>
                <w:p w14:paraId="2933644F">
                  <w:pPr>
                    <w:pStyle w:val="154"/>
                    <w:rPr>
                      <w:sz w:val="21"/>
                      <w:szCs w:val="21"/>
                    </w:rPr>
                  </w:pPr>
                </w:p>
              </w:tc>
              <w:tc>
                <w:tcPr>
                  <w:tcW w:w="415" w:type="pct"/>
                  <w:vMerge w:val="continue"/>
                  <w:vAlign w:val="center"/>
                </w:tcPr>
                <w:p w14:paraId="7491C9DC">
                  <w:pPr>
                    <w:pStyle w:val="154"/>
                    <w:rPr>
                      <w:sz w:val="21"/>
                      <w:szCs w:val="21"/>
                    </w:rPr>
                  </w:pPr>
                </w:p>
              </w:tc>
              <w:tc>
                <w:tcPr>
                  <w:tcW w:w="208" w:type="pct"/>
                  <w:vMerge w:val="continue"/>
                  <w:vAlign w:val="center"/>
                </w:tcPr>
                <w:p w14:paraId="7594BA35">
                  <w:pPr>
                    <w:pStyle w:val="154"/>
                    <w:rPr>
                      <w:sz w:val="21"/>
                      <w:szCs w:val="21"/>
                    </w:rPr>
                  </w:pPr>
                </w:p>
              </w:tc>
              <w:tc>
                <w:tcPr>
                  <w:tcW w:w="208" w:type="pct"/>
                  <w:vMerge w:val="continue"/>
                  <w:vAlign w:val="center"/>
                </w:tcPr>
                <w:p w14:paraId="178CDB73">
                  <w:pPr>
                    <w:pStyle w:val="154"/>
                    <w:rPr>
                      <w:sz w:val="21"/>
                      <w:szCs w:val="21"/>
                    </w:rPr>
                  </w:pPr>
                </w:p>
              </w:tc>
              <w:tc>
                <w:tcPr>
                  <w:tcW w:w="260" w:type="pct"/>
                  <w:vMerge w:val="continue"/>
                  <w:vAlign w:val="center"/>
                </w:tcPr>
                <w:p w14:paraId="2141B49C">
                  <w:pPr>
                    <w:pStyle w:val="154"/>
                    <w:rPr>
                      <w:sz w:val="21"/>
                      <w:szCs w:val="21"/>
                    </w:rPr>
                  </w:pPr>
                </w:p>
              </w:tc>
              <w:tc>
                <w:tcPr>
                  <w:tcW w:w="224" w:type="pct"/>
                  <w:vAlign w:val="center"/>
                </w:tcPr>
                <w:p w14:paraId="598F0AA6">
                  <w:pPr>
                    <w:pStyle w:val="154"/>
                    <w:rPr>
                      <w:sz w:val="21"/>
                      <w:szCs w:val="21"/>
                    </w:rPr>
                  </w:pPr>
                  <w:r>
                    <w:rPr>
                      <w:sz w:val="21"/>
                      <w:szCs w:val="21"/>
                    </w:rPr>
                    <w:t>S</w:t>
                  </w:r>
                </w:p>
              </w:tc>
              <w:tc>
                <w:tcPr>
                  <w:tcW w:w="225" w:type="pct"/>
                  <w:vAlign w:val="center"/>
                </w:tcPr>
                <w:p w14:paraId="474F3D2F">
                  <w:pPr>
                    <w:pStyle w:val="154"/>
                    <w:rPr>
                      <w:sz w:val="21"/>
                      <w:szCs w:val="21"/>
                    </w:rPr>
                  </w:pPr>
                  <w:r>
                    <w:rPr>
                      <w:rFonts w:hint="eastAsia"/>
                      <w:sz w:val="21"/>
                      <w:szCs w:val="21"/>
                    </w:rPr>
                    <w:t>4</w:t>
                  </w:r>
                </w:p>
              </w:tc>
              <w:tc>
                <w:tcPr>
                  <w:tcW w:w="309" w:type="pct"/>
                  <w:vAlign w:val="center"/>
                </w:tcPr>
                <w:p w14:paraId="40556C1F">
                  <w:pPr>
                    <w:jc w:val="center"/>
                    <w:rPr>
                      <w:rFonts w:ascii="Times New Roman" w:hAnsi="Times New Roman" w:cs="Times New Roman"/>
                      <w:color w:val="000000"/>
                      <w:sz w:val="21"/>
                      <w:szCs w:val="21"/>
                    </w:rPr>
                  </w:pPr>
                  <w:r>
                    <w:rPr>
                      <w:rFonts w:ascii="Times New Roman" w:hAnsi="Times New Roman" w:cs="Times New Roman"/>
                      <w:color w:val="000000"/>
                      <w:sz w:val="21"/>
                      <w:szCs w:val="21"/>
                    </w:rPr>
                    <w:t>67.96</w:t>
                  </w:r>
                </w:p>
              </w:tc>
              <w:tc>
                <w:tcPr>
                  <w:tcW w:w="258" w:type="pct"/>
                  <w:vMerge w:val="continue"/>
                  <w:vAlign w:val="center"/>
                </w:tcPr>
                <w:p w14:paraId="3399FC99">
                  <w:pPr>
                    <w:pStyle w:val="154"/>
                    <w:rPr>
                      <w:sz w:val="21"/>
                      <w:szCs w:val="21"/>
                    </w:rPr>
                  </w:pPr>
                </w:p>
              </w:tc>
              <w:tc>
                <w:tcPr>
                  <w:tcW w:w="258" w:type="pct"/>
                  <w:vAlign w:val="center"/>
                </w:tcPr>
                <w:p w14:paraId="370C740B">
                  <w:pPr>
                    <w:pStyle w:val="154"/>
                    <w:rPr>
                      <w:sz w:val="21"/>
                      <w:szCs w:val="21"/>
                    </w:rPr>
                  </w:pPr>
                  <w:r>
                    <w:rPr>
                      <w:rFonts w:hint="eastAsia"/>
                      <w:sz w:val="21"/>
                      <w:szCs w:val="21"/>
                    </w:rPr>
                    <w:t>20</w:t>
                  </w:r>
                </w:p>
              </w:tc>
              <w:tc>
                <w:tcPr>
                  <w:tcW w:w="257" w:type="pct"/>
                  <w:vAlign w:val="center"/>
                </w:tcPr>
                <w:p w14:paraId="13669919">
                  <w:pPr>
                    <w:pStyle w:val="154"/>
                    <w:rPr>
                      <w:color w:val="000000"/>
                      <w:sz w:val="21"/>
                      <w:szCs w:val="21"/>
                    </w:rPr>
                  </w:pPr>
                  <w:r>
                    <w:rPr>
                      <w:rFonts w:hint="eastAsia"/>
                      <w:color w:val="000000"/>
                      <w:sz w:val="21"/>
                      <w:szCs w:val="21"/>
                    </w:rPr>
                    <w:t>47.96</w:t>
                  </w:r>
                </w:p>
              </w:tc>
              <w:tc>
                <w:tcPr>
                  <w:tcW w:w="251" w:type="pct"/>
                  <w:vAlign w:val="center"/>
                </w:tcPr>
                <w:p w14:paraId="79C8232B">
                  <w:pPr>
                    <w:pStyle w:val="154"/>
                    <w:rPr>
                      <w:sz w:val="21"/>
                      <w:szCs w:val="21"/>
                    </w:rPr>
                  </w:pPr>
                  <w:r>
                    <w:rPr>
                      <w:rFonts w:hint="eastAsia"/>
                      <w:sz w:val="21"/>
                      <w:szCs w:val="21"/>
                    </w:rPr>
                    <w:t>1</w:t>
                  </w:r>
                </w:p>
              </w:tc>
            </w:tr>
            <w:tr w14:paraId="02383E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 w:hRule="atLeast"/>
                <w:jc w:val="center"/>
              </w:trPr>
              <w:tc>
                <w:tcPr>
                  <w:tcW w:w="160" w:type="pct"/>
                  <w:vMerge w:val="continue"/>
                  <w:vAlign w:val="center"/>
                </w:tcPr>
                <w:p w14:paraId="7CF89FDA">
                  <w:pPr>
                    <w:pStyle w:val="154"/>
                    <w:rPr>
                      <w:sz w:val="21"/>
                      <w:szCs w:val="21"/>
                    </w:rPr>
                  </w:pPr>
                </w:p>
              </w:tc>
              <w:tc>
                <w:tcPr>
                  <w:tcW w:w="257" w:type="pct"/>
                  <w:vMerge w:val="continue"/>
                  <w:vAlign w:val="center"/>
                </w:tcPr>
                <w:p w14:paraId="3F4F5B8B">
                  <w:pPr>
                    <w:pStyle w:val="154"/>
                    <w:rPr>
                      <w:sz w:val="21"/>
                      <w:szCs w:val="21"/>
                    </w:rPr>
                  </w:pPr>
                </w:p>
              </w:tc>
              <w:tc>
                <w:tcPr>
                  <w:tcW w:w="566" w:type="pct"/>
                  <w:vMerge w:val="continue"/>
                  <w:vAlign w:val="center"/>
                </w:tcPr>
                <w:p w14:paraId="6369060E">
                  <w:pPr>
                    <w:pStyle w:val="154"/>
                    <w:rPr>
                      <w:sz w:val="21"/>
                      <w:szCs w:val="21"/>
                    </w:rPr>
                  </w:pPr>
                </w:p>
              </w:tc>
              <w:tc>
                <w:tcPr>
                  <w:tcW w:w="208" w:type="pct"/>
                  <w:vMerge w:val="continue"/>
                  <w:vAlign w:val="center"/>
                </w:tcPr>
                <w:p w14:paraId="6BA95B0C">
                  <w:pPr>
                    <w:pStyle w:val="154"/>
                    <w:rPr>
                      <w:sz w:val="21"/>
                      <w:szCs w:val="21"/>
                    </w:rPr>
                  </w:pPr>
                </w:p>
              </w:tc>
              <w:tc>
                <w:tcPr>
                  <w:tcW w:w="572" w:type="pct"/>
                  <w:vMerge w:val="continue"/>
                  <w:vAlign w:val="center"/>
                </w:tcPr>
                <w:p w14:paraId="1722DDCC">
                  <w:pPr>
                    <w:pStyle w:val="154"/>
                    <w:rPr>
                      <w:sz w:val="21"/>
                      <w:szCs w:val="21"/>
                    </w:rPr>
                  </w:pPr>
                </w:p>
              </w:tc>
              <w:tc>
                <w:tcPr>
                  <w:tcW w:w="364" w:type="pct"/>
                  <w:vMerge w:val="continue"/>
                  <w:vAlign w:val="center"/>
                </w:tcPr>
                <w:p w14:paraId="08346C1A">
                  <w:pPr>
                    <w:pStyle w:val="154"/>
                    <w:rPr>
                      <w:sz w:val="21"/>
                      <w:szCs w:val="21"/>
                    </w:rPr>
                  </w:pPr>
                </w:p>
              </w:tc>
              <w:tc>
                <w:tcPr>
                  <w:tcW w:w="415" w:type="pct"/>
                  <w:vMerge w:val="continue"/>
                  <w:vAlign w:val="center"/>
                </w:tcPr>
                <w:p w14:paraId="3B461219">
                  <w:pPr>
                    <w:pStyle w:val="154"/>
                    <w:rPr>
                      <w:sz w:val="21"/>
                      <w:szCs w:val="21"/>
                    </w:rPr>
                  </w:pPr>
                </w:p>
              </w:tc>
              <w:tc>
                <w:tcPr>
                  <w:tcW w:w="208" w:type="pct"/>
                  <w:vMerge w:val="continue"/>
                  <w:vAlign w:val="center"/>
                </w:tcPr>
                <w:p w14:paraId="5B3C1592">
                  <w:pPr>
                    <w:pStyle w:val="154"/>
                    <w:rPr>
                      <w:sz w:val="21"/>
                      <w:szCs w:val="21"/>
                    </w:rPr>
                  </w:pPr>
                </w:p>
              </w:tc>
              <w:tc>
                <w:tcPr>
                  <w:tcW w:w="208" w:type="pct"/>
                  <w:vMerge w:val="continue"/>
                  <w:vAlign w:val="center"/>
                </w:tcPr>
                <w:p w14:paraId="671D7AD5">
                  <w:pPr>
                    <w:pStyle w:val="154"/>
                    <w:rPr>
                      <w:sz w:val="21"/>
                      <w:szCs w:val="21"/>
                    </w:rPr>
                  </w:pPr>
                </w:p>
              </w:tc>
              <w:tc>
                <w:tcPr>
                  <w:tcW w:w="260" w:type="pct"/>
                  <w:vMerge w:val="continue"/>
                  <w:vAlign w:val="center"/>
                </w:tcPr>
                <w:p w14:paraId="7B695299">
                  <w:pPr>
                    <w:pStyle w:val="154"/>
                    <w:rPr>
                      <w:sz w:val="21"/>
                      <w:szCs w:val="21"/>
                    </w:rPr>
                  </w:pPr>
                </w:p>
              </w:tc>
              <w:tc>
                <w:tcPr>
                  <w:tcW w:w="224" w:type="pct"/>
                  <w:vAlign w:val="center"/>
                </w:tcPr>
                <w:p w14:paraId="60BB9751">
                  <w:pPr>
                    <w:pStyle w:val="154"/>
                    <w:rPr>
                      <w:sz w:val="21"/>
                      <w:szCs w:val="21"/>
                    </w:rPr>
                  </w:pPr>
                  <w:r>
                    <w:rPr>
                      <w:sz w:val="21"/>
                      <w:szCs w:val="21"/>
                    </w:rPr>
                    <w:t>N</w:t>
                  </w:r>
                </w:p>
              </w:tc>
              <w:tc>
                <w:tcPr>
                  <w:tcW w:w="225" w:type="pct"/>
                  <w:vAlign w:val="center"/>
                </w:tcPr>
                <w:p w14:paraId="4826B684">
                  <w:pPr>
                    <w:pStyle w:val="154"/>
                    <w:rPr>
                      <w:sz w:val="21"/>
                      <w:szCs w:val="21"/>
                    </w:rPr>
                  </w:pPr>
                  <w:r>
                    <w:rPr>
                      <w:rFonts w:hint="eastAsia"/>
                      <w:sz w:val="21"/>
                      <w:szCs w:val="21"/>
                    </w:rPr>
                    <w:t>28</w:t>
                  </w:r>
                </w:p>
              </w:tc>
              <w:tc>
                <w:tcPr>
                  <w:tcW w:w="309" w:type="pct"/>
                  <w:vAlign w:val="center"/>
                </w:tcPr>
                <w:p w14:paraId="7E13BB61">
                  <w:pPr>
                    <w:jc w:val="center"/>
                    <w:rPr>
                      <w:rFonts w:ascii="Times New Roman" w:hAnsi="Times New Roman" w:cs="Times New Roman"/>
                      <w:color w:val="000000"/>
                      <w:sz w:val="21"/>
                      <w:szCs w:val="21"/>
                    </w:rPr>
                  </w:pPr>
                  <w:r>
                    <w:rPr>
                      <w:rFonts w:ascii="Times New Roman" w:hAnsi="Times New Roman" w:cs="Times New Roman"/>
                      <w:color w:val="000000"/>
                      <w:sz w:val="21"/>
                      <w:szCs w:val="21"/>
                    </w:rPr>
                    <w:t>51.06</w:t>
                  </w:r>
                </w:p>
              </w:tc>
              <w:tc>
                <w:tcPr>
                  <w:tcW w:w="258" w:type="pct"/>
                  <w:vMerge w:val="continue"/>
                  <w:vAlign w:val="center"/>
                </w:tcPr>
                <w:p w14:paraId="02F4DC69">
                  <w:pPr>
                    <w:pStyle w:val="154"/>
                    <w:rPr>
                      <w:sz w:val="21"/>
                      <w:szCs w:val="21"/>
                    </w:rPr>
                  </w:pPr>
                </w:p>
              </w:tc>
              <w:tc>
                <w:tcPr>
                  <w:tcW w:w="258" w:type="pct"/>
                  <w:vAlign w:val="center"/>
                </w:tcPr>
                <w:p w14:paraId="1DD2D279">
                  <w:pPr>
                    <w:pStyle w:val="154"/>
                    <w:rPr>
                      <w:sz w:val="21"/>
                      <w:szCs w:val="21"/>
                    </w:rPr>
                  </w:pPr>
                  <w:r>
                    <w:rPr>
                      <w:rFonts w:hint="eastAsia"/>
                      <w:sz w:val="21"/>
                      <w:szCs w:val="21"/>
                    </w:rPr>
                    <w:t>20</w:t>
                  </w:r>
                </w:p>
              </w:tc>
              <w:tc>
                <w:tcPr>
                  <w:tcW w:w="257" w:type="pct"/>
                  <w:vAlign w:val="center"/>
                </w:tcPr>
                <w:p w14:paraId="05AB87AC">
                  <w:pPr>
                    <w:pStyle w:val="154"/>
                    <w:rPr>
                      <w:color w:val="000000"/>
                      <w:sz w:val="21"/>
                      <w:szCs w:val="21"/>
                    </w:rPr>
                  </w:pPr>
                  <w:r>
                    <w:rPr>
                      <w:rFonts w:hint="eastAsia"/>
                      <w:color w:val="000000"/>
                      <w:sz w:val="21"/>
                      <w:szCs w:val="21"/>
                    </w:rPr>
                    <w:t>31.06</w:t>
                  </w:r>
                </w:p>
              </w:tc>
              <w:tc>
                <w:tcPr>
                  <w:tcW w:w="251" w:type="pct"/>
                  <w:vAlign w:val="center"/>
                </w:tcPr>
                <w:p w14:paraId="6B1C8CD2">
                  <w:pPr>
                    <w:pStyle w:val="154"/>
                    <w:rPr>
                      <w:sz w:val="21"/>
                      <w:szCs w:val="21"/>
                    </w:rPr>
                  </w:pPr>
                  <w:r>
                    <w:rPr>
                      <w:rFonts w:hint="eastAsia"/>
                      <w:sz w:val="21"/>
                      <w:szCs w:val="21"/>
                    </w:rPr>
                    <w:t>1</w:t>
                  </w:r>
                </w:p>
              </w:tc>
            </w:tr>
            <w:tr w14:paraId="1D3FE3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 w:hRule="atLeast"/>
                <w:jc w:val="center"/>
              </w:trPr>
              <w:tc>
                <w:tcPr>
                  <w:tcW w:w="160" w:type="pct"/>
                  <w:vMerge w:val="restart"/>
                  <w:vAlign w:val="center"/>
                </w:tcPr>
                <w:p w14:paraId="05221BBC">
                  <w:pPr>
                    <w:pStyle w:val="154"/>
                    <w:rPr>
                      <w:sz w:val="21"/>
                      <w:szCs w:val="21"/>
                    </w:rPr>
                  </w:pPr>
                  <w:r>
                    <w:rPr>
                      <w:rFonts w:hint="eastAsia"/>
                      <w:sz w:val="21"/>
                      <w:szCs w:val="21"/>
                    </w:rPr>
                    <w:t>15</w:t>
                  </w:r>
                </w:p>
              </w:tc>
              <w:tc>
                <w:tcPr>
                  <w:tcW w:w="257" w:type="pct"/>
                  <w:vMerge w:val="continue"/>
                  <w:vAlign w:val="center"/>
                </w:tcPr>
                <w:p w14:paraId="64680B6E">
                  <w:pPr>
                    <w:pStyle w:val="154"/>
                    <w:rPr>
                      <w:sz w:val="21"/>
                      <w:szCs w:val="21"/>
                    </w:rPr>
                  </w:pPr>
                </w:p>
              </w:tc>
              <w:tc>
                <w:tcPr>
                  <w:tcW w:w="566" w:type="pct"/>
                  <w:vMerge w:val="restart"/>
                  <w:vAlign w:val="center"/>
                </w:tcPr>
                <w:p w14:paraId="2682B0E0">
                  <w:pPr>
                    <w:pStyle w:val="154"/>
                    <w:rPr>
                      <w:sz w:val="21"/>
                      <w:szCs w:val="21"/>
                    </w:rPr>
                  </w:pPr>
                  <w:r>
                    <w:rPr>
                      <w:sz w:val="21"/>
                      <w:szCs w:val="21"/>
                    </w:rPr>
                    <w:t>破碎机</w:t>
                  </w:r>
                  <w:r>
                    <w:rPr>
                      <w:rFonts w:hint="eastAsia"/>
                      <w:sz w:val="21"/>
                      <w:szCs w:val="21"/>
                    </w:rPr>
                    <w:t>4#</w:t>
                  </w:r>
                </w:p>
              </w:tc>
              <w:tc>
                <w:tcPr>
                  <w:tcW w:w="208" w:type="pct"/>
                  <w:vMerge w:val="restart"/>
                  <w:vAlign w:val="center"/>
                </w:tcPr>
                <w:p w14:paraId="488364FF">
                  <w:pPr>
                    <w:pStyle w:val="154"/>
                    <w:rPr>
                      <w:sz w:val="21"/>
                      <w:szCs w:val="21"/>
                    </w:rPr>
                  </w:pPr>
                  <w:r>
                    <w:rPr>
                      <w:rFonts w:hint="eastAsia"/>
                      <w:sz w:val="21"/>
                      <w:szCs w:val="21"/>
                    </w:rPr>
                    <w:t>/</w:t>
                  </w:r>
                </w:p>
              </w:tc>
              <w:tc>
                <w:tcPr>
                  <w:tcW w:w="572" w:type="pct"/>
                  <w:vMerge w:val="restart"/>
                  <w:vAlign w:val="center"/>
                </w:tcPr>
                <w:p w14:paraId="25717687">
                  <w:pPr>
                    <w:pStyle w:val="154"/>
                    <w:rPr>
                      <w:sz w:val="21"/>
                      <w:szCs w:val="21"/>
                    </w:rPr>
                  </w:pPr>
                  <w:r>
                    <w:rPr>
                      <w:rFonts w:hint="eastAsia"/>
                      <w:sz w:val="21"/>
                      <w:szCs w:val="21"/>
                    </w:rPr>
                    <w:t>/</w:t>
                  </w:r>
                </w:p>
              </w:tc>
              <w:tc>
                <w:tcPr>
                  <w:tcW w:w="364" w:type="pct"/>
                  <w:vMerge w:val="restart"/>
                  <w:vAlign w:val="center"/>
                </w:tcPr>
                <w:p w14:paraId="32A4AACE">
                  <w:pPr>
                    <w:pStyle w:val="154"/>
                    <w:rPr>
                      <w:sz w:val="21"/>
                      <w:szCs w:val="21"/>
                    </w:rPr>
                  </w:pPr>
                  <w:r>
                    <w:rPr>
                      <w:rFonts w:hint="eastAsia"/>
                      <w:sz w:val="21"/>
                      <w:szCs w:val="21"/>
                    </w:rPr>
                    <w:t>80</w:t>
                  </w:r>
                </w:p>
              </w:tc>
              <w:tc>
                <w:tcPr>
                  <w:tcW w:w="415" w:type="pct"/>
                  <w:vMerge w:val="continue"/>
                  <w:vAlign w:val="center"/>
                </w:tcPr>
                <w:p w14:paraId="71BE2ACE">
                  <w:pPr>
                    <w:pStyle w:val="154"/>
                    <w:rPr>
                      <w:sz w:val="21"/>
                      <w:szCs w:val="21"/>
                    </w:rPr>
                  </w:pPr>
                </w:p>
              </w:tc>
              <w:tc>
                <w:tcPr>
                  <w:tcW w:w="208" w:type="pct"/>
                  <w:vMerge w:val="restart"/>
                  <w:vAlign w:val="center"/>
                </w:tcPr>
                <w:p w14:paraId="2EF84FCB">
                  <w:pPr>
                    <w:pStyle w:val="154"/>
                    <w:rPr>
                      <w:sz w:val="21"/>
                      <w:szCs w:val="21"/>
                    </w:rPr>
                  </w:pPr>
                  <w:r>
                    <w:rPr>
                      <w:rFonts w:hint="eastAsia"/>
                      <w:sz w:val="21"/>
                      <w:szCs w:val="21"/>
                    </w:rPr>
                    <w:t>22</w:t>
                  </w:r>
                </w:p>
              </w:tc>
              <w:tc>
                <w:tcPr>
                  <w:tcW w:w="208" w:type="pct"/>
                  <w:vMerge w:val="restart"/>
                  <w:vAlign w:val="center"/>
                </w:tcPr>
                <w:p w14:paraId="179EE2AD">
                  <w:pPr>
                    <w:pStyle w:val="154"/>
                    <w:rPr>
                      <w:sz w:val="21"/>
                      <w:szCs w:val="21"/>
                    </w:rPr>
                  </w:pPr>
                  <w:r>
                    <w:rPr>
                      <w:rFonts w:hint="eastAsia"/>
                      <w:sz w:val="21"/>
                      <w:szCs w:val="21"/>
                    </w:rPr>
                    <w:t>6</w:t>
                  </w:r>
                </w:p>
              </w:tc>
              <w:tc>
                <w:tcPr>
                  <w:tcW w:w="260" w:type="pct"/>
                  <w:vMerge w:val="restart"/>
                  <w:vAlign w:val="center"/>
                </w:tcPr>
                <w:p w14:paraId="1E1372ED">
                  <w:pPr>
                    <w:pStyle w:val="154"/>
                    <w:rPr>
                      <w:sz w:val="21"/>
                      <w:szCs w:val="21"/>
                    </w:rPr>
                  </w:pPr>
                  <w:r>
                    <w:rPr>
                      <w:rFonts w:hint="eastAsia"/>
                      <w:sz w:val="21"/>
                      <w:szCs w:val="21"/>
                    </w:rPr>
                    <w:t>1</w:t>
                  </w:r>
                </w:p>
              </w:tc>
              <w:tc>
                <w:tcPr>
                  <w:tcW w:w="224" w:type="pct"/>
                  <w:vAlign w:val="center"/>
                </w:tcPr>
                <w:p w14:paraId="61297755">
                  <w:pPr>
                    <w:pStyle w:val="154"/>
                    <w:rPr>
                      <w:sz w:val="21"/>
                      <w:szCs w:val="21"/>
                    </w:rPr>
                  </w:pPr>
                  <w:r>
                    <w:rPr>
                      <w:rFonts w:hint="eastAsia"/>
                      <w:sz w:val="21"/>
                      <w:szCs w:val="21"/>
                    </w:rPr>
                    <w:t>E</w:t>
                  </w:r>
                </w:p>
              </w:tc>
              <w:tc>
                <w:tcPr>
                  <w:tcW w:w="225" w:type="pct"/>
                  <w:vAlign w:val="center"/>
                </w:tcPr>
                <w:p w14:paraId="3590DC98">
                  <w:pPr>
                    <w:pStyle w:val="154"/>
                    <w:rPr>
                      <w:sz w:val="21"/>
                      <w:szCs w:val="21"/>
                    </w:rPr>
                  </w:pPr>
                  <w:r>
                    <w:rPr>
                      <w:rFonts w:hint="eastAsia"/>
                      <w:sz w:val="21"/>
                      <w:szCs w:val="21"/>
                    </w:rPr>
                    <w:t>13</w:t>
                  </w:r>
                </w:p>
              </w:tc>
              <w:tc>
                <w:tcPr>
                  <w:tcW w:w="309" w:type="pct"/>
                  <w:vAlign w:val="center"/>
                </w:tcPr>
                <w:p w14:paraId="6440112A">
                  <w:pPr>
                    <w:jc w:val="center"/>
                    <w:rPr>
                      <w:rFonts w:ascii="Times New Roman" w:hAnsi="Times New Roman" w:cs="Times New Roman"/>
                      <w:color w:val="000000"/>
                      <w:sz w:val="21"/>
                      <w:szCs w:val="21"/>
                    </w:rPr>
                  </w:pPr>
                  <w:r>
                    <w:rPr>
                      <w:rFonts w:ascii="Times New Roman" w:hAnsi="Times New Roman" w:cs="Times New Roman"/>
                      <w:color w:val="000000"/>
                      <w:sz w:val="21"/>
                      <w:szCs w:val="21"/>
                    </w:rPr>
                    <w:t>57.72</w:t>
                  </w:r>
                </w:p>
              </w:tc>
              <w:tc>
                <w:tcPr>
                  <w:tcW w:w="258" w:type="pct"/>
                  <w:vMerge w:val="restart"/>
                  <w:vAlign w:val="center"/>
                </w:tcPr>
                <w:p w14:paraId="794AD3F9">
                  <w:pPr>
                    <w:pStyle w:val="154"/>
                    <w:rPr>
                      <w:sz w:val="21"/>
                      <w:szCs w:val="21"/>
                    </w:rPr>
                  </w:pPr>
                  <w:r>
                    <w:rPr>
                      <w:sz w:val="21"/>
                      <w:szCs w:val="21"/>
                    </w:rPr>
                    <w:t>昼间</w:t>
                  </w:r>
                </w:p>
              </w:tc>
              <w:tc>
                <w:tcPr>
                  <w:tcW w:w="258" w:type="pct"/>
                  <w:vAlign w:val="center"/>
                </w:tcPr>
                <w:p w14:paraId="14503AA9">
                  <w:pPr>
                    <w:pStyle w:val="154"/>
                    <w:rPr>
                      <w:sz w:val="21"/>
                      <w:szCs w:val="21"/>
                    </w:rPr>
                  </w:pPr>
                  <w:r>
                    <w:rPr>
                      <w:rFonts w:hint="eastAsia"/>
                      <w:sz w:val="21"/>
                      <w:szCs w:val="21"/>
                    </w:rPr>
                    <w:t>20</w:t>
                  </w:r>
                </w:p>
              </w:tc>
              <w:tc>
                <w:tcPr>
                  <w:tcW w:w="257" w:type="pct"/>
                  <w:vAlign w:val="center"/>
                </w:tcPr>
                <w:p w14:paraId="1C4B8F91">
                  <w:pPr>
                    <w:pStyle w:val="154"/>
                    <w:rPr>
                      <w:color w:val="000000"/>
                      <w:sz w:val="21"/>
                      <w:szCs w:val="21"/>
                    </w:rPr>
                  </w:pPr>
                  <w:r>
                    <w:rPr>
                      <w:rFonts w:hint="eastAsia"/>
                      <w:color w:val="000000"/>
                      <w:sz w:val="21"/>
                      <w:szCs w:val="21"/>
                    </w:rPr>
                    <w:t>37.72</w:t>
                  </w:r>
                </w:p>
              </w:tc>
              <w:tc>
                <w:tcPr>
                  <w:tcW w:w="251" w:type="pct"/>
                  <w:vAlign w:val="center"/>
                </w:tcPr>
                <w:p w14:paraId="72694EC9">
                  <w:pPr>
                    <w:pStyle w:val="154"/>
                    <w:rPr>
                      <w:sz w:val="21"/>
                      <w:szCs w:val="21"/>
                    </w:rPr>
                  </w:pPr>
                  <w:r>
                    <w:rPr>
                      <w:rFonts w:hint="eastAsia"/>
                      <w:sz w:val="21"/>
                      <w:szCs w:val="21"/>
                    </w:rPr>
                    <w:t>1</w:t>
                  </w:r>
                </w:p>
              </w:tc>
            </w:tr>
            <w:tr w14:paraId="72C937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 w:hRule="atLeast"/>
                <w:jc w:val="center"/>
              </w:trPr>
              <w:tc>
                <w:tcPr>
                  <w:tcW w:w="160" w:type="pct"/>
                  <w:vMerge w:val="continue"/>
                  <w:vAlign w:val="center"/>
                </w:tcPr>
                <w:p w14:paraId="2E921066">
                  <w:pPr>
                    <w:pStyle w:val="154"/>
                    <w:rPr>
                      <w:sz w:val="21"/>
                      <w:szCs w:val="21"/>
                    </w:rPr>
                  </w:pPr>
                </w:p>
              </w:tc>
              <w:tc>
                <w:tcPr>
                  <w:tcW w:w="257" w:type="pct"/>
                  <w:vMerge w:val="continue"/>
                  <w:vAlign w:val="center"/>
                </w:tcPr>
                <w:p w14:paraId="6174A250">
                  <w:pPr>
                    <w:pStyle w:val="154"/>
                    <w:rPr>
                      <w:sz w:val="21"/>
                      <w:szCs w:val="21"/>
                    </w:rPr>
                  </w:pPr>
                </w:p>
              </w:tc>
              <w:tc>
                <w:tcPr>
                  <w:tcW w:w="566" w:type="pct"/>
                  <w:vMerge w:val="continue"/>
                  <w:vAlign w:val="center"/>
                </w:tcPr>
                <w:p w14:paraId="513624AC">
                  <w:pPr>
                    <w:pStyle w:val="154"/>
                    <w:rPr>
                      <w:sz w:val="21"/>
                      <w:szCs w:val="21"/>
                    </w:rPr>
                  </w:pPr>
                </w:p>
              </w:tc>
              <w:tc>
                <w:tcPr>
                  <w:tcW w:w="208" w:type="pct"/>
                  <w:vMerge w:val="continue"/>
                  <w:vAlign w:val="center"/>
                </w:tcPr>
                <w:p w14:paraId="42DBA115">
                  <w:pPr>
                    <w:pStyle w:val="154"/>
                    <w:rPr>
                      <w:sz w:val="21"/>
                      <w:szCs w:val="21"/>
                    </w:rPr>
                  </w:pPr>
                </w:p>
              </w:tc>
              <w:tc>
                <w:tcPr>
                  <w:tcW w:w="572" w:type="pct"/>
                  <w:vMerge w:val="continue"/>
                  <w:vAlign w:val="center"/>
                </w:tcPr>
                <w:p w14:paraId="3EFE2BCB">
                  <w:pPr>
                    <w:pStyle w:val="154"/>
                    <w:rPr>
                      <w:sz w:val="21"/>
                      <w:szCs w:val="21"/>
                    </w:rPr>
                  </w:pPr>
                </w:p>
              </w:tc>
              <w:tc>
                <w:tcPr>
                  <w:tcW w:w="364" w:type="pct"/>
                  <w:vMerge w:val="continue"/>
                  <w:vAlign w:val="center"/>
                </w:tcPr>
                <w:p w14:paraId="79BBBC36">
                  <w:pPr>
                    <w:pStyle w:val="154"/>
                    <w:rPr>
                      <w:sz w:val="21"/>
                      <w:szCs w:val="21"/>
                    </w:rPr>
                  </w:pPr>
                </w:p>
              </w:tc>
              <w:tc>
                <w:tcPr>
                  <w:tcW w:w="415" w:type="pct"/>
                  <w:vMerge w:val="continue"/>
                  <w:vAlign w:val="center"/>
                </w:tcPr>
                <w:p w14:paraId="719593D3">
                  <w:pPr>
                    <w:pStyle w:val="154"/>
                    <w:rPr>
                      <w:sz w:val="21"/>
                      <w:szCs w:val="21"/>
                    </w:rPr>
                  </w:pPr>
                </w:p>
              </w:tc>
              <w:tc>
                <w:tcPr>
                  <w:tcW w:w="208" w:type="pct"/>
                  <w:vMerge w:val="continue"/>
                  <w:vAlign w:val="center"/>
                </w:tcPr>
                <w:p w14:paraId="35AD1869">
                  <w:pPr>
                    <w:pStyle w:val="154"/>
                    <w:rPr>
                      <w:sz w:val="21"/>
                      <w:szCs w:val="21"/>
                    </w:rPr>
                  </w:pPr>
                </w:p>
              </w:tc>
              <w:tc>
                <w:tcPr>
                  <w:tcW w:w="208" w:type="pct"/>
                  <w:vMerge w:val="continue"/>
                  <w:vAlign w:val="center"/>
                </w:tcPr>
                <w:p w14:paraId="52349DDF">
                  <w:pPr>
                    <w:pStyle w:val="154"/>
                    <w:rPr>
                      <w:sz w:val="21"/>
                      <w:szCs w:val="21"/>
                    </w:rPr>
                  </w:pPr>
                </w:p>
              </w:tc>
              <w:tc>
                <w:tcPr>
                  <w:tcW w:w="260" w:type="pct"/>
                  <w:vMerge w:val="continue"/>
                  <w:vAlign w:val="center"/>
                </w:tcPr>
                <w:p w14:paraId="4B92EC2F">
                  <w:pPr>
                    <w:pStyle w:val="154"/>
                    <w:rPr>
                      <w:sz w:val="21"/>
                      <w:szCs w:val="21"/>
                    </w:rPr>
                  </w:pPr>
                </w:p>
              </w:tc>
              <w:tc>
                <w:tcPr>
                  <w:tcW w:w="224" w:type="pct"/>
                  <w:vAlign w:val="center"/>
                </w:tcPr>
                <w:p w14:paraId="5B68809D">
                  <w:pPr>
                    <w:pStyle w:val="154"/>
                    <w:rPr>
                      <w:sz w:val="21"/>
                      <w:szCs w:val="21"/>
                    </w:rPr>
                  </w:pPr>
                  <w:r>
                    <w:rPr>
                      <w:rFonts w:hint="eastAsia"/>
                      <w:sz w:val="21"/>
                      <w:szCs w:val="21"/>
                    </w:rPr>
                    <w:t>W</w:t>
                  </w:r>
                </w:p>
              </w:tc>
              <w:tc>
                <w:tcPr>
                  <w:tcW w:w="225" w:type="pct"/>
                  <w:vAlign w:val="center"/>
                </w:tcPr>
                <w:p w14:paraId="640BDCB6">
                  <w:pPr>
                    <w:pStyle w:val="154"/>
                    <w:rPr>
                      <w:sz w:val="21"/>
                      <w:szCs w:val="21"/>
                    </w:rPr>
                  </w:pPr>
                  <w:r>
                    <w:rPr>
                      <w:rFonts w:hint="eastAsia"/>
                      <w:sz w:val="21"/>
                      <w:szCs w:val="21"/>
                    </w:rPr>
                    <w:t>22</w:t>
                  </w:r>
                </w:p>
              </w:tc>
              <w:tc>
                <w:tcPr>
                  <w:tcW w:w="309" w:type="pct"/>
                  <w:vAlign w:val="center"/>
                </w:tcPr>
                <w:p w14:paraId="4D0931D3">
                  <w:pPr>
                    <w:jc w:val="center"/>
                    <w:rPr>
                      <w:rFonts w:ascii="Times New Roman" w:hAnsi="Times New Roman" w:cs="Times New Roman"/>
                      <w:color w:val="000000"/>
                      <w:sz w:val="21"/>
                      <w:szCs w:val="21"/>
                    </w:rPr>
                  </w:pPr>
                  <w:r>
                    <w:rPr>
                      <w:rFonts w:ascii="Times New Roman" w:hAnsi="Times New Roman" w:cs="Times New Roman"/>
                      <w:color w:val="000000"/>
                      <w:sz w:val="21"/>
                      <w:szCs w:val="21"/>
                    </w:rPr>
                    <w:t>53.15</w:t>
                  </w:r>
                </w:p>
              </w:tc>
              <w:tc>
                <w:tcPr>
                  <w:tcW w:w="258" w:type="pct"/>
                  <w:vMerge w:val="continue"/>
                  <w:vAlign w:val="center"/>
                </w:tcPr>
                <w:p w14:paraId="7163985F">
                  <w:pPr>
                    <w:pStyle w:val="154"/>
                    <w:rPr>
                      <w:sz w:val="21"/>
                      <w:szCs w:val="21"/>
                    </w:rPr>
                  </w:pPr>
                </w:p>
              </w:tc>
              <w:tc>
                <w:tcPr>
                  <w:tcW w:w="258" w:type="pct"/>
                  <w:vAlign w:val="center"/>
                </w:tcPr>
                <w:p w14:paraId="66C0A16F">
                  <w:pPr>
                    <w:pStyle w:val="154"/>
                    <w:rPr>
                      <w:sz w:val="21"/>
                      <w:szCs w:val="21"/>
                    </w:rPr>
                  </w:pPr>
                  <w:r>
                    <w:rPr>
                      <w:rFonts w:hint="eastAsia"/>
                      <w:sz w:val="21"/>
                      <w:szCs w:val="21"/>
                    </w:rPr>
                    <w:t>20</w:t>
                  </w:r>
                </w:p>
              </w:tc>
              <w:tc>
                <w:tcPr>
                  <w:tcW w:w="257" w:type="pct"/>
                  <w:vAlign w:val="center"/>
                </w:tcPr>
                <w:p w14:paraId="7B2D98C4">
                  <w:pPr>
                    <w:pStyle w:val="154"/>
                    <w:rPr>
                      <w:color w:val="000000"/>
                      <w:sz w:val="21"/>
                      <w:szCs w:val="21"/>
                    </w:rPr>
                  </w:pPr>
                  <w:r>
                    <w:rPr>
                      <w:rFonts w:hint="eastAsia"/>
                      <w:color w:val="000000"/>
                      <w:sz w:val="21"/>
                      <w:szCs w:val="21"/>
                    </w:rPr>
                    <w:t>33.15</w:t>
                  </w:r>
                </w:p>
              </w:tc>
              <w:tc>
                <w:tcPr>
                  <w:tcW w:w="251" w:type="pct"/>
                  <w:vAlign w:val="center"/>
                </w:tcPr>
                <w:p w14:paraId="29D3739F">
                  <w:pPr>
                    <w:pStyle w:val="154"/>
                    <w:rPr>
                      <w:sz w:val="21"/>
                      <w:szCs w:val="21"/>
                    </w:rPr>
                  </w:pPr>
                  <w:r>
                    <w:rPr>
                      <w:rFonts w:hint="eastAsia"/>
                      <w:sz w:val="21"/>
                      <w:szCs w:val="21"/>
                    </w:rPr>
                    <w:t>1</w:t>
                  </w:r>
                </w:p>
              </w:tc>
            </w:tr>
            <w:tr w14:paraId="34D67C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 w:hRule="atLeast"/>
                <w:jc w:val="center"/>
              </w:trPr>
              <w:tc>
                <w:tcPr>
                  <w:tcW w:w="160" w:type="pct"/>
                  <w:vMerge w:val="continue"/>
                  <w:vAlign w:val="center"/>
                </w:tcPr>
                <w:p w14:paraId="788E800B">
                  <w:pPr>
                    <w:pStyle w:val="154"/>
                    <w:rPr>
                      <w:sz w:val="21"/>
                      <w:szCs w:val="21"/>
                    </w:rPr>
                  </w:pPr>
                </w:p>
              </w:tc>
              <w:tc>
                <w:tcPr>
                  <w:tcW w:w="257" w:type="pct"/>
                  <w:vMerge w:val="continue"/>
                  <w:vAlign w:val="center"/>
                </w:tcPr>
                <w:p w14:paraId="48726458">
                  <w:pPr>
                    <w:pStyle w:val="154"/>
                    <w:rPr>
                      <w:sz w:val="21"/>
                      <w:szCs w:val="21"/>
                    </w:rPr>
                  </w:pPr>
                </w:p>
              </w:tc>
              <w:tc>
                <w:tcPr>
                  <w:tcW w:w="566" w:type="pct"/>
                  <w:vMerge w:val="continue"/>
                  <w:vAlign w:val="center"/>
                </w:tcPr>
                <w:p w14:paraId="5BF889E6">
                  <w:pPr>
                    <w:pStyle w:val="154"/>
                    <w:rPr>
                      <w:sz w:val="21"/>
                      <w:szCs w:val="21"/>
                    </w:rPr>
                  </w:pPr>
                </w:p>
              </w:tc>
              <w:tc>
                <w:tcPr>
                  <w:tcW w:w="208" w:type="pct"/>
                  <w:vMerge w:val="continue"/>
                  <w:vAlign w:val="center"/>
                </w:tcPr>
                <w:p w14:paraId="5261B717">
                  <w:pPr>
                    <w:pStyle w:val="154"/>
                    <w:rPr>
                      <w:sz w:val="21"/>
                      <w:szCs w:val="21"/>
                    </w:rPr>
                  </w:pPr>
                </w:p>
              </w:tc>
              <w:tc>
                <w:tcPr>
                  <w:tcW w:w="572" w:type="pct"/>
                  <w:vMerge w:val="continue"/>
                  <w:vAlign w:val="center"/>
                </w:tcPr>
                <w:p w14:paraId="08FA3E47">
                  <w:pPr>
                    <w:pStyle w:val="154"/>
                    <w:rPr>
                      <w:sz w:val="21"/>
                      <w:szCs w:val="21"/>
                    </w:rPr>
                  </w:pPr>
                </w:p>
              </w:tc>
              <w:tc>
                <w:tcPr>
                  <w:tcW w:w="364" w:type="pct"/>
                  <w:vMerge w:val="continue"/>
                  <w:vAlign w:val="center"/>
                </w:tcPr>
                <w:p w14:paraId="3F3708E7">
                  <w:pPr>
                    <w:pStyle w:val="154"/>
                    <w:rPr>
                      <w:sz w:val="21"/>
                      <w:szCs w:val="21"/>
                    </w:rPr>
                  </w:pPr>
                </w:p>
              </w:tc>
              <w:tc>
                <w:tcPr>
                  <w:tcW w:w="415" w:type="pct"/>
                  <w:vMerge w:val="continue"/>
                  <w:vAlign w:val="center"/>
                </w:tcPr>
                <w:p w14:paraId="485CA67C">
                  <w:pPr>
                    <w:pStyle w:val="154"/>
                    <w:rPr>
                      <w:sz w:val="21"/>
                      <w:szCs w:val="21"/>
                    </w:rPr>
                  </w:pPr>
                </w:p>
              </w:tc>
              <w:tc>
                <w:tcPr>
                  <w:tcW w:w="208" w:type="pct"/>
                  <w:vMerge w:val="continue"/>
                  <w:vAlign w:val="center"/>
                </w:tcPr>
                <w:p w14:paraId="2D9EEFCA">
                  <w:pPr>
                    <w:pStyle w:val="154"/>
                    <w:rPr>
                      <w:sz w:val="21"/>
                      <w:szCs w:val="21"/>
                    </w:rPr>
                  </w:pPr>
                </w:p>
              </w:tc>
              <w:tc>
                <w:tcPr>
                  <w:tcW w:w="208" w:type="pct"/>
                  <w:vMerge w:val="continue"/>
                  <w:vAlign w:val="center"/>
                </w:tcPr>
                <w:p w14:paraId="24C61EA9">
                  <w:pPr>
                    <w:pStyle w:val="154"/>
                    <w:rPr>
                      <w:sz w:val="21"/>
                      <w:szCs w:val="21"/>
                    </w:rPr>
                  </w:pPr>
                </w:p>
              </w:tc>
              <w:tc>
                <w:tcPr>
                  <w:tcW w:w="260" w:type="pct"/>
                  <w:vMerge w:val="continue"/>
                  <w:vAlign w:val="center"/>
                </w:tcPr>
                <w:p w14:paraId="7FB5B3BF">
                  <w:pPr>
                    <w:pStyle w:val="154"/>
                    <w:rPr>
                      <w:sz w:val="21"/>
                      <w:szCs w:val="21"/>
                    </w:rPr>
                  </w:pPr>
                </w:p>
              </w:tc>
              <w:tc>
                <w:tcPr>
                  <w:tcW w:w="224" w:type="pct"/>
                  <w:vAlign w:val="center"/>
                </w:tcPr>
                <w:p w14:paraId="40695ABD">
                  <w:pPr>
                    <w:pStyle w:val="154"/>
                    <w:rPr>
                      <w:sz w:val="21"/>
                      <w:szCs w:val="21"/>
                    </w:rPr>
                  </w:pPr>
                  <w:r>
                    <w:rPr>
                      <w:rFonts w:hint="eastAsia"/>
                      <w:sz w:val="21"/>
                      <w:szCs w:val="21"/>
                    </w:rPr>
                    <w:t>S</w:t>
                  </w:r>
                </w:p>
              </w:tc>
              <w:tc>
                <w:tcPr>
                  <w:tcW w:w="225" w:type="pct"/>
                  <w:vAlign w:val="center"/>
                </w:tcPr>
                <w:p w14:paraId="0CD6B9F0">
                  <w:pPr>
                    <w:pStyle w:val="154"/>
                    <w:rPr>
                      <w:sz w:val="21"/>
                      <w:szCs w:val="21"/>
                    </w:rPr>
                  </w:pPr>
                  <w:r>
                    <w:rPr>
                      <w:rFonts w:hint="eastAsia"/>
                      <w:sz w:val="21"/>
                      <w:szCs w:val="21"/>
                    </w:rPr>
                    <w:t>6</w:t>
                  </w:r>
                </w:p>
              </w:tc>
              <w:tc>
                <w:tcPr>
                  <w:tcW w:w="309" w:type="pct"/>
                  <w:vAlign w:val="center"/>
                </w:tcPr>
                <w:p w14:paraId="1C5F56E2">
                  <w:pPr>
                    <w:jc w:val="center"/>
                    <w:rPr>
                      <w:rFonts w:ascii="Times New Roman" w:hAnsi="Times New Roman" w:cs="Times New Roman"/>
                      <w:color w:val="000000"/>
                      <w:sz w:val="21"/>
                      <w:szCs w:val="21"/>
                    </w:rPr>
                  </w:pPr>
                  <w:r>
                    <w:rPr>
                      <w:rFonts w:ascii="Times New Roman" w:hAnsi="Times New Roman" w:cs="Times New Roman"/>
                      <w:color w:val="000000"/>
                      <w:sz w:val="21"/>
                      <w:szCs w:val="21"/>
                    </w:rPr>
                    <w:t>64.44</w:t>
                  </w:r>
                </w:p>
              </w:tc>
              <w:tc>
                <w:tcPr>
                  <w:tcW w:w="258" w:type="pct"/>
                  <w:vMerge w:val="continue"/>
                  <w:vAlign w:val="center"/>
                </w:tcPr>
                <w:p w14:paraId="3928A5BC">
                  <w:pPr>
                    <w:pStyle w:val="154"/>
                    <w:rPr>
                      <w:sz w:val="21"/>
                      <w:szCs w:val="21"/>
                    </w:rPr>
                  </w:pPr>
                </w:p>
              </w:tc>
              <w:tc>
                <w:tcPr>
                  <w:tcW w:w="258" w:type="pct"/>
                  <w:vAlign w:val="center"/>
                </w:tcPr>
                <w:p w14:paraId="482E86DD">
                  <w:pPr>
                    <w:pStyle w:val="154"/>
                    <w:rPr>
                      <w:sz w:val="21"/>
                      <w:szCs w:val="21"/>
                    </w:rPr>
                  </w:pPr>
                  <w:r>
                    <w:rPr>
                      <w:rFonts w:hint="eastAsia"/>
                      <w:sz w:val="21"/>
                      <w:szCs w:val="21"/>
                    </w:rPr>
                    <w:t>20</w:t>
                  </w:r>
                </w:p>
              </w:tc>
              <w:tc>
                <w:tcPr>
                  <w:tcW w:w="257" w:type="pct"/>
                  <w:vAlign w:val="center"/>
                </w:tcPr>
                <w:p w14:paraId="044F47DE">
                  <w:pPr>
                    <w:pStyle w:val="154"/>
                    <w:rPr>
                      <w:color w:val="000000"/>
                      <w:sz w:val="21"/>
                      <w:szCs w:val="21"/>
                    </w:rPr>
                  </w:pPr>
                  <w:r>
                    <w:rPr>
                      <w:rFonts w:hint="eastAsia"/>
                      <w:color w:val="000000"/>
                      <w:sz w:val="21"/>
                      <w:szCs w:val="21"/>
                    </w:rPr>
                    <w:t>44.44</w:t>
                  </w:r>
                </w:p>
              </w:tc>
              <w:tc>
                <w:tcPr>
                  <w:tcW w:w="251" w:type="pct"/>
                  <w:vAlign w:val="center"/>
                </w:tcPr>
                <w:p w14:paraId="25B34945">
                  <w:pPr>
                    <w:pStyle w:val="154"/>
                    <w:rPr>
                      <w:sz w:val="21"/>
                      <w:szCs w:val="21"/>
                    </w:rPr>
                  </w:pPr>
                  <w:r>
                    <w:rPr>
                      <w:rFonts w:hint="eastAsia"/>
                      <w:sz w:val="21"/>
                      <w:szCs w:val="21"/>
                    </w:rPr>
                    <w:t>1</w:t>
                  </w:r>
                </w:p>
              </w:tc>
            </w:tr>
            <w:tr w14:paraId="064759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 w:hRule="atLeast"/>
                <w:jc w:val="center"/>
              </w:trPr>
              <w:tc>
                <w:tcPr>
                  <w:tcW w:w="160" w:type="pct"/>
                  <w:vMerge w:val="continue"/>
                  <w:vAlign w:val="center"/>
                </w:tcPr>
                <w:p w14:paraId="0009839E">
                  <w:pPr>
                    <w:pStyle w:val="154"/>
                    <w:rPr>
                      <w:sz w:val="21"/>
                      <w:szCs w:val="21"/>
                    </w:rPr>
                  </w:pPr>
                </w:p>
              </w:tc>
              <w:tc>
                <w:tcPr>
                  <w:tcW w:w="257" w:type="pct"/>
                  <w:vMerge w:val="continue"/>
                  <w:vAlign w:val="center"/>
                </w:tcPr>
                <w:p w14:paraId="3B5608ED">
                  <w:pPr>
                    <w:pStyle w:val="154"/>
                    <w:rPr>
                      <w:sz w:val="21"/>
                      <w:szCs w:val="21"/>
                    </w:rPr>
                  </w:pPr>
                </w:p>
              </w:tc>
              <w:tc>
                <w:tcPr>
                  <w:tcW w:w="566" w:type="pct"/>
                  <w:vMerge w:val="continue"/>
                  <w:vAlign w:val="center"/>
                </w:tcPr>
                <w:p w14:paraId="52020D4A">
                  <w:pPr>
                    <w:pStyle w:val="154"/>
                    <w:rPr>
                      <w:sz w:val="21"/>
                      <w:szCs w:val="21"/>
                    </w:rPr>
                  </w:pPr>
                </w:p>
              </w:tc>
              <w:tc>
                <w:tcPr>
                  <w:tcW w:w="208" w:type="pct"/>
                  <w:vMerge w:val="continue"/>
                  <w:vAlign w:val="center"/>
                </w:tcPr>
                <w:p w14:paraId="4CF554C9">
                  <w:pPr>
                    <w:pStyle w:val="154"/>
                    <w:rPr>
                      <w:sz w:val="21"/>
                      <w:szCs w:val="21"/>
                    </w:rPr>
                  </w:pPr>
                </w:p>
              </w:tc>
              <w:tc>
                <w:tcPr>
                  <w:tcW w:w="572" w:type="pct"/>
                  <w:vMerge w:val="continue"/>
                  <w:vAlign w:val="center"/>
                </w:tcPr>
                <w:p w14:paraId="66B57BB2">
                  <w:pPr>
                    <w:pStyle w:val="154"/>
                    <w:rPr>
                      <w:sz w:val="21"/>
                      <w:szCs w:val="21"/>
                    </w:rPr>
                  </w:pPr>
                </w:p>
              </w:tc>
              <w:tc>
                <w:tcPr>
                  <w:tcW w:w="364" w:type="pct"/>
                  <w:vMerge w:val="continue"/>
                  <w:vAlign w:val="center"/>
                </w:tcPr>
                <w:p w14:paraId="0A7F1477">
                  <w:pPr>
                    <w:pStyle w:val="154"/>
                    <w:rPr>
                      <w:sz w:val="21"/>
                      <w:szCs w:val="21"/>
                    </w:rPr>
                  </w:pPr>
                </w:p>
              </w:tc>
              <w:tc>
                <w:tcPr>
                  <w:tcW w:w="415" w:type="pct"/>
                  <w:vMerge w:val="continue"/>
                  <w:vAlign w:val="center"/>
                </w:tcPr>
                <w:p w14:paraId="03118577">
                  <w:pPr>
                    <w:pStyle w:val="154"/>
                    <w:rPr>
                      <w:sz w:val="21"/>
                      <w:szCs w:val="21"/>
                    </w:rPr>
                  </w:pPr>
                </w:p>
              </w:tc>
              <w:tc>
                <w:tcPr>
                  <w:tcW w:w="208" w:type="pct"/>
                  <w:vMerge w:val="continue"/>
                  <w:vAlign w:val="center"/>
                </w:tcPr>
                <w:p w14:paraId="28F37C9B">
                  <w:pPr>
                    <w:pStyle w:val="154"/>
                    <w:rPr>
                      <w:sz w:val="21"/>
                      <w:szCs w:val="21"/>
                    </w:rPr>
                  </w:pPr>
                </w:p>
              </w:tc>
              <w:tc>
                <w:tcPr>
                  <w:tcW w:w="208" w:type="pct"/>
                  <w:vMerge w:val="continue"/>
                  <w:vAlign w:val="center"/>
                </w:tcPr>
                <w:p w14:paraId="25AF25E5">
                  <w:pPr>
                    <w:pStyle w:val="154"/>
                    <w:rPr>
                      <w:sz w:val="21"/>
                      <w:szCs w:val="21"/>
                    </w:rPr>
                  </w:pPr>
                </w:p>
              </w:tc>
              <w:tc>
                <w:tcPr>
                  <w:tcW w:w="260" w:type="pct"/>
                  <w:vMerge w:val="continue"/>
                  <w:vAlign w:val="center"/>
                </w:tcPr>
                <w:p w14:paraId="77EB87A4">
                  <w:pPr>
                    <w:pStyle w:val="154"/>
                    <w:rPr>
                      <w:sz w:val="21"/>
                      <w:szCs w:val="21"/>
                    </w:rPr>
                  </w:pPr>
                </w:p>
              </w:tc>
              <w:tc>
                <w:tcPr>
                  <w:tcW w:w="224" w:type="pct"/>
                  <w:vAlign w:val="center"/>
                </w:tcPr>
                <w:p w14:paraId="6C1064ED">
                  <w:pPr>
                    <w:pStyle w:val="154"/>
                    <w:rPr>
                      <w:sz w:val="21"/>
                      <w:szCs w:val="21"/>
                    </w:rPr>
                  </w:pPr>
                  <w:r>
                    <w:rPr>
                      <w:rFonts w:hint="eastAsia"/>
                      <w:sz w:val="21"/>
                      <w:szCs w:val="21"/>
                    </w:rPr>
                    <w:t>N</w:t>
                  </w:r>
                </w:p>
              </w:tc>
              <w:tc>
                <w:tcPr>
                  <w:tcW w:w="225" w:type="pct"/>
                  <w:vAlign w:val="center"/>
                </w:tcPr>
                <w:p w14:paraId="48237EC5">
                  <w:pPr>
                    <w:pStyle w:val="154"/>
                    <w:rPr>
                      <w:sz w:val="21"/>
                      <w:szCs w:val="21"/>
                    </w:rPr>
                  </w:pPr>
                  <w:r>
                    <w:rPr>
                      <w:rFonts w:hint="eastAsia"/>
                      <w:sz w:val="21"/>
                      <w:szCs w:val="21"/>
                    </w:rPr>
                    <w:t>24</w:t>
                  </w:r>
                </w:p>
              </w:tc>
              <w:tc>
                <w:tcPr>
                  <w:tcW w:w="309" w:type="pct"/>
                  <w:vAlign w:val="center"/>
                </w:tcPr>
                <w:p w14:paraId="683D9084">
                  <w:pPr>
                    <w:jc w:val="center"/>
                    <w:rPr>
                      <w:rFonts w:ascii="Times New Roman" w:hAnsi="Times New Roman" w:cs="Times New Roman"/>
                      <w:color w:val="000000"/>
                      <w:sz w:val="21"/>
                      <w:szCs w:val="21"/>
                    </w:rPr>
                  </w:pPr>
                  <w:r>
                    <w:rPr>
                      <w:rFonts w:ascii="Times New Roman" w:hAnsi="Times New Roman" w:cs="Times New Roman"/>
                      <w:color w:val="000000"/>
                      <w:sz w:val="21"/>
                      <w:szCs w:val="21"/>
                    </w:rPr>
                    <w:t>52.40</w:t>
                  </w:r>
                </w:p>
              </w:tc>
              <w:tc>
                <w:tcPr>
                  <w:tcW w:w="258" w:type="pct"/>
                  <w:vMerge w:val="continue"/>
                  <w:vAlign w:val="center"/>
                </w:tcPr>
                <w:p w14:paraId="6B0A00AF">
                  <w:pPr>
                    <w:pStyle w:val="154"/>
                    <w:rPr>
                      <w:sz w:val="21"/>
                      <w:szCs w:val="21"/>
                    </w:rPr>
                  </w:pPr>
                </w:p>
              </w:tc>
              <w:tc>
                <w:tcPr>
                  <w:tcW w:w="258" w:type="pct"/>
                  <w:vAlign w:val="center"/>
                </w:tcPr>
                <w:p w14:paraId="10758624">
                  <w:pPr>
                    <w:pStyle w:val="154"/>
                    <w:rPr>
                      <w:sz w:val="21"/>
                      <w:szCs w:val="21"/>
                    </w:rPr>
                  </w:pPr>
                  <w:r>
                    <w:rPr>
                      <w:rFonts w:hint="eastAsia"/>
                      <w:sz w:val="21"/>
                      <w:szCs w:val="21"/>
                    </w:rPr>
                    <w:t>20</w:t>
                  </w:r>
                </w:p>
              </w:tc>
              <w:tc>
                <w:tcPr>
                  <w:tcW w:w="257" w:type="pct"/>
                  <w:vAlign w:val="center"/>
                </w:tcPr>
                <w:p w14:paraId="3D0E6719">
                  <w:pPr>
                    <w:pStyle w:val="154"/>
                    <w:rPr>
                      <w:color w:val="000000"/>
                      <w:sz w:val="21"/>
                      <w:szCs w:val="21"/>
                    </w:rPr>
                  </w:pPr>
                  <w:r>
                    <w:rPr>
                      <w:rFonts w:hint="eastAsia"/>
                      <w:color w:val="000000"/>
                      <w:sz w:val="21"/>
                      <w:szCs w:val="21"/>
                    </w:rPr>
                    <w:t>32.40</w:t>
                  </w:r>
                </w:p>
              </w:tc>
              <w:tc>
                <w:tcPr>
                  <w:tcW w:w="251" w:type="pct"/>
                  <w:vAlign w:val="center"/>
                </w:tcPr>
                <w:p w14:paraId="7BD75626">
                  <w:pPr>
                    <w:pStyle w:val="154"/>
                    <w:rPr>
                      <w:sz w:val="21"/>
                      <w:szCs w:val="21"/>
                    </w:rPr>
                  </w:pPr>
                  <w:r>
                    <w:rPr>
                      <w:rFonts w:hint="eastAsia"/>
                      <w:sz w:val="21"/>
                      <w:szCs w:val="21"/>
                    </w:rPr>
                    <w:t>1</w:t>
                  </w:r>
                </w:p>
              </w:tc>
            </w:tr>
            <w:tr w14:paraId="3FA51E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 w:hRule="atLeast"/>
                <w:jc w:val="center"/>
              </w:trPr>
              <w:tc>
                <w:tcPr>
                  <w:tcW w:w="160" w:type="pct"/>
                  <w:vMerge w:val="restart"/>
                  <w:vAlign w:val="center"/>
                </w:tcPr>
                <w:p w14:paraId="4CFF60AC">
                  <w:pPr>
                    <w:pStyle w:val="154"/>
                    <w:rPr>
                      <w:sz w:val="21"/>
                      <w:szCs w:val="21"/>
                    </w:rPr>
                  </w:pPr>
                  <w:r>
                    <w:rPr>
                      <w:rFonts w:hint="eastAsia"/>
                      <w:sz w:val="21"/>
                      <w:szCs w:val="21"/>
                    </w:rPr>
                    <w:t>16</w:t>
                  </w:r>
                </w:p>
              </w:tc>
              <w:tc>
                <w:tcPr>
                  <w:tcW w:w="257" w:type="pct"/>
                  <w:vMerge w:val="continue"/>
                  <w:vAlign w:val="center"/>
                </w:tcPr>
                <w:p w14:paraId="35154CC5">
                  <w:pPr>
                    <w:pStyle w:val="154"/>
                    <w:rPr>
                      <w:sz w:val="21"/>
                      <w:szCs w:val="21"/>
                    </w:rPr>
                  </w:pPr>
                </w:p>
              </w:tc>
              <w:tc>
                <w:tcPr>
                  <w:tcW w:w="566" w:type="pct"/>
                  <w:vMerge w:val="restart"/>
                  <w:vAlign w:val="center"/>
                </w:tcPr>
                <w:p w14:paraId="2620FBA1">
                  <w:pPr>
                    <w:pStyle w:val="154"/>
                    <w:rPr>
                      <w:sz w:val="21"/>
                      <w:szCs w:val="21"/>
                    </w:rPr>
                  </w:pPr>
                  <w:r>
                    <w:rPr>
                      <w:sz w:val="21"/>
                      <w:szCs w:val="21"/>
                    </w:rPr>
                    <w:t>破碎机</w:t>
                  </w:r>
                  <w:r>
                    <w:rPr>
                      <w:rFonts w:hint="eastAsia"/>
                      <w:sz w:val="21"/>
                      <w:szCs w:val="21"/>
                    </w:rPr>
                    <w:t>5#</w:t>
                  </w:r>
                </w:p>
              </w:tc>
              <w:tc>
                <w:tcPr>
                  <w:tcW w:w="208" w:type="pct"/>
                  <w:vMerge w:val="restart"/>
                  <w:vAlign w:val="center"/>
                </w:tcPr>
                <w:p w14:paraId="71F1E86E">
                  <w:pPr>
                    <w:pStyle w:val="154"/>
                    <w:rPr>
                      <w:sz w:val="21"/>
                      <w:szCs w:val="21"/>
                    </w:rPr>
                  </w:pPr>
                  <w:r>
                    <w:rPr>
                      <w:rFonts w:hint="eastAsia"/>
                      <w:sz w:val="21"/>
                      <w:szCs w:val="21"/>
                    </w:rPr>
                    <w:t>/</w:t>
                  </w:r>
                </w:p>
              </w:tc>
              <w:tc>
                <w:tcPr>
                  <w:tcW w:w="572" w:type="pct"/>
                  <w:vMerge w:val="restart"/>
                  <w:vAlign w:val="center"/>
                </w:tcPr>
                <w:p w14:paraId="4CAEE5C6">
                  <w:pPr>
                    <w:pStyle w:val="154"/>
                    <w:rPr>
                      <w:sz w:val="21"/>
                      <w:szCs w:val="21"/>
                    </w:rPr>
                  </w:pPr>
                  <w:r>
                    <w:rPr>
                      <w:rFonts w:hint="eastAsia"/>
                      <w:sz w:val="21"/>
                      <w:szCs w:val="21"/>
                    </w:rPr>
                    <w:t>/</w:t>
                  </w:r>
                </w:p>
              </w:tc>
              <w:tc>
                <w:tcPr>
                  <w:tcW w:w="364" w:type="pct"/>
                  <w:vMerge w:val="restart"/>
                  <w:vAlign w:val="center"/>
                </w:tcPr>
                <w:p w14:paraId="712E16F2">
                  <w:pPr>
                    <w:pStyle w:val="154"/>
                    <w:rPr>
                      <w:sz w:val="21"/>
                      <w:szCs w:val="21"/>
                    </w:rPr>
                  </w:pPr>
                  <w:r>
                    <w:rPr>
                      <w:rFonts w:hint="eastAsia"/>
                      <w:sz w:val="21"/>
                      <w:szCs w:val="21"/>
                    </w:rPr>
                    <w:t>80</w:t>
                  </w:r>
                </w:p>
              </w:tc>
              <w:tc>
                <w:tcPr>
                  <w:tcW w:w="415" w:type="pct"/>
                  <w:vMerge w:val="continue"/>
                  <w:vAlign w:val="center"/>
                </w:tcPr>
                <w:p w14:paraId="08B10A0C">
                  <w:pPr>
                    <w:pStyle w:val="154"/>
                    <w:rPr>
                      <w:sz w:val="21"/>
                      <w:szCs w:val="21"/>
                    </w:rPr>
                  </w:pPr>
                </w:p>
              </w:tc>
              <w:tc>
                <w:tcPr>
                  <w:tcW w:w="208" w:type="pct"/>
                  <w:vMerge w:val="restart"/>
                  <w:vAlign w:val="center"/>
                </w:tcPr>
                <w:p w14:paraId="20C2BD34">
                  <w:pPr>
                    <w:pStyle w:val="154"/>
                    <w:rPr>
                      <w:sz w:val="21"/>
                      <w:szCs w:val="21"/>
                    </w:rPr>
                  </w:pPr>
                  <w:r>
                    <w:rPr>
                      <w:rFonts w:hint="eastAsia"/>
                      <w:sz w:val="21"/>
                      <w:szCs w:val="21"/>
                    </w:rPr>
                    <w:t>17</w:t>
                  </w:r>
                </w:p>
              </w:tc>
              <w:tc>
                <w:tcPr>
                  <w:tcW w:w="208" w:type="pct"/>
                  <w:vMerge w:val="restart"/>
                  <w:vAlign w:val="center"/>
                </w:tcPr>
                <w:p w14:paraId="552094CF">
                  <w:pPr>
                    <w:pStyle w:val="154"/>
                    <w:rPr>
                      <w:sz w:val="21"/>
                      <w:szCs w:val="21"/>
                    </w:rPr>
                  </w:pPr>
                  <w:r>
                    <w:rPr>
                      <w:rFonts w:hint="eastAsia"/>
                      <w:sz w:val="21"/>
                      <w:szCs w:val="21"/>
                    </w:rPr>
                    <w:t>6</w:t>
                  </w:r>
                </w:p>
              </w:tc>
              <w:tc>
                <w:tcPr>
                  <w:tcW w:w="260" w:type="pct"/>
                  <w:vMerge w:val="restart"/>
                  <w:vAlign w:val="center"/>
                </w:tcPr>
                <w:p w14:paraId="250F5B28">
                  <w:pPr>
                    <w:pStyle w:val="154"/>
                    <w:rPr>
                      <w:sz w:val="21"/>
                      <w:szCs w:val="21"/>
                    </w:rPr>
                  </w:pPr>
                  <w:r>
                    <w:rPr>
                      <w:rFonts w:hint="eastAsia"/>
                      <w:sz w:val="21"/>
                      <w:szCs w:val="21"/>
                    </w:rPr>
                    <w:t>1</w:t>
                  </w:r>
                </w:p>
              </w:tc>
              <w:tc>
                <w:tcPr>
                  <w:tcW w:w="224" w:type="pct"/>
                  <w:vAlign w:val="center"/>
                </w:tcPr>
                <w:p w14:paraId="227755FE">
                  <w:pPr>
                    <w:pStyle w:val="154"/>
                    <w:rPr>
                      <w:sz w:val="21"/>
                      <w:szCs w:val="21"/>
                    </w:rPr>
                  </w:pPr>
                  <w:r>
                    <w:rPr>
                      <w:rFonts w:hint="eastAsia"/>
                      <w:sz w:val="21"/>
                      <w:szCs w:val="21"/>
                    </w:rPr>
                    <w:t>E</w:t>
                  </w:r>
                </w:p>
              </w:tc>
              <w:tc>
                <w:tcPr>
                  <w:tcW w:w="225" w:type="pct"/>
                  <w:vAlign w:val="center"/>
                </w:tcPr>
                <w:p w14:paraId="6B5843E7">
                  <w:pPr>
                    <w:pStyle w:val="154"/>
                    <w:rPr>
                      <w:sz w:val="21"/>
                      <w:szCs w:val="21"/>
                    </w:rPr>
                  </w:pPr>
                  <w:r>
                    <w:rPr>
                      <w:rFonts w:hint="eastAsia"/>
                      <w:sz w:val="21"/>
                      <w:szCs w:val="21"/>
                    </w:rPr>
                    <w:t>20</w:t>
                  </w:r>
                </w:p>
              </w:tc>
              <w:tc>
                <w:tcPr>
                  <w:tcW w:w="309" w:type="pct"/>
                  <w:vAlign w:val="center"/>
                </w:tcPr>
                <w:p w14:paraId="78916CFC">
                  <w:pPr>
                    <w:jc w:val="center"/>
                    <w:rPr>
                      <w:rFonts w:ascii="Times New Roman" w:hAnsi="Times New Roman" w:cs="Times New Roman"/>
                      <w:color w:val="000000"/>
                      <w:sz w:val="21"/>
                      <w:szCs w:val="21"/>
                    </w:rPr>
                  </w:pPr>
                  <w:r>
                    <w:rPr>
                      <w:rFonts w:ascii="Times New Roman" w:hAnsi="Times New Roman" w:cs="Times New Roman"/>
                      <w:color w:val="000000"/>
                      <w:sz w:val="21"/>
                      <w:szCs w:val="21"/>
                    </w:rPr>
                    <w:t>53.98</w:t>
                  </w:r>
                </w:p>
              </w:tc>
              <w:tc>
                <w:tcPr>
                  <w:tcW w:w="258" w:type="pct"/>
                  <w:vMerge w:val="restart"/>
                  <w:vAlign w:val="center"/>
                </w:tcPr>
                <w:p w14:paraId="04C16EF5">
                  <w:pPr>
                    <w:pStyle w:val="154"/>
                    <w:rPr>
                      <w:sz w:val="21"/>
                      <w:szCs w:val="21"/>
                    </w:rPr>
                  </w:pPr>
                  <w:r>
                    <w:rPr>
                      <w:rFonts w:hint="eastAsia"/>
                      <w:sz w:val="21"/>
                      <w:szCs w:val="21"/>
                    </w:rPr>
                    <w:t>昼间</w:t>
                  </w:r>
                </w:p>
              </w:tc>
              <w:tc>
                <w:tcPr>
                  <w:tcW w:w="258" w:type="pct"/>
                  <w:vAlign w:val="center"/>
                </w:tcPr>
                <w:p w14:paraId="2F371068">
                  <w:pPr>
                    <w:pStyle w:val="154"/>
                    <w:rPr>
                      <w:sz w:val="21"/>
                      <w:szCs w:val="21"/>
                    </w:rPr>
                  </w:pPr>
                  <w:r>
                    <w:rPr>
                      <w:rFonts w:hint="eastAsia"/>
                      <w:sz w:val="21"/>
                      <w:szCs w:val="21"/>
                    </w:rPr>
                    <w:t>20</w:t>
                  </w:r>
                </w:p>
              </w:tc>
              <w:tc>
                <w:tcPr>
                  <w:tcW w:w="257" w:type="pct"/>
                  <w:vAlign w:val="center"/>
                </w:tcPr>
                <w:p w14:paraId="35AF158E">
                  <w:pPr>
                    <w:pStyle w:val="154"/>
                    <w:rPr>
                      <w:color w:val="000000"/>
                      <w:sz w:val="21"/>
                      <w:szCs w:val="21"/>
                    </w:rPr>
                  </w:pPr>
                  <w:r>
                    <w:rPr>
                      <w:rFonts w:hint="eastAsia"/>
                      <w:color w:val="000000"/>
                      <w:sz w:val="21"/>
                      <w:szCs w:val="21"/>
                    </w:rPr>
                    <w:t>33.98</w:t>
                  </w:r>
                </w:p>
              </w:tc>
              <w:tc>
                <w:tcPr>
                  <w:tcW w:w="251" w:type="pct"/>
                  <w:vAlign w:val="center"/>
                </w:tcPr>
                <w:p w14:paraId="7A613A6E">
                  <w:pPr>
                    <w:pStyle w:val="154"/>
                    <w:rPr>
                      <w:sz w:val="21"/>
                      <w:szCs w:val="21"/>
                    </w:rPr>
                  </w:pPr>
                  <w:r>
                    <w:rPr>
                      <w:rFonts w:hint="eastAsia"/>
                      <w:sz w:val="21"/>
                      <w:szCs w:val="21"/>
                    </w:rPr>
                    <w:t>1</w:t>
                  </w:r>
                </w:p>
              </w:tc>
            </w:tr>
            <w:tr w14:paraId="73B7F4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 w:hRule="atLeast"/>
                <w:jc w:val="center"/>
              </w:trPr>
              <w:tc>
                <w:tcPr>
                  <w:tcW w:w="160" w:type="pct"/>
                  <w:vMerge w:val="continue"/>
                  <w:vAlign w:val="center"/>
                </w:tcPr>
                <w:p w14:paraId="7ECF9BDA">
                  <w:pPr>
                    <w:pStyle w:val="154"/>
                    <w:rPr>
                      <w:sz w:val="21"/>
                      <w:szCs w:val="21"/>
                    </w:rPr>
                  </w:pPr>
                </w:p>
              </w:tc>
              <w:tc>
                <w:tcPr>
                  <w:tcW w:w="257" w:type="pct"/>
                  <w:vMerge w:val="continue"/>
                  <w:vAlign w:val="center"/>
                </w:tcPr>
                <w:p w14:paraId="653B4194">
                  <w:pPr>
                    <w:pStyle w:val="154"/>
                    <w:rPr>
                      <w:sz w:val="21"/>
                      <w:szCs w:val="21"/>
                    </w:rPr>
                  </w:pPr>
                </w:p>
              </w:tc>
              <w:tc>
                <w:tcPr>
                  <w:tcW w:w="566" w:type="pct"/>
                  <w:vMerge w:val="continue"/>
                  <w:vAlign w:val="center"/>
                </w:tcPr>
                <w:p w14:paraId="11ABFE6E">
                  <w:pPr>
                    <w:pStyle w:val="154"/>
                    <w:rPr>
                      <w:sz w:val="21"/>
                      <w:szCs w:val="21"/>
                    </w:rPr>
                  </w:pPr>
                </w:p>
              </w:tc>
              <w:tc>
                <w:tcPr>
                  <w:tcW w:w="208" w:type="pct"/>
                  <w:vMerge w:val="continue"/>
                  <w:vAlign w:val="center"/>
                </w:tcPr>
                <w:p w14:paraId="174A69E4">
                  <w:pPr>
                    <w:pStyle w:val="154"/>
                    <w:rPr>
                      <w:sz w:val="21"/>
                      <w:szCs w:val="21"/>
                    </w:rPr>
                  </w:pPr>
                </w:p>
              </w:tc>
              <w:tc>
                <w:tcPr>
                  <w:tcW w:w="572" w:type="pct"/>
                  <w:vMerge w:val="continue"/>
                  <w:vAlign w:val="center"/>
                </w:tcPr>
                <w:p w14:paraId="22BDACC5">
                  <w:pPr>
                    <w:pStyle w:val="154"/>
                    <w:rPr>
                      <w:sz w:val="21"/>
                      <w:szCs w:val="21"/>
                    </w:rPr>
                  </w:pPr>
                </w:p>
              </w:tc>
              <w:tc>
                <w:tcPr>
                  <w:tcW w:w="364" w:type="pct"/>
                  <w:vMerge w:val="continue"/>
                  <w:vAlign w:val="center"/>
                </w:tcPr>
                <w:p w14:paraId="13328255">
                  <w:pPr>
                    <w:pStyle w:val="154"/>
                    <w:rPr>
                      <w:sz w:val="21"/>
                      <w:szCs w:val="21"/>
                    </w:rPr>
                  </w:pPr>
                </w:p>
              </w:tc>
              <w:tc>
                <w:tcPr>
                  <w:tcW w:w="415" w:type="pct"/>
                  <w:vMerge w:val="continue"/>
                  <w:vAlign w:val="center"/>
                </w:tcPr>
                <w:p w14:paraId="4D0177F5">
                  <w:pPr>
                    <w:pStyle w:val="154"/>
                    <w:rPr>
                      <w:sz w:val="21"/>
                      <w:szCs w:val="21"/>
                    </w:rPr>
                  </w:pPr>
                </w:p>
              </w:tc>
              <w:tc>
                <w:tcPr>
                  <w:tcW w:w="208" w:type="pct"/>
                  <w:vMerge w:val="continue"/>
                  <w:vAlign w:val="center"/>
                </w:tcPr>
                <w:p w14:paraId="00D077B0">
                  <w:pPr>
                    <w:pStyle w:val="154"/>
                    <w:rPr>
                      <w:sz w:val="21"/>
                      <w:szCs w:val="21"/>
                    </w:rPr>
                  </w:pPr>
                </w:p>
              </w:tc>
              <w:tc>
                <w:tcPr>
                  <w:tcW w:w="208" w:type="pct"/>
                  <w:vMerge w:val="continue"/>
                  <w:vAlign w:val="center"/>
                </w:tcPr>
                <w:p w14:paraId="52BFA4A1">
                  <w:pPr>
                    <w:pStyle w:val="154"/>
                    <w:rPr>
                      <w:sz w:val="21"/>
                      <w:szCs w:val="21"/>
                    </w:rPr>
                  </w:pPr>
                </w:p>
              </w:tc>
              <w:tc>
                <w:tcPr>
                  <w:tcW w:w="260" w:type="pct"/>
                  <w:vMerge w:val="continue"/>
                  <w:vAlign w:val="center"/>
                </w:tcPr>
                <w:p w14:paraId="032AD226">
                  <w:pPr>
                    <w:pStyle w:val="154"/>
                    <w:rPr>
                      <w:sz w:val="21"/>
                      <w:szCs w:val="21"/>
                    </w:rPr>
                  </w:pPr>
                </w:p>
              </w:tc>
              <w:tc>
                <w:tcPr>
                  <w:tcW w:w="224" w:type="pct"/>
                  <w:vAlign w:val="center"/>
                </w:tcPr>
                <w:p w14:paraId="79E2F438">
                  <w:pPr>
                    <w:pStyle w:val="154"/>
                    <w:rPr>
                      <w:sz w:val="21"/>
                      <w:szCs w:val="21"/>
                    </w:rPr>
                  </w:pPr>
                  <w:r>
                    <w:rPr>
                      <w:rFonts w:hint="eastAsia"/>
                      <w:sz w:val="21"/>
                      <w:szCs w:val="21"/>
                    </w:rPr>
                    <w:t>W</w:t>
                  </w:r>
                </w:p>
              </w:tc>
              <w:tc>
                <w:tcPr>
                  <w:tcW w:w="225" w:type="pct"/>
                  <w:vAlign w:val="center"/>
                </w:tcPr>
                <w:p w14:paraId="6104EF9D">
                  <w:pPr>
                    <w:pStyle w:val="154"/>
                    <w:rPr>
                      <w:sz w:val="21"/>
                      <w:szCs w:val="21"/>
                    </w:rPr>
                  </w:pPr>
                  <w:r>
                    <w:rPr>
                      <w:rFonts w:hint="eastAsia"/>
                      <w:sz w:val="21"/>
                      <w:szCs w:val="21"/>
                    </w:rPr>
                    <w:t>17</w:t>
                  </w:r>
                </w:p>
              </w:tc>
              <w:tc>
                <w:tcPr>
                  <w:tcW w:w="309" w:type="pct"/>
                  <w:vAlign w:val="center"/>
                </w:tcPr>
                <w:p w14:paraId="4795BDDB">
                  <w:pPr>
                    <w:jc w:val="center"/>
                    <w:rPr>
                      <w:rFonts w:ascii="Times New Roman" w:hAnsi="Times New Roman" w:cs="Times New Roman"/>
                      <w:color w:val="000000"/>
                      <w:sz w:val="21"/>
                      <w:szCs w:val="21"/>
                    </w:rPr>
                  </w:pPr>
                  <w:r>
                    <w:rPr>
                      <w:rFonts w:ascii="Times New Roman" w:hAnsi="Times New Roman" w:cs="Times New Roman"/>
                      <w:color w:val="000000"/>
                      <w:sz w:val="21"/>
                      <w:szCs w:val="21"/>
                    </w:rPr>
                    <w:t>55.39</w:t>
                  </w:r>
                </w:p>
              </w:tc>
              <w:tc>
                <w:tcPr>
                  <w:tcW w:w="258" w:type="pct"/>
                  <w:vMerge w:val="continue"/>
                  <w:vAlign w:val="center"/>
                </w:tcPr>
                <w:p w14:paraId="093C257B">
                  <w:pPr>
                    <w:pStyle w:val="154"/>
                    <w:rPr>
                      <w:sz w:val="21"/>
                      <w:szCs w:val="21"/>
                    </w:rPr>
                  </w:pPr>
                </w:p>
              </w:tc>
              <w:tc>
                <w:tcPr>
                  <w:tcW w:w="258" w:type="pct"/>
                  <w:vAlign w:val="center"/>
                </w:tcPr>
                <w:p w14:paraId="78925AA3">
                  <w:pPr>
                    <w:pStyle w:val="154"/>
                    <w:rPr>
                      <w:sz w:val="21"/>
                      <w:szCs w:val="21"/>
                    </w:rPr>
                  </w:pPr>
                  <w:r>
                    <w:rPr>
                      <w:rFonts w:hint="eastAsia"/>
                      <w:sz w:val="21"/>
                      <w:szCs w:val="21"/>
                    </w:rPr>
                    <w:t>20</w:t>
                  </w:r>
                </w:p>
              </w:tc>
              <w:tc>
                <w:tcPr>
                  <w:tcW w:w="257" w:type="pct"/>
                  <w:vAlign w:val="center"/>
                </w:tcPr>
                <w:p w14:paraId="25268269">
                  <w:pPr>
                    <w:pStyle w:val="154"/>
                    <w:rPr>
                      <w:color w:val="000000"/>
                      <w:sz w:val="21"/>
                      <w:szCs w:val="21"/>
                    </w:rPr>
                  </w:pPr>
                  <w:r>
                    <w:rPr>
                      <w:rFonts w:hint="eastAsia"/>
                      <w:color w:val="000000"/>
                      <w:sz w:val="21"/>
                      <w:szCs w:val="21"/>
                    </w:rPr>
                    <w:t>35.39</w:t>
                  </w:r>
                </w:p>
              </w:tc>
              <w:tc>
                <w:tcPr>
                  <w:tcW w:w="251" w:type="pct"/>
                  <w:vAlign w:val="center"/>
                </w:tcPr>
                <w:p w14:paraId="11304235">
                  <w:pPr>
                    <w:pStyle w:val="154"/>
                    <w:rPr>
                      <w:sz w:val="21"/>
                      <w:szCs w:val="21"/>
                    </w:rPr>
                  </w:pPr>
                  <w:r>
                    <w:rPr>
                      <w:rFonts w:hint="eastAsia"/>
                      <w:sz w:val="21"/>
                      <w:szCs w:val="21"/>
                    </w:rPr>
                    <w:t>1</w:t>
                  </w:r>
                </w:p>
              </w:tc>
            </w:tr>
            <w:tr w14:paraId="28AA01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 w:hRule="atLeast"/>
                <w:jc w:val="center"/>
              </w:trPr>
              <w:tc>
                <w:tcPr>
                  <w:tcW w:w="160" w:type="pct"/>
                  <w:vMerge w:val="continue"/>
                  <w:vAlign w:val="center"/>
                </w:tcPr>
                <w:p w14:paraId="3CE9E181">
                  <w:pPr>
                    <w:pStyle w:val="154"/>
                    <w:rPr>
                      <w:sz w:val="21"/>
                      <w:szCs w:val="21"/>
                    </w:rPr>
                  </w:pPr>
                </w:p>
              </w:tc>
              <w:tc>
                <w:tcPr>
                  <w:tcW w:w="257" w:type="pct"/>
                  <w:vMerge w:val="continue"/>
                  <w:vAlign w:val="center"/>
                </w:tcPr>
                <w:p w14:paraId="2EB80756">
                  <w:pPr>
                    <w:pStyle w:val="154"/>
                    <w:rPr>
                      <w:sz w:val="21"/>
                      <w:szCs w:val="21"/>
                    </w:rPr>
                  </w:pPr>
                </w:p>
              </w:tc>
              <w:tc>
                <w:tcPr>
                  <w:tcW w:w="566" w:type="pct"/>
                  <w:vMerge w:val="continue"/>
                  <w:vAlign w:val="center"/>
                </w:tcPr>
                <w:p w14:paraId="2A1FC791">
                  <w:pPr>
                    <w:pStyle w:val="154"/>
                    <w:rPr>
                      <w:sz w:val="21"/>
                      <w:szCs w:val="21"/>
                    </w:rPr>
                  </w:pPr>
                </w:p>
              </w:tc>
              <w:tc>
                <w:tcPr>
                  <w:tcW w:w="208" w:type="pct"/>
                  <w:vMerge w:val="continue"/>
                  <w:vAlign w:val="center"/>
                </w:tcPr>
                <w:p w14:paraId="72695A4C">
                  <w:pPr>
                    <w:pStyle w:val="154"/>
                    <w:rPr>
                      <w:sz w:val="21"/>
                      <w:szCs w:val="21"/>
                    </w:rPr>
                  </w:pPr>
                </w:p>
              </w:tc>
              <w:tc>
                <w:tcPr>
                  <w:tcW w:w="572" w:type="pct"/>
                  <w:vMerge w:val="continue"/>
                  <w:vAlign w:val="center"/>
                </w:tcPr>
                <w:p w14:paraId="461EA7D4">
                  <w:pPr>
                    <w:pStyle w:val="154"/>
                    <w:rPr>
                      <w:sz w:val="21"/>
                      <w:szCs w:val="21"/>
                    </w:rPr>
                  </w:pPr>
                </w:p>
              </w:tc>
              <w:tc>
                <w:tcPr>
                  <w:tcW w:w="364" w:type="pct"/>
                  <w:vMerge w:val="continue"/>
                  <w:vAlign w:val="center"/>
                </w:tcPr>
                <w:p w14:paraId="1410B320">
                  <w:pPr>
                    <w:pStyle w:val="154"/>
                    <w:rPr>
                      <w:sz w:val="21"/>
                      <w:szCs w:val="21"/>
                    </w:rPr>
                  </w:pPr>
                </w:p>
              </w:tc>
              <w:tc>
                <w:tcPr>
                  <w:tcW w:w="415" w:type="pct"/>
                  <w:vMerge w:val="continue"/>
                  <w:vAlign w:val="center"/>
                </w:tcPr>
                <w:p w14:paraId="4493E5A1">
                  <w:pPr>
                    <w:pStyle w:val="154"/>
                    <w:rPr>
                      <w:sz w:val="21"/>
                      <w:szCs w:val="21"/>
                    </w:rPr>
                  </w:pPr>
                </w:p>
              </w:tc>
              <w:tc>
                <w:tcPr>
                  <w:tcW w:w="208" w:type="pct"/>
                  <w:vMerge w:val="continue"/>
                  <w:vAlign w:val="center"/>
                </w:tcPr>
                <w:p w14:paraId="0BB50234">
                  <w:pPr>
                    <w:pStyle w:val="154"/>
                    <w:rPr>
                      <w:sz w:val="21"/>
                      <w:szCs w:val="21"/>
                    </w:rPr>
                  </w:pPr>
                </w:p>
              </w:tc>
              <w:tc>
                <w:tcPr>
                  <w:tcW w:w="208" w:type="pct"/>
                  <w:vMerge w:val="continue"/>
                  <w:vAlign w:val="center"/>
                </w:tcPr>
                <w:p w14:paraId="59ABBC36">
                  <w:pPr>
                    <w:pStyle w:val="154"/>
                    <w:rPr>
                      <w:sz w:val="21"/>
                      <w:szCs w:val="21"/>
                    </w:rPr>
                  </w:pPr>
                </w:p>
              </w:tc>
              <w:tc>
                <w:tcPr>
                  <w:tcW w:w="260" w:type="pct"/>
                  <w:vMerge w:val="continue"/>
                  <w:vAlign w:val="center"/>
                </w:tcPr>
                <w:p w14:paraId="38250D0F">
                  <w:pPr>
                    <w:pStyle w:val="154"/>
                    <w:rPr>
                      <w:sz w:val="21"/>
                      <w:szCs w:val="21"/>
                    </w:rPr>
                  </w:pPr>
                </w:p>
              </w:tc>
              <w:tc>
                <w:tcPr>
                  <w:tcW w:w="224" w:type="pct"/>
                  <w:vAlign w:val="center"/>
                </w:tcPr>
                <w:p w14:paraId="5570C2A2">
                  <w:pPr>
                    <w:pStyle w:val="154"/>
                    <w:rPr>
                      <w:sz w:val="21"/>
                      <w:szCs w:val="21"/>
                    </w:rPr>
                  </w:pPr>
                  <w:r>
                    <w:rPr>
                      <w:rFonts w:hint="eastAsia"/>
                      <w:sz w:val="21"/>
                      <w:szCs w:val="21"/>
                    </w:rPr>
                    <w:t>S</w:t>
                  </w:r>
                </w:p>
              </w:tc>
              <w:tc>
                <w:tcPr>
                  <w:tcW w:w="225" w:type="pct"/>
                  <w:vAlign w:val="center"/>
                </w:tcPr>
                <w:p w14:paraId="094B2321">
                  <w:pPr>
                    <w:pStyle w:val="154"/>
                    <w:rPr>
                      <w:sz w:val="21"/>
                      <w:szCs w:val="21"/>
                    </w:rPr>
                  </w:pPr>
                  <w:r>
                    <w:rPr>
                      <w:rFonts w:hint="eastAsia"/>
                      <w:sz w:val="21"/>
                      <w:szCs w:val="21"/>
                    </w:rPr>
                    <w:t>6</w:t>
                  </w:r>
                </w:p>
              </w:tc>
              <w:tc>
                <w:tcPr>
                  <w:tcW w:w="309" w:type="pct"/>
                  <w:vAlign w:val="center"/>
                </w:tcPr>
                <w:p w14:paraId="55423EC7">
                  <w:pPr>
                    <w:jc w:val="center"/>
                    <w:rPr>
                      <w:rFonts w:ascii="Times New Roman" w:hAnsi="Times New Roman" w:cs="Times New Roman"/>
                      <w:color w:val="000000"/>
                      <w:sz w:val="21"/>
                      <w:szCs w:val="21"/>
                    </w:rPr>
                  </w:pPr>
                  <w:r>
                    <w:rPr>
                      <w:rFonts w:ascii="Times New Roman" w:hAnsi="Times New Roman" w:cs="Times New Roman"/>
                      <w:color w:val="000000"/>
                      <w:sz w:val="21"/>
                      <w:szCs w:val="21"/>
                    </w:rPr>
                    <w:t>64.44</w:t>
                  </w:r>
                </w:p>
              </w:tc>
              <w:tc>
                <w:tcPr>
                  <w:tcW w:w="258" w:type="pct"/>
                  <w:vMerge w:val="continue"/>
                  <w:vAlign w:val="center"/>
                </w:tcPr>
                <w:p w14:paraId="0D805893">
                  <w:pPr>
                    <w:pStyle w:val="154"/>
                    <w:rPr>
                      <w:sz w:val="21"/>
                      <w:szCs w:val="21"/>
                    </w:rPr>
                  </w:pPr>
                </w:p>
              </w:tc>
              <w:tc>
                <w:tcPr>
                  <w:tcW w:w="258" w:type="pct"/>
                  <w:vAlign w:val="center"/>
                </w:tcPr>
                <w:p w14:paraId="53D30D55">
                  <w:pPr>
                    <w:pStyle w:val="154"/>
                    <w:rPr>
                      <w:sz w:val="21"/>
                      <w:szCs w:val="21"/>
                    </w:rPr>
                  </w:pPr>
                  <w:r>
                    <w:rPr>
                      <w:rFonts w:hint="eastAsia"/>
                      <w:sz w:val="21"/>
                      <w:szCs w:val="21"/>
                    </w:rPr>
                    <w:t>20</w:t>
                  </w:r>
                </w:p>
              </w:tc>
              <w:tc>
                <w:tcPr>
                  <w:tcW w:w="257" w:type="pct"/>
                  <w:vAlign w:val="center"/>
                </w:tcPr>
                <w:p w14:paraId="013D971B">
                  <w:pPr>
                    <w:pStyle w:val="154"/>
                    <w:rPr>
                      <w:color w:val="000000"/>
                      <w:sz w:val="21"/>
                      <w:szCs w:val="21"/>
                    </w:rPr>
                  </w:pPr>
                  <w:r>
                    <w:rPr>
                      <w:rFonts w:hint="eastAsia"/>
                      <w:color w:val="000000"/>
                      <w:sz w:val="21"/>
                      <w:szCs w:val="21"/>
                    </w:rPr>
                    <w:t>44.44</w:t>
                  </w:r>
                </w:p>
              </w:tc>
              <w:tc>
                <w:tcPr>
                  <w:tcW w:w="251" w:type="pct"/>
                  <w:vAlign w:val="center"/>
                </w:tcPr>
                <w:p w14:paraId="6668DBC5">
                  <w:pPr>
                    <w:pStyle w:val="154"/>
                    <w:rPr>
                      <w:sz w:val="21"/>
                      <w:szCs w:val="21"/>
                    </w:rPr>
                  </w:pPr>
                  <w:r>
                    <w:rPr>
                      <w:rFonts w:hint="eastAsia"/>
                      <w:sz w:val="21"/>
                      <w:szCs w:val="21"/>
                    </w:rPr>
                    <w:t>1</w:t>
                  </w:r>
                </w:p>
              </w:tc>
            </w:tr>
            <w:tr w14:paraId="5D5C38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 w:hRule="atLeast"/>
                <w:jc w:val="center"/>
              </w:trPr>
              <w:tc>
                <w:tcPr>
                  <w:tcW w:w="160" w:type="pct"/>
                  <w:vMerge w:val="continue"/>
                  <w:vAlign w:val="center"/>
                </w:tcPr>
                <w:p w14:paraId="4638827F">
                  <w:pPr>
                    <w:pStyle w:val="154"/>
                    <w:rPr>
                      <w:sz w:val="21"/>
                      <w:szCs w:val="21"/>
                    </w:rPr>
                  </w:pPr>
                </w:p>
              </w:tc>
              <w:tc>
                <w:tcPr>
                  <w:tcW w:w="257" w:type="pct"/>
                  <w:vMerge w:val="continue"/>
                  <w:vAlign w:val="center"/>
                </w:tcPr>
                <w:p w14:paraId="4D066005">
                  <w:pPr>
                    <w:pStyle w:val="154"/>
                    <w:rPr>
                      <w:sz w:val="21"/>
                      <w:szCs w:val="21"/>
                    </w:rPr>
                  </w:pPr>
                </w:p>
              </w:tc>
              <w:tc>
                <w:tcPr>
                  <w:tcW w:w="566" w:type="pct"/>
                  <w:vMerge w:val="continue"/>
                  <w:vAlign w:val="center"/>
                </w:tcPr>
                <w:p w14:paraId="0F2468A3">
                  <w:pPr>
                    <w:pStyle w:val="154"/>
                    <w:rPr>
                      <w:sz w:val="21"/>
                      <w:szCs w:val="21"/>
                    </w:rPr>
                  </w:pPr>
                </w:p>
              </w:tc>
              <w:tc>
                <w:tcPr>
                  <w:tcW w:w="208" w:type="pct"/>
                  <w:vMerge w:val="continue"/>
                  <w:vAlign w:val="center"/>
                </w:tcPr>
                <w:p w14:paraId="72068F5A">
                  <w:pPr>
                    <w:pStyle w:val="154"/>
                    <w:rPr>
                      <w:sz w:val="21"/>
                      <w:szCs w:val="21"/>
                    </w:rPr>
                  </w:pPr>
                </w:p>
              </w:tc>
              <w:tc>
                <w:tcPr>
                  <w:tcW w:w="572" w:type="pct"/>
                  <w:vMerge w:val="continue"/>
                  <w:vAlign w:val="center"/>
                </w:tcPr>
                <w:p w14:paraId="446BB94E">
                  <w:pPr>
                    <w:pStyle w:val="154"/>
                    <w:rPr>
                      <w:sz w:val="21"/>
                      <w:szCs w:val="21"/>
                    </w:rPr>
                  </w:pPr>
                </w:p>
              </w:tc>
              <w:tc>
                <w:tcPr>
                  <w:tcW w:w="364" w:type="pct"/>
                  <w:vMerge w:val="continue"/>
                  <w:vAlign w:val="center"/>
                </w:tcPr>
                <w:p w14:paraId="27EC37DE">
                  <w:pPr>
                    <w:pStyle w:val="154"/>
                    <w:rPr>
                      <w:sz w:val="21"/>
                      <w:szCs w:val="21"/>
                    </w:rPr>
                  </w:pPr>
                </w:p>
              </w:tc>
              <w:tc>
                <w:tcPr>
                  <w:tcW w:w="415" w:type="pct"/>
                  <w:vMerge w:val="continue"/>
                  <w:vAlign w:val="center"/>
                </w:tcPr>
                <w:p w14:paraId="62E271F1">
                  <w:pPr>
                    <w:pStyle w:val="154"/>
                    <w:rPr>
                      <w:sz w:val="21"/>
                      <w:szCs w:val="21"/>
                    </w:rPr>
                  </w:pPr>
                </w:p>
              </w:tc>
              <w:tc>
                <w:tcPr>
                  <w:tcW w:w="208" w:type="pct"/>
                  <w:vMerge w:val="continue"/>
                  <w:vAlign w:val="center"/>
                </w:tcPr>
                <w:p w14:paraId="4B4F1A8F">
                  <w:pPr>
                    <w:pStyle w:val="154"/>
                    <w:rPr>
                      <w:sz w:val="21"/>
                      <w:szCs w:val="21"/>
                    </w:rPr>
                  </w:pPr>
                </w:p>
              </w:tc>
              <w:tc>
                <w:tcPr>
                  <w:tcW w:w="208" w:type="pct"/>
                  <w:vMerge w:val="continue"/>
                  <w:vAlign w:val="center"/>
                </w:tcPr>
                <w:p w14:paraId="2F449770">
                  <w:pPr>
                    <w:pStyle w:val="154"/>
                    <w:rPr>
                      <w:sz w:val="21"/>
                      <w:szCs w:val="21"/>
                    </w:rPr>
                  </w:pPr>
                </w:p>
              </w:tc>
              <w:tc>
                <w:tcPr>
                  <w:tcW w:w="260" w:type="pct"/>
                  <w:vMerge w:val="continue"/>
                  <w:vAlign w:val="center"/>
                </w:tcPr>
                <w:p w14:paraId="4D1FD8A6">
                  <w:pPr>
                    <w:pStyle w:val="154"/>
                    <w:rPr>
                      <w:sz w:val="21"/>
                      <w:szCs w:val="21"/>
                    </w:rPr>
                  </w:pPr>
                </w:p>
              </w:tc>
              <w:tc>
                <w:tcPr>
                  <w:tcW w:w="224" w:type="pct"/>
                  <w:vAlign w:val="center"/>
                </w:tcPr>
                <w:p w14:paraId="566CAAD6">
                  <w:pPr>
                    <w:pStyle w:val="154"/>
                    <w:rPr>
                      <w:sz w:val="21"/>
                      <w:szCs w:val="21"/>
                    </w:rPr>
                  </w:pPr>
                  <w:r>
                    <w:rPr>
                      <w:rFonts w:hint="eastAsia"/>
                      <w:sz w:val="21"/>
                      <w:szCs w:val="21"/>
                    </w:rPr>
                    <w:t>N</w:t>
                  </w:r>
                </w:p>
              </w:tc>
              <w:tc>
                <w:tcPr>
                  <w:tcW w:w="225" w:type="pct"/>
                  <w:vAlign w:val="center"/>
                </w:tcPr>
                <w:p w14:paraId="6160E97E">
                  <w:pPr>
                    <w:pStyle w:val="154"/>
                    <w:rPr>
                      <w:sz w:val="21"/>
                      <w:szCs w:val="21"/>
                    </w:rPr>
                  </w:pPr>
                  <w:r>
                    <w:rPr>
                      <w:rFonts w:hint="eastAsia"/>
                      <w:sz w:val="21"/>
                      <w:szCs w:val="21"/>
                    </w:rPr>
                    <w:t>24</w:t>
                  </w:r>
                </w:p>
              </w:tc>
              <w:tc>
                <w:tcPr>
                  <w:tcW w:w="309" w:type="pct"/>
                  <w:vAlign w:val="center"/>
                </w:tcPr>
                <w:p w14:paraId="3B8C4ECF">
                  <w:pPr>
                    <w:jc w:val="center"/>
                    <w:rPr>
                      <w:rFonts w:ascii="Times New Roman" w:hAnsi="Times New Roman" w:cs="Times New Roman"/>
                      <w:color w:val="000000"/>
                      <w:sz w:val="21"/>
                      <w:szCs w:val="21"/>
                    </w:rPr>
                  </w:pPr>
                  <w:r>
                    <w:rPr>
                      <w:rFonts w:ascii="Times New Roman" w:hAnsi="Times New Roman" w:cs="Times New Roman"/>
                      <w:color w:val="000000"/>
                      <w:sz w:val="21"/>
                      <w:szCs w:val="21"/>
                    </w:rPr>
                    <w:t>52.40</w:t>
                  </w:r>
                </w:p>
              </w:tc>
              <w:tc>
                <w:tcPr>
                  <w:tcW w:w="258" w:type="pct"/>
                  <w:vMerge w:val="continue"/>
                  <w:vAlign w:val="center"/>
                </w:tcPr>
                <w:p w14:paraId="7D9D0E60">
                  <w:pPr>
                    <w:pStyle w:val="154"/>
                    <w:rPr>
                      <w:sz w:val="21"/>
                      <w:szCs w:val="21"/>
                    </w:rPr>
                  </w:pPr>
                </w:p>
              </w:tc>
              <w:tc>
                <w:tcPr>
                  <w:tcW w:w="258" w:type="pct"/>
                  <w:vAlign w:val="center"/>
                </w:tcPr>
                <w:p w14:paraId="49F9CE64">
                  <w:pPr>
                    <w:pStyle w:val="154"/>
                    <w:rPr>
                      <w:sz w:val="21"/>
                      <w:szCs w:val="21"/>
                    </w:rPr>
                  </w:pPr>
                  <w:r>
                    <w:rPr>
                      <w:rFonts w:hint="eastAsia"/>
                      <w:sz w:val="21"/>
                      <w:szCs w:val="21"/>
                    </w:rPr>
                    <w:t>20</w:t>
                  </w:r>
                </w:p>
              </w:tc>
              <w:tc>
                <w:tcPr>
                  <w:tcW w:w="257" w:type="pct"/>
                  <w:vAlign w:val="center"/>
                </w:tcPr>
                <w:p w14:paraId="0172F075">
                  <w:pPr>
                    <w:pStyle w:val="154"/>
                    <w:rPr>
                      <w:color w:val="000000"/>
                      <w:sz w:val="21"/>
                      <w:szCs w:val="21"/>
                    </w:rPr>
                  </w:pPr>
                  <w:r>
                    <w:rPr>
                      <w:rFonts w:hint="eastAsia"/>
                      <w:color w:val="000000"/>
                      <w:sz w:val="21"/>
                      <w:szCs w:val="21"/>
                    </w:rPr>
                    <w:t>32.40</w:t>
                  </w:r>
                </w:p>
              </w:tc>
              <w:tc>
                <w:tcPr>
                  <w:tcW w:w="251" w:type="pct"/>
                  <w:vAlign w:val="center"/>
                </w:tcPr>
                <w:p w14:paraId="0735C3A9">
                  <w:pPr>
                    <w:pStyle w:val="154"/>
                    <w:rPr>
                      <w:sz w:val="21"/>
                      <w:szCs w:val="21"/>
                    </w:rPr>
                  </w:pPr>
                  <w:r>
                    <w:rPr>
                      <w:rFonts w:hint="eastAsia"/>
                      <w:sz w:val="21"/>
                      <w:szCs w:val="21"/>
                    </w:rPr>
                    <w:t>1</w:t>
                  </w:r>
                </w:p>
              </w:tc>
            </w:tr>
            <w:tr w14:paraId="56C140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 w:hRule="atLeast"/>
                <w:jc w:val="center"/>
              </w:trPr>
              <w:tc>
                <w:tcPr>
                  <w:tcW w:w="160" w:type="pct"/>
                  <w:vMerge w:val="restart"/>
                  <w:vAlign w:val="center"/>
                </w:tcPr>
                <w:p w14:paraId="2B9F6377">
                  <w:pPr>
                    <w:pStyle w:val="154"/>
                    <w:rPr>
                      <w:sz w:val="21"/>
                      <w:szCs w:val="21"/>
                    </w:rPr>
                  </w:pPr>
                  <w:r>
                    <w:rPr>
                      <w:rFonts w:hint="eastAsia"/>
                      <w:sz w:val="21"/>
                      <w:szCs w:val="21"/>
                    </w:rPr>
                    <w:t>17</w:t>
                  </w:r>
                </w:p>
              </w:tc>
              <w:tc>
                <w:tcPr>
                  <w:tcW w:w="257" w:type="pct"/>
                  <w:vMerge w:val="continue"/>
                  <w:vAlign w:val="center"/>
                </w:tcPr>
                <w:p w14:paraId="1A5C6C08">
                  <w:pPr>
                    <w:pStyle w:val="154"/>
                    <w:rPr>
                      <w:sz w:val="21"/>
                      <w:szCs w:val="21"/>
                    </w:rPr>
                  </w:pPr>
                </w:p>
              </w:tc>
              <w:tc>
                <w:tcPr>
                  <w:tcW w:w="566" w:type="pct"/>
                  <w:vMerge w:val="restart"/>
                  <w:vAlign w:val="center"/>
                </w:tcPr>
                <w:p w14:paraId="49867121">
                  <w:pPr>
                    <w:pStyle w:val="154"/>
                    <w:rPr>
                      <w:sz w:val="21"/>
                      <w:szCs w:val="21"/>
                    </w:rPr>
                  </w:pPr>
                  <w:r>
                    <w:rPr>
                      <w:sz w:val="21"/>
                      <w:szCs w:val="21"/>
                    </w:rPr>
                    <w:t>浇注机</w:t>
                  </w:r>
                  <w:r>
                    <w:rPr>
                      <w:rFonts w:hint="eastAsia"/>
                      <w:sz w:val="21"/>
                      <w:szCs w:val="21"/>
                    </w:rPr>
                    <w:t>1#</w:t>
                  </w:r>
                </w:p>
              </w:tc>
              <w:tc>
                <w:tcPr>
                  <w:tcW w:w="208" w:type="pct"/>
                  <w:vMerge w:val="restart"/>
                  <w:vAlign w:val="center"/>
                </w:tcPr>
                <w:p w14:paraId="22A0E4AC">
                  <w:pPr>
                    <w:pStyle w:val="154"/>
                    <w:rPr>
                      <w:sz w:val="21"/>
                      <w:szCs w:val="21"/>
                    </w:rPr>
                  </w:pPr>
                  <w:r>
                    <w:rPr>
                      <w:rFonts w:hint="eastAsia"/>
                      <w:sz w:val="21"/>
                      <w:szCs w:val="21"/>
                    </w:rPr>
                    <w:t>/</w:t>
                  </w:r>
                </w:p>
              </w:tc>
              <w:tc>
                <w:tcPr>
                  <w:tcW w:w="572" w:type="pct"/>
                  <w:vMerge w:val="restart"/>
                  <w:vAlign w:val="center"/>
                </w:tcPr>
                <w:p w14:paraId="59131CBB">
                  <w:pPr>
                    <w:pStyle w:val="154"/>
                    <w:rPr>
                      <w:sz w:val="21"/>
                      <w:szCs w:val="21"/>
                    </w:rPr>
                  </w:pPr>
                  <w:r>
                    <w:rPr>
                      <w:rFonts w:hint="eastAsia"/>
                      <w:sz w:val="21"/>
                      <w:szCs w:val="21"/>
                    </w:rPr>
                    <w:t>/</w:t>
                  </w:r>
                </w:p>
              </w:tc>
              <w:tc>
                <w:tcPr>
                  <w:tcW w:w="364" w:type="pct"/>
                  <w:vMerge w:val="restart"/>
                  <w:vAlign w:val="center"/>
                </w:tcPr>
                <w:p w14:paraId="7C0DC758">
                  <w:pPr>
                    <w:pStyle w:val="154"/>
                    <w:rPr>
                      <w:sz w:val="21"/>
                      <w:szCs w:val="21"/>
                    </w:rPr>
                  </w:pPr>
                  <w:r>
                    <w:rPr>
                      <w:rFonts w:hint="eastAsia"/>
                      <w:sz w:val="21"/>
                      <w:szCs w:val="21"/>
                    </w:rPr>
                    <w:t>80</w:t>
                  </w:r>
                </w:p>
              </w:tc>
              <w:tc>
                <w:tcPr>
                  <w:tcW w:w="415" w:type="pct"/>
                  <w:vMerge w:val="continue"/>
                  <w:vAlign w:val="center"/>
                </w:tcPr>
                <w:p w14:paraId="7A0913E7">
                  <w:pPr>
                    <w:pStyle w:val="154"/>
                    <w:rPr>
                      <w:sz w:val="21"/>
                      <w:szCs w:val="21"/>
                    </w:rPr>
                  </w:pPr>
                </w:p>
              </w:tc>
              <w:tc>
                <w:tcPr>
                  <w:tcW w:w="208" w:type="pct"/>
                  <w:vMerge w:val="restart"/>
                  <w:vAlign w:val="center"/>
                </w:tcPr>
                <w:p w14:paraId="6CFF8565">
                  <w:pPr>
                    <w:pStyle w:val="154"/>
                    <w:rPr>
                      <w:sz w:val="21"/>
                      <w:szCs w:val="21"/>
                    </w:rPr>
                  </w:pPr>
                  <w:r>
                    <w:rPr>
                      <w:rFonts w:hint="eastAsia"/>
                      <w:sz w:val="21"/>
                      <w:szCs w:val="21"/>
                    </w:rPr>
                    <w:t>18</w:t>
                  </w:r>
                </w:p>
              </w:tc>
              <w:tc>
                <w:tcPr>
                  <w:tcW w:w="208" w:type="pct"/>
                  <w:vMerge w:val="restart"/>
                  <w:vAlign w:val="center"/>
                </w:tcPr>
                <w:p w14:paraId="51E1EDD0">
                  <w:pPr>
                    <w:pStyle w:val="154"/>
                    <w:rPr>
                      <w:sz w:val="21"/>
                      <w:szCs w:val="21"/>
                    </w:rPr>
                  </w:pPr>
                  <w:r>
                    <w:rPr>
                      <w:rFonts w:hint="eastAsia"/>
                      <w:sz w:val="21"/>
                      <w:szCs w:val="21"/>
                    </w:rPr>
                    <w:t>4</w:t>
                  </w:r>
                </w:p>
              </w:tc>
              <w:tc>
                <w:tcPr>
                  <w:tcW w:w="260" w:type="pct"/>
                  <w:vMerge w:val="restart"/>
                  <w:vAlign w:val="center"/>
                </w:tcPr>
                <w:p w14:paraId="489AE4A3">
                  <w:pPr>
                    <w:pStyle w:val="154"/>
                    <w:rPr>
                      <w:sz w:val="21"/>
                      <w:szCs w:val="21"/>
                    </w:rPr>
                  </w:pPr>
                  <w:r>
                    <w:rPr>
                      <w:rFonts w:hint="eastAsia"/>
                      <w:sz w:val="21"/>
                      <w:szCs w:val="21"/>
                    </w:rPr>
                    <w:t>14</w:t>
                  </w:r>
                </w:p>
              </w:tc>
              <w:tc>
                <w:tcPr>
                  <w:tcW w:w="224" w:type="pct"/>
                  <w:vAlign w:val="center"/>
                </w:tcPr>
                <w:p w14:paraId="0E1B41EC">
                  <w:pPr>
                    <w:pStyle w:val="154"/>
                    <w:rPr>
                      <w:sz w:val="21"/>
                      <w:szCs w:val="21"/>
                    </w:rPr>
                  </w:pPr>
                  <w:r>
                    <w:rPr>
                      <w:rFonts w:hint="eastAsia"/>
                      <w:sz w:val="21"/>
                      <w:szCs w:val="21"/>
                    </w:rPr>
                    <w:t>E</w:t>
                  </w:r>
                </w:p>
              </w:tc>
              <w:tc>
                <w:tcPr>
                  <w:tcW w:w="225" w:type="pct"/>
                  <w:vAlign w:val="center"/>
                </w:tcPr>
                <w:p w14:paraId="77964F31">
                  <w:pPr>
                    <w:pStyle w:val="154"/>
                    <w:rPr>
                      <w:sz w:val="21"/>
                      <w:szCs w:val="21"/>
                    </w:rPr>
                  </w:pPr>
                  <w:r>
                    <w:rPr>
                      <w:rFonts w:hint="eastAsia"/>
                      <w:sz w:val="21"/>
                      <w:szCs w:val="21"/>
                    </w:rPr>
                    <w:t>17</w:t>
                  </w:r>
                </w:p>
              </w:tc>
              <w:tc>
                <w:tcPr>
                  <w:tcW w:w="309" w:type="pct"/>
                  <w:vAlign w:val="center"/>
                </w:tcPr>
                <w:p w14:paraId="44631CCD">
                  <w:pPr>
                    <w:jc w:val="center"/>
                    <w:rPr>
                      <w:rFonts w:ascii="Times New Roman" w:hAnsi="Times New Roman" w:cs="Times New Roman"/>
                      <w:color w:val="000000"/>
                      <w:sz w:val="21"/>
                      <w:szCs w:val="21"/>
                    </w:rPr>
                  </w:pPr>
                  <w:r>
                    <w:rPr>
                      <w:rFonts w:ascii="Times New Roman" w:hAnsi="Times New Roman" w:cs="Times New Roman"/>
                      <w:color w:val="000000"/>
                      <w:sz w:val="21"/>
                      <w:szCs w:val="21"/>
                    </w:rPr>
                    <w:t>55.39</w:t>
                  </w:r>
                </w:p>
              </w:tc>
              <w:tc>
                <w:tcPr>
                  <w:tcW w:w="258" w:type="pct"/>
                  <w:vMerge w:val="restart"/>
                  <w:vAlign w:val="center"/>
                </w:tcPr>
                <w:p w14:paraId="734961F9">
                  <w:pPr>
                    <w:pStyle w:val="154"/>
                    <w:rPr>
                      <w:sz w:val="21"/>
                      <w:szCs w:val="21"/>
                    </w:rPr>
                  </w:pPr>
                  <w:r>
                    <w:rPr>
                      <w:sz w:val="21"/>
                      <w:szCs w:val="21"/>
                    </w:rPr>
                    <w:t>昼间</w:t>
                  </w:r>
                </w:p>
              </w:tc>
              <w:tc>
                <w:tcPr>
                  <w:tcW w:w="258" w:type="pct"/>
                  <w:vAlign w:val="center"/>
                </w:tcPr>
                <w:p w14:paraId="5DFA2B98">
                  <w:pPr>
                    <w:pStyle w:val="154"/>
                    <w:rPr>
                      <w:sz w:val="21"/>
                      <w:szCs w:val="21"/>
                    </w:rPr>
                  </w:pPr>
                  <w:r>
                    <w:rPr>
                      <w:rFonts w:hint="eastAsia"/>
                      <w:sz w:val="21"/>
                      <w:szCs w:val="21"/>
                    </w:rPr>
                    <w:t>20</w:t>
                  </w:r>
                </w:p>
              </w:tc>
              <w:tc>
                <w:tcPr>
                  <w:tcW w:w="257" w:type="pct"/>
                  <w:vAlign w:val="center"/>
                </w:tcPr>
                <w:p w14:paraId="10E943F5">
                  <w:pPr>
                    <w:pStyle w:val="154"/>
                    <w:rPr>
                      <w:color w:val="000000"/>
                      <w:sz w:val="21"/>
                      <w:szCs w:val="21"/>
                    </w:rPr>
                  </w:pPr>
                  <w:r>
                    <w:rPr>
                      <w:rFonts w:hint="eastAsia"/>
                      <w:color w:val="000000"/>
                      <w:sz w:val="21"/>
                      <w:szCs w:val="21"/>
                    </w:rPr>
                    <w:t>35.39</w:t>
                  </w:r>
                </w:p>
              </w:tc>
              <w:tc>
                <w:tcPr>
                  <w:tcW w:w="251" w:type="pct"/>
                  <w:vAlign w:val="center"/>
                </w:tcPr>
                <w:p w14:paraId="491FB89A">
                  <w:pPr>
                    <w:pStyle w:val="154"/>
                    <w:rPr>
                      <w:sz w:val="21"/>
                      <w:szCs w:val="21"/>
                    </w:rPr>
                  </w:pPr>
                  <w:r>
                    <w:rPr>
                      <w:rFonts w:hint="eastAsia"/>
                      <w:sz w:val="21"/>
                      <w:szCs w:val="21"/>
                    </w:rPr>
                    <w:t>1</w:t>
                  </w:r>
                </w:p>
              </w:tc>
            </w:tr>
            <w:tr w14:paraId="141F4C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493170D9">
                  <w:pPr>
                    <w:pStyle w:val="154"/>
                    <w:rPr>
                      <w:sz w:val="21"/>
                      <w:szCs w:val="21"/>
                    </w:rPr>
                  </w:pPr>
                </w:p>
              </w:tc>
              <w:tc>
                <w:tcPr>
                  <w:tcW w:w="257" w:type="pct"/>
                  <w:vMerge w:val="continue"/>
                  <w:vAlign w:val="center"/>
                </w:tcPr>
                <w:p w14:paraId="18B855BC">
                  <w:pPr>
                    <w:pStyle w:val="154"/>
                    <w:rPr>
                      <w:sz w:val="21"/>
                      <w:szCs w:val="21"/>
                    </w:rPr>
                  </w:pPr>
                </w:p>
              </w:tc>
              <w:tc>
                <w:tcPr>
                  <w:tcW w:w="566" w:type="pct"/>
                  <w:vMerge w:val="continue"/>
                  <w:vAlign w:val="center"/>
                </w:tcPr>
                <w:p w14:paraId="6545EEAD">
                  <w:pPr>
                    <w:pStyle w:val="154"/>
                    <w:rPr>
                      <w:sz w:val="21"/>
                      <w:szCs w:val="21"/>
                    </w:rPr>
                  </w:pPr>
                </w:p>
              </w:tc>
              <w:tc>
                <w:tcPr>
                  <w:tcW w:w="208" w:type="pct"/>
                  <w:vMerge w:val="continue"/>
                  <w:vAlign w:val="center"/>
                </w:tcPr>
                <w:p w14:paraId="6A454F4D">
                  <w:pPr>
                    <w:pStyle w:val="154"/>
                    <w:rPr>
                      <w:sz w:val="21"/>
                      <w:szCs w:val="21"/>
                    </w:rPr>
                  </w:pPr>
                </w:p>
              </w:tc>
              <w:tc>
                <w:tcPr>
                  <w:tcW w:w="572" w:type="pct"/>
                  <w:vMerge w:val="continue"/>
                  <w:vAlign w:val="center"/>
                </w:tcPr>
                <w:p w14:paraId="2E5AD47C">
                  <w:pPr>
                    <w:pStyle w:val="154"/>
                    <w:rPr>
                      <w:sz w:val="21"/>
                      <w:szCs w:val="21"/>
                    </w:rPr>
                  </w:pPr>
                </w:p>
              </w:tc>
              <w:tc>
                <w:tcPr>
                  <w:tcW w:w="364" w:type="pct"/>
                  <w:vMerge w:val="continue"/>
                  <w:vAlign w:val="center"/>
                </w:tcPr>
                <w:p w14:paraId="2D3A4316">
                  <w:pPr>
                    <w:pStyle w:val="154"/>
                    <w:rPr>
                      <w:sz w:val="21"/>
                      <w:szCs w:val="21"/>
                    </w:rPr>
                  </w:pPr>
                </w:p>
              </w:tc>
              <w:tc>
                <w:tcPr>
                  <w:tcW w:w="415" w:type="pct"/>
                  <w:vMerge w:val="continue"/>
                  <w:vAlign w:val="center"/>
                </w:tcPr>
                <w:p w14:paraId="6AEA4120">
                  <w:pPr>
                    <w:pStyle w:val="154"/>
                    <w:rPr>
                      <w:sz w:val="21"/>
                      <w:szCs w:val="21"/>
                    </w:rPr>
                  </w:pPr>
                </w:p>
              </w:tc>
              <w:tc>
                <w:tcPr>
                  <w:tcW w:w="208" w:type="pct"/>
                  <w:vMerge w:val="continue"/>
                  <w:vAlign w:val="center"/>
                </w:tcPr>
                <w:p w14:paraId="20C88445">
                  <w:pPr>
                    <w:pStyle w:val="154"/>
                    <w:rPr>
                      <w:sz w:val="21"/>
                      <w:szCs w:val="21"/>
                    </w:rPr>
                  </w:pPr>
                </w:p>
              </w:tc>
              <w:tc>
                <w:tcPr>
                  <w:tcW w:w="208" w:type="pct"/>
                  <w:vMerge w:val="continue"/>
                  <w:vAlign w:val="center"/>
                </w:tcPr>
                <w:p w14:paraId="7975F99D">
                  <w:pPr>
                    <w:pStyle w:val="154"/>
                    <w:rPr>
                      <w:sz w:val="21"/>
                      <w:szCs w:val="21"/>
                    </w:rPr>
                  </w:pPr>
                </w:p>
              </w:tc>
              <w:tc>
                <w:tcPr>
                  <w:tcW w:w="260" w:type="pct"/>
                  <w:vMerge w:val="continue"/>
                  <w:vAlign w:val="center"/>
                </w:tcPr>
                <w:p w14:paraId="1EC0B8C2">
                  <w:pPr>
                    <w:pStyle w:val="154"/>
                    <w:rPr>
                      <w:sz w:val="21"/>
                      <w:szCs w:val="21"/>
                    </w:rPr>
                  </w:pPr>
                </w:p>
              </w:tc>
              <w:tc>
                <w:tcPr>
                  <w:tcW w:w="224" w:type="pct"/>
                  <w:vAlign w:val="center"/>
                </w:tcPr>
                <w:p w14:paraId="3FB850C6">
                  <w:pPr>
                    <w:pStyle w:val="154"/>
                    <w:rPr>
                      <w:sz w:val="21"/>
                      <w:szCs w:val="21"/>
                    </w:rPr>
                  </w:pPr>
                  <w:r>
                    <w:rPr>
                      <w:rFonts w:hint="eastAsia"/>
                      <w:sz w:val="21"/>
                      <w:szCs w:val="21"/>
                    </w:rPr>
                    <w:t>W</w:t>
                  </w:r>
                </w:p>
              </w:tc>
              <w:tc>
                <w:tcPr>
                  <w:tcW w:w="225" w:type="pct"/>
                  <w:vAlign w:val="center"/>
                </w:tcPr>
                <w:p w14:paraId="09BD928D">
                  <w:pPr>
                    <w:pStyle w:val="154"/>
                    <w:rPr>
                      <w:sz w:val="21"/>
                      <w:szCs w:val="21"/>
                    </w:rPr>
                  </w:pPr>
                  <w:r>
                    <w:rPr>
                      <w:rFonts w:hint="eastAsia"/>
                      <w:sz w:val="21"/>
                      <w:szCs w:val="21"/>
                    </w:rPr>
                    <w:t>18</w:t>
                  </w:r>
                </w:p>
              </w:tc>
              <w:tc>
                <w:tcPr>
                  <w:tcW w:w="309" w:type="pct"/>
                  <w:vAlign w:val="center"/>
                </w:tcPr>
                <w:p w14:paraId="5F5B579B">
                  <w:pPr>
                    <w:jc w:val="center"/>
                    <w:rPr>
                      <w:rFonts w:ascii="Times New Roman" w:hAnsi="Times New Roman" w:cs="Times New Roman"/>
                      <w:color w:val="000000"/>
                      <w:sz w:val="21"/>
                      <w:szCs w:val="21"/>
                    </w:rPr>
                  </w:pPr>
                  <w:r>
                    <w:rPr>
                      <w:rFonts w:ascii="Times New Roman" w:hAnsi="Times New Roman" w:cs="Times New Roman"/>
                      <w:color w:val="000000"/>
                      <w:sz w:val="21"/>
                      <w:szCs w:val="21"/>
                    </w:rPr>
                    <w:t>54.89</w:t>
                  </w:r>
                </w:p>
              </w:tc>
              <w:tc>
                <w:tcPr>
                  <w:tcW w:w="258" w:type="pct"/>
                  <w:vMerge w:val="continue"/>
                  <w:vAlign w:val="center"/>
                </w:tcPr>
                <w:p w14:paraId="33F011B0">
                  <w:pPr>
                    <w:pStyle w:val="154"/>
                    <w:rPr>
                      <w:sz w:val="21"/>
                      <w:szCs w:val="21"/>
                    </w:rPr>
                  </w:pPr>
                </w:p>
              </w:tc>
              <w:tc>
                <w:tcPr>
                  <w:tcW w:w="258" w:type="pct"/>
                  <w:vAlign w:val="center"/>
                </w:tcPr>
                <w:p w14:paraId="3A6718A0">
                  <w:pPr>
                    <w:pStyle w:val="154"/>
                    <w:rPr>
                      <w:sz w:val="21"/>
                      <w:szCs w:val="21"/>
                    </w:rPr>
                  </w:pPr>
                  <w:r>
                    <w:rPr>
                      <w:rFonts w:hint="eastAsia"/>
                      <w:sz w:val="21"/>
                      <w:szCs w:val="21"/>
                    </w:rPr>
                    <w:t>20</w:t>
                  </w:r>
                </w:p>
              </w:tc>
              <w:tc>
                <w:tcPr>
                  <w:tcW w:w="257" w:type="pct"/>
                  <w:vAlign w:val="center"/>
                </w:tcPr>
                <w:p w14:paraId="151D0FCE">
                  <w:pPr>
                    <w:pStyle w:val="154"/>
                    <w:rPr>
                      <w:color w:val="000000"/>
                      <w:sz w:val="21"/>
                      <w:szCs w:val="21"/>
                    </w:rPr>
                  </w:pPr>
                  <w:r>
                    <w:rPr>
                      <w:rFonts w:hint="eastAsia"/>
                      <w:color w:val="000000"/>
                      <w:sz w:val="21"/>
                      <w:szCs w:val="21"/>
                    </w:rPr>
                    <w:t>34.89</w:t>
                  </w:r>
                </w:p>
              </w:tc>
              <w:tc>
                <w:tcPr>
                  <w:tcW w:w="251" w:type="pct"/>
                  <w:vAlign w:val="center"/>
                </w:tcPr>
                <w:p w14:paraId="484EF0CE">
                  <w:pPr>
                    <w:pStyle w:val="154"/>
                    <w:rPr>
                      <w:sz w:val="21"/>
                      <w:szCs w:val="21"/>
                    </w:rPr>
                  </w:pPr>
                  <w:r>
                    <w:rPr>
                      <w:rFonts w:hint="eastAsia"/>
                      <w:sz w:val="21"/>
                      <w:szCs w:val="21"/>
                    </w:rPr>
                    <w:t>1</w:t>
                  </w:r>
                </w:p>
              </w:tc>
            </w:tr>
            <w:tr w14:paraId="7B94F6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61CC37D0">
                  <w:pPr>
                    <w:pStyle w:val="154"/>
                    <w:rPr>
                      <w:sz w:val="21"/>
                      <w:szCs w:val="21"/>
                    </w:rPr>
                  </w:pPr>
                </w:p>
              </w:tc>
              <w:tc>
                <w:tcPr>
                  <w:tcW w:w="257" w:type="pct"/>
                  <w:vMerge w:val="continue"/>
                  <w:vAlign w:val="center"/>
                </w:tcPr>
                <w:p w14:paraId="79A41EBB">
                  <w:pPr>
                    <w:pStyle w:val="154"/>
                    <w:rPr>
                      <w:sz w:val="21"/>
                      <w:szCs w:val="21"/>
                    </w:rPr>
                  </w:pPr>
                </w:p>
              </w:tc>
              <w:tc>
                <w:tcPr>
                  <w:tcW w:w="566" w:type="pct"/>
                  <w:vMerge w:val="continue"/>
                  <w:vAlign w:val="center"/>
                </w:tcPr>
                <w:p w14:paraId="75674456">
                  <w:pPr>
                    <w:pStyle w:val="154"/>
                    <w:rPr>
                      <w:sz w:val="21"/>
                      <w:szCs w:val="21"/>
                    </w:rPr>
                  </w:pPr>
                </w:p>
              </w:tc>
              <w:tc>
                <w:tcPr>
                  <w:tcW w:w="208" w:type="pct"/>
                  <w:vMerge w:val="continue"/>
                  <w:vAlign w:val="center"/>
                </w:tcPr>
                <w:p w14:paraId="572EA94D">
                  <w:pPr>
                    <w:pStyle w:val="154"/>
                    <w:rPr>
                      <w:sz w:val="21"/>
                      <w:szCs w:val="21"/>
                    </w:rPr>
                  </w:pPr>
                </w:p>
              </w:tc>
              <w:tc>
                <w:tcPr>
                  <w:tcW w:w="572" w:type="pct"/>
                  <w:vMerge w:val="continue"/>
                  <w:vAlign w:val="center"/>
                </w:tcPr>
                <w:p w14:paraId="4E4176BE">
                  <w:pPr>
                    <w:pStyle w:val="154"/>
                    <w:rPr>
                      <w:sz w:val="21"/>
                      <w:szCs w:val="21"/>
                    </w:rPr>
                  </w:pPr>
                </w:p>
              </w:tc>
              <w:tc>
                <w:tcPr>
                  <w:tcW w:w="364" w:type="pct"/>
                  <w:vMerge w:val="continue"/>
                  <w:vAlign w:val="center"/>
                </w:tcPr>
                <w:p w14:paraId="4EDEBE11">
                  <w:pPr>
                    <w:pStyle w:val="154"/>
                    <w:rPr>
                      <w:sz w:val="21"/>
                      <w:szCs w:val="21"/>
                    </w:rPr>
                  </w:pPr>
                </w:p>
              </w:tc>
              <w:tc>
                <w:tcPr>
                  <w:tcW w:w="415" w:type="pct"/>
                  <w:vMerge w:val="continue"/>
                  <w:vAlign w:val="center"/>
                </w:tcPr>
                <w:p w14:paraId="0A852F1F">
                  <w:pPr>
                    <w:pStyle w:val="154"/>
                    <w:rPr>
                      <w:sz w:val="21"/>
                      <w:szCs w:val="21"/>
                    </w:rPr>
                  </w:pPr>
                </w:p>
              </w:tc>
              <w:tc>
                <w:tcPr>
                  <w:tcW w:w="208" w:type="pct"/>
                  <w:vMerge w:val="continue"/>
                  <w:vAlign w:val="center"/>
                </w:tcPr>
                <w:p w14:paraId="02F14633">
                  <w:pPr>
                    <w:pStyle w:val="154"/>
                    <w:rPr>
                      <w:sz w:val="21"/>
                      <w:szCs w:val="21"/>
                    </w:rPr>
                  </w:pPr>
                </w:p>
              </w:tc>
              <w:tc>
                <w:tcPr>
                  <w:tcW w:w="208" w:type="pct"/>
                  <w:vMerge w:val="continue"/>
                  <w:vAlign w:val="center"/>
                </w:tcPr>
                <w:p w14:paraId="05DF6435">
                  <w:pPr>
                    <w:pStyle w:val="154"/>
                    <w:rPr>
                      <w:sz w:val="21"/>
                      <w:szCs w:val="21"/>
                    </w:rPr>
                  </w:pPr>
                </w:p>
              </w:tc>
              <w:tc>
                <w:tcPr>
                  <w:tcW w:w="260" w:type="pct"/>
                  <w:vMerge w:val="continue"/>
                  <w:vAlign w:val="center"/>
                </w:tcPr>
                <w:p w14:paraId="1B3BB3D6">
                  <w:pPr>
                    <w:pStyle w:val="154"/>
                    <w:rPr>
                      <w:sz w:val="21"/>
                      <w:szCs w:val="21"/>
                    </w:rPr>
                  </w:pPr>
                </w:p>
              </w:tc>
              <w:tc>
                <w:tcPr>
                  <w:tcW w:w="224" w:type="pct"/>
                  <w:vAlign w:val="center"/>
                </w:tcPr>
                <w:p w14:paraId="4244EA81">
                  <w:pPr>
                    <w:pStyle w:val="154"/>
                    <w:rPr>
                      <w:sz w:val="21"/>
                      <w:szCs w:val="21"/>
                    </w:rPr>
                  </w:pPr>
                  <w:r>
                    <w:rPr>
                      <w:rFonts w:hint="eastAsia"/>
                      <w:sz w:val="21"/>
                      <w:szCs w:val="21"/>
                    </w:rPr>
                    <w:t>S</w:t>
                  </w:r>
                </w:p>
              </w:tc>
              <w:tc>
                <w:tcPr>
                  <w:tcW w:w="225" w:type="pct"/>
                  <w:vAlign w:val="center"/>
                </w:tcPr>
                <w:p w14:paraId="645A5AE0">
                  <w:pPr>
                    <w:pStyle w:val="154"/>
                    <w:rPr>
                      <w:sz w:val="21"/>
                      <w:szCs w:val="21"/>
                    </w:rPr>
                  </w:pPr>
                  <w:r>
                    <w:rPr>
                      <w:rFonts w:hint="eastAsia"/>
                      <w:sz w:val="21"/>
                      <w:szCs w:val="21"/>
                    </w:rPr>
                    <w:t>4</w:t>
                  </w:r>
                </w:p>
              </w:tc>
              <w:tc>
                <w:tcPr>
                  <w:tcW w:w="309" w:type="pct"/>
                  <w:vAlign w:val="center"/>
                </w:tcPr>
                <w:p w14:paraId="2128948D">
                  <w:pPr>
                    <w:jc w:val="center"/>
                    <w:rPr>
                      <w:rFonts w:ascii="Times New Roman" w:hAnsi="Times New Roman" w:cs="Times New Roman"/>
                      <w:color w:val="000000"/>
                      <w:sz w:val="21"/>
                      <w:szCs w:val="21"/>
                    </w:rPr>
                  </w:pPr>
                  <w:r>
                    <w:rPr>
                      <w:rFonts w:ascii="Times New Roman" w:hAnsi="Times New Roman" w:cs="Times New Roman"/>
                      <w:color w:val="000000"/>
                      <w:sz w:val="21"/>
                      <w:szCs w:val="21"/>
                    </w:rPr>
                    <w:t>67.96</w:t>
                  </w:r>
                </w:p>
              </w:tc>
              <w:tc>
                <w:tcPr>
                  <w:tcW w:w="258" w:type="pct"/>
                  <w:vMerge w:val="continue"/>
                  <w:vAlign w:val="center"/>
                </w:tcPr>
                <w:p w14:paraId="60BADC81">
                  <w:pPr>
                    <w:pStyle w:val="154"/>
                    <w:rPr>
                      <w:sz w:val="21"/>
                      <w:szCs w:val="21"/>
                    </w:rPr>
                  </w:pPr>
                </w:p>
              </w:tc>
              <w:tc>
                <w:tcPr>
                  <w:tcW w:w="258" w:type="pct"/>
                  <w:vAlign w:val="center"/>
                </w:tcPr>
                <w:p w14:paraId="73B3F25A">
                  <w:pPr>
                    <w:pStyle w:val="154"/>
                    <w:rPr>
                      <w:sz w:val="21"/>
                      <w:szCs w:val="21"/>
                    </w:rPr>
                  </w:pPr>
                  <w:r>
                    <w:rPr>
                      <w:rFonts w:hint="eastAsia"/>
                      <w:sz w:val="21"/>
                      <w:szCs w:val="21"/>
                    </w:rPr>
                    <w:t>20</w:t>
                  </w:r>
                </w:p>
              </w:tc>
              <w:tc>
                <w:tcPr>
                  <w:tcW w:w="257" w:type="pct"/>
                  <w:vAlign w:val="center"/>
                </w:tcPr>
                <w:p w14:paraId="7DD62D28">
                  <w:pPr>
                    <w:pStyle w:val="154"/>
                    <w:rPr>
                      <w:color w:val="000000"/>
                      <w:sz w:val="21"/>
                      <w:szCs w:val="21"/>
                    </w:rPr>
                  </w:pPr>
                  <w:r>
                    <w:rPr>
                      <w:rFonts w:hint="eastAsia"/>
                      <w:color w:val="000000"/>
                      <w:sz w:val="21"/>
                      <w:szCs w:val="21"/>
                    </w:rPr>
                    <w:t>47.96</w:t>
                  </w:r>
                </w:p>
              </w:tc>
              <w:tc>
                <w:tcPr>
                  <w:tcW w:w="251" w:type="pct"/>
                  <w:vAlign w:val="center"/>
                </w:tcPr>
                <w:p w14:paraId="7BFB8223">
                  <w:pPr>
                    <w:pStyle w:val="154"/>
                    <w:rPr>
                      <w:sz w:val="21"/>
                      <w:szCs w:val="21"/>
                    </w:rPr>
                  </w:pPr>
                  <w:r>
                    <w:rPr>
                      <w:rFonts w:hint="eastAsia"/>
                      <w:sz w:val="21"/>
                      <w:szCs w:val="21"/>
                    </w:rPr>
                    <w:t>1</w:t>
                  </w:r>
                </w:p>
              </w:tc>
            </w:tr>
            <w:tr w14:paraId="49D7BD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4E6C70AA">
                  <w:pPr>
                    <w:pStyle w:val="154"/>
                    <w:rPr>
                      <w:sz w:val="21"/>
                      <w:szCs w:val="21"/>
                    </w:rPr>
                  </w:pPr>
                </w:p>
              </w:tc>
              <w:tc>
                <w:tcPr>
                  <w:tcW w:w="257" w:type="pct"/>
                  <w:vMerge w:val="continue"/>
                  <w:vAlign w:val="center"/>
                </w:tcPr>
                <w:p w14:paraId="70B505A4">
                  <w:pPr>
                    <w:pStyle w:val="154"/>
                    <w:rPr>
                      <w:sz w:val="21"/>
                      <w:szCs w:val="21"/>
                    </w:rPr>
                  </w:pPr>
                </w:p>
              </w:tc>
              <w:tc>
                <w:tcPr>
                  <w:tcW w:w="566" w:type="pct"/>
                  <w:vMerge w:val="continue"/>
                  <w:vAlign w:val="center"/>
                </w:tcPr>
                <w:p w14:paraId="5BB9A862">
                  <w:pPr>
                    <w:pStyle w:val="154"/>
                    <w:rPr>
                      <w:sz w:val="21"/>
                      <w:szCs w:val="21"/>
                    </w:rPr>
                  </w:pPr>
                </w:p>
              </w:tc>
              <w:tc>
                <w:tcPr>
                  <w:tcW w:w="208" w:type="pct"/>
                  <w:vMerge w:val="continue"/>
                  <w:vAlign w:val="center"/>
                </w:tcPr>
                <w:p w14:paraId="6AC441C9">
                  <w:pPr>
                    <w:pStyle w:val="154"/>
                    <w:rPr>
                      <w:sz w:val="21"/>
                      <w:szCs w:val="21"/>
                    </w:rPr>
                  </w:pPr>
                </w:p>
              </w:tc>
              <w:tc>
                <w:tcPr>
                  <w:tcW w:w="572" w:type="pct"/>
                  <w:vMerge w:val="continue"/>
                  <w:vAlign w:val="center"/>
                </w:tcPr>
                <w:p w14:paraId="0BB0A15B">
                  <w:pPr>
                    <w:pStyle w:val="154"/>
                    <w:rPr>
                      <w:sz w:val="21"/>
                      <w:szCs w:val="21"/>
                    </w:rPr>
                  </w:pPr>
                </w:p>
              </w:tc>
              <w:tc>
                <w:tcPr>
                  <w:tcW w:w="364" w:type="pct"/>
                  <w:vMerge w:val="continue"/>
                  <w:vAlign w:val="center"/>
                </w:tcPr>
                <w:p w14:paraId="0D40564F">
                  <w:pPr>
                    <w:pStyle w:val="154"/>
                    <w:rPr>
                      <w:sz w:val="21"/>
                      <w:szCs w:val="21"/>
                    </w:rPr>
                  </w:pPr>
                </w:p>
              </w:tc>
              <w:tc>
                <w:tcPr>
                  <w:tcW w:w="415" w:type="pct"/>
                  <w:vMerge w:val="continue"/>
                  <w:vAlign w:val="center"/>
                </w:tcPr>
                <w:p w14:paraId="5FED3F32">
                  <w:pPr>
                    <w:pStyle w:val="154"/>
                    <w:rPr>
                      <w:sz w:val="21"/>
                      <w:szCs w:val="21"/>
                    </w:rPr>
                  </w:pPr>
                </w:p>
              </w:tc>
              <w:tc>
                <w:tcPr>
                  <w:tcW w:w="208" w:type="pct"/>
                  <w:vMerge w:val="continue"/>
                  <w:vAlign w:val="center"/>
                </w:tcPr>
                <w:p w14:paraId="0020591B">
                  <w:pPr>
                    <w:pStyle w:val="154"/>
                    <w:rPr>
                      <w:sz w:val="21"/>
                      <w:szCs w:val="21"/>
                    </w:rPr>
                  </w:pPr>
                </w:p>
              </w:tc>
              <w:tc>
                <w:tcPr>
                  <w:tcW w:w="208" w:type="pct"/>
                  <w:vMerge w:val="continue"/>
                  <w:vAlign w:val="center"/>
                </w:tcPr>
                <w:p w14:paraId="16CDBDCB">
                  <w:pPr>
                    <w:pStyle w:val="154"/>
                    <w:rPr>
                      <w:sz w:val="21"/>
                      <w:szCs w:val="21"/>
                    </w:rPr>
                  </w:pPr>
                </w:p>
              </w:tc>
              <w:tc>
                <w:tcPr>
                  <w:tcW w:w="260" w:type="pct"/>
                  <w:vMerge w:val="continue"/>
                  <w:vAlign w:val="center"/>
                </w:tcPr>
                <w:p w14:paraId="2AA3C3E8">
                  <w:pPr>
                    <w:pStyle w:val="154"/>
                    <w:rPr>
                      <w:sz w:val="21"/>
                      <w:szCs w:val="21"/>
                    </w:rPr>
                  </w:pPr>
                </w:p>
              </w:tc>
              <w:tc>
                <w:tcPr>
                  <w:tcW w:w="224" w:type="pct"/>
                  <w:vAlign w:val="center"/>
                </w:tcPr>
                <w:p w14:paraId="2DDC2EA2">
                  <w:pPr>
                    <w:pStyle w:val="154"/>
                    <w:rPr>
                      <w:sz w:val="21"/>
                      <w:szCs w:val="21"/>
                    </w:rPr>
                  </w:pPr>
                  <w:r>
                    <w:rPr>
                      <w:rFonts w:hint="eastAsia"/>
                      <w:sz w:val="21"/>
                      <w:szCs w:val="21"/>
                    </w:rPr>
                    <w:t>N</w:t>
                  </w:r>
                </w:p>
              </w:tc>
              <w:tc>
                <w:tcPr>
                  <w:tcW w:w="225" w:type="pct"/>
                  <w:vAlign w:val="center"/>
                </w:tcPr>
                <w:p w14:paraId="026DFD9A">
                  <w:pPr>
                    <w:pStyle w:val="154"/>
                    <w:rPr>
                      <w:sz w:val="21"/>
                      <w:szCs w:val="21"/>
                    </w:rPr>
                  </w:pPr>
                  <w:r>
                    <w:rPr>
                      <w:rFonts w:hint="eastAsia"/>
                      <w:sz w:val="21"/>
                      <w:szCs w:val="21"/>
                    </w:rPr>
                    <w:t>28</w:t>
                  </w:r>
                </w:p>
              </w:tc>
              <w:tc>
                <w:tcPr>
                  <w:tcW w:w="309" w:type="pct"/>
                  <w:vAlign w:val="center"/>
                </w:tcPr>
                <w:p w14:paraId="59137120">
                  <w:pPr>
                    <w:jc w:val="center"/>
                    <w:rPr>
                      <w:rFonts w:ascii="Times New Roman" w:hAnsi="Times New Roman" w:cs="Times New Roman"/>
                      <w:color w:val="000000"/>
                      <w:sz w:val="21"/>
                      <w:szCs w:val="21"/>
                    </w:rPr>
                  </w:pPr>
                  <w:r>
                    <w:rPr>
                      <w:rFonts w:ascii="Times New Roman" w:hAnsi="Times New Roman" w:cs="Times New Roman"/>
                      <w:color w:val="000000"/>
                      <w:sz w:val="21"/>
                      <w:szCs w:val="21"/>
                    </w:rPr>
                    <w:t>51.06</w:t>
                  </w:r>
                </w:p>
              </w:tc>
              <w:tc>
                <w:tcPr>
                  <w:tcW w:w="258" w:type="pct"/>
                  <w:vMerge w:val="continue"/>
                  <w:vAlign w:val="center"/>
                </w:tcPr>
                <w:p w14:paraId="5804F898">
                  <w:pPr>
                    <w:pStyle w:val="154"/>
                    <w:rPr>
                      <w:sz w:val="21"/>
                      <w:szCs w:val="21"/>
                    </w:rPr>
                  </w:pPr>
                </w:p>
              </w:tc>
              <w:tc>
                <w:tcPr>
                  <w:tcW w:w="258" w:type="pct"/>
                  <w:vAlign w:val="center"/>
                </w:tcPr>
                <w:p w14:paraId="107E5410">
                  <w:pPr>
                    <w:pStyle w:val="154"/>
                    <w:rPr>
                      <w:sz w:val="21"/>
                      <w:szCs w:val="21"/>
                    </w:rPr>
                  </w:pPr>
                  <w:r>
                    <w:rPr>
                      <w:rFonts w:hint="eastAsia"/>
                      <w:sz w:val="21"/>
                      <w:szCs w:val="21"/>
                    </w:rPr>
                    <w:t>20</w:t>
                  </w:r>
                </w:p>
              </w:tc>
              <w:tc>
                <w:tcPr>
                  <w:tcW w:w="257" w:type="pct"/>
                  <w:vAlign w:val="center"/>
                </w:tcPr>
                <w:p w14:paraId="316867CF">
                  <w:pPr>
                    <w:pStyle w:val="154"/>
                    <w:rPr>
                      <w:color w:val="000000"/>
                      <w:sz w:val="21"/>
                      <w:szCs w:val="21"/>
                    </w:rPr>
                  </w:pPr>
                  <w:r>
                    <w:rPr>
                      <w:rFonts w:hint="eastAsia"/>
                      <w:color w:val="000000"/>
                      <w:sz w:val="21"/>
                      <w:szCs w:val="21"/>
                    </w:rPr>
                    <w:t>31.06</w:t>
                  </w:r>
                </w:p>
              </w:tc>
              <w:tc>
                <w:tcPr>
                  <w:tcW w:w="251" w:type="pct"/>
                  <w:vAlign w:val="center"/>
                </w:tcPr>
                <w:p w14:paraId="491CDDFF">
                  <w:pPr>
                    <w:pStyle w:val="154"/>
                    <w:rPr>
                      <w:sz w:val="21"/>
                      <w:szCs w:val="21"/>
                    </w:rPr>
                  </w:pPr>
                  <w:r>
                    <w:rPr>
                      <w:rFonts w:hint="eastAsia"/>
                      <w:sz w:val="21"/>
                      <w:szCs w:val="21"/>
                    </w:rPr>
                    <w:t>1</w:t>
                  </w:r>
                </w:p>
              </w:tc>
            </w:tr>
            <w:tr w14:paraId="548D23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 w:hRule="atLeast"/>
                <w:jc w:val="center"/>
              </w:trPr>
              <w:tc>
                <w:tcPr>
                  <w:tcW w:w="160" w:type="pct"/>
                  <w:vMerge w:val="restart"/>
                  <w:vAlign w:val="center"/>
                </w:tcPr>
                <w:p w14:paraId="41688FE4">
                  <w:pPr>
                    <w:pStyle w:val="154"/>
                    <w:rPr>
                      <w:sz w:val="21"/>
                      <w:szCs w:val="21"/>
                    </w:rPr>
                  </w:pPr>
                  <w:r>
                    <w:rPr>
                      <w:rFonts w:hint="eastAsia"/>
                      <w:sz w:val="21"/>
                      <w:szCs w:val="21"/>
                    </w:rPr>
                    <w:t>18</w:t>
                  </w:r>
                </w:p>
              </w:tc>
              <w:tc>
                <w:tcPr>
                  <w:tcW w:w="257" w:type="pct"/>
                  <w:vMerge w:val="continue"/>
                  <w:vAlign w:val="center"/>
                </w:tcPr>
                <w:p w14:paraId="13D82319">
                  <w:pPr>
                    <w:pStyle w:val="154"/>
                    <w:rPr>
                      <w:sz w:val="21"/>
                      <w:szCs w:val="21"/>
                    </w:rPr>
                  </w:pPr>
                </w:p>
              </w:tc>
              <w:tc>
                <w:tcPr>
                  <w:tcW w:w="566" w:type="pct"/>
                  <w:vMerge w:val="restart"/>
                  <w:vAlign w:val="center"/>
                </w:tcPr>
                <w:p w14:paraId="070AB06D">
                  <w:pPr>
                    <w:pStyle w:val="154"/>
                    <w:rPr>
                      <w:sz w:val="21"/>
                      <w:szCs w:val="21"/>
                    </w:rPr>
                  </w:pPr>
                  <w:r>
                    <w:rPr>
                      <w:sz w:val="21"/>
                      <w:szCs w:val="21"/>
                    </w:rPr>
                    <w:t>浇注机</w:t>
                  </w:r>
                  <w:r>
                    <w:rPr>
                      <w:rFonts w:hint="eastAsia"/>
                      <w:sz w:val="21"/>
                      <w:szCs w:val="21"/>
                    </w:rPr>
                    <w:t>2#</w:t>
                  </w:r>
                </w:p>
              </w:tc>
              <w:tc>
                <w:tcPr>
                  <w:tcW w:w="208" w:type="pct"/>
                  <w:vMerge w:val="restart"/>
                  <w:vAlign w:val="center"/>
                </w:tcPr>
                <w:p w14:paraId="028F1B2E">
                  <w:pPr>
                    <w:pStyle w:val="154"/>
                    <w:rPr>
                      <w:sz w:val="21"/>
                      <w:szCs w:val="21"/>
                    </w:rPr>
                  </w:pPr>
                  <w:r>
                    <w:rPr>
                      <w:rFonts w:hint="eastAsia"/>
                      <w:sz w:val="21"/>
                      <w:szCs w:val="21"/>
                    </w:rPr>
                    <w:t>/</w:t>
                  </w:r>
                </w:p>
              </w:tc>
              <w:tc>
                <w:tcPr>
                  <w:tcW w:w="572" w:type="pct"/>
                  <w:vMerge w:val="restart"/>
                  <w:vAlign w:val="center"/>
                </w:tcPr>
                <w:p w14:paraId="574CA9A0">
                  <w:pPr>
                    <w:pStyle w:val="154"/>
                    <w:rPr>
                      <w:sz w:val="21"/>
                      <w:szCs w:val="21"/>
                    </w:rPr>
                  </w:pPr>
                  <w:r>
                    <w:rPr>
                      <w:rFonts w:hint="eastAsia"/>
                      <w:sz w:val="21"/>
                      <w:szCs w:val="21"/>
                    </w:rPr>
                    <w:t>/</w:t>
                  </w:r>
                </w:p>
              </w:tc>
              <w:tc>
                <w:tcPr>
                  <w:tcW w:w="364" w:type="pct"/>
                  <w:vMerge w:val="restart"/>
                  <w:vAlign w:val="center"/>
                </w:tcPr>
                <w:p w14:paraId="4B28405C">
                  <w:pPr>
                    <w:pStyle w:val="154"/>
                    <w:rPr>
                      <w:sz w:val="21"/>
                      <w:szCs w:val="21"/>
                    </w:rPr>
                  </w:pPr>
                  <w:r>
                    <w:rPr>
                      <w:rFonts w:hint="eastAsia"/>
                      <w:sz w:val="21"/>
                      <w:szCs w:val="21"/>
                    </w:rPr>
                    <w:t>80</w:t>
                  </w:r>
                </w:p>
              </w:tc>
              <w:tc>
                <w:tcPr>
                  <w:tcW w:w="415" w:type="pct"/>
                  <w:vMerge w:val="continue"/>
                  <w:vAlign w:val="center"/>
                </w:tcPr>
                <w:p w14:paraId="2F5DAE36">
                  <w:pPr>
                    <w:pStyle w:val="154"/>
                    <w:rPr>
                      <w:sz w:val="21"/>
                      <w:szCs w:val="21"/>
                    </w:rPr>
                  </w:pPr>
                </w:p>
              </w:tc>
              <w:tc>
                <w:tcPr>
                  <w:tcW w:w="208" w:type="pct"/>
                  <w:vMerge w:val="restart"/>
                  <w:vAlign w:val="center"/>
                </w:tcPr>
                <w:p w14:paraId="79E560F7">
                  <w:pPr>
                    <w:pStyle w:val="154"/>
                    <w:rPr>
                      <w:sz w:val="21"/>
                      <w:szCs w:val="21"/>
                    </w:rPr>
                  </w:pPr>
                  <w:r>
                    <w:rPr>
                      <w:rFonts w:hint="eastAsia"/>
                      <w:sz w:val="21"/>
                      <w:szCs w:val="21"/>
                    </w:rPr>
                    <w:t>18</w:t>
                  </w:r>
                </w:p>
              </w:tc>
              <w:tc>
                <w:tcPr>
                  <w:tcW w:w="208" w:type="pct"/>
                  <w:vMerge w:val="restart"/>
                  <w:vAlign w:val="center"/>
                </w:tcPr>
                <w:p w14:paraId="25B2B761">
                  <w:pPr>
                    <w:pStyle w:val="154"/>
                    <w:rPr>
                      <w:sz w:val="21"/>
                      <w:szCs w:val="21"/>
                    </w:rPr>
                  </w:pPr>
                  <w:r>
                    <w:rPr>
                      <w:rFonts w:hint="eastAsia"/>
                      <w:sz w:val="21"/>
                      <w:szCs w:val="21"/>
                    </w:rPr>
                    <w:t>6</w:t>
                  </w:r>
                </w:p>
              </w:tc>
              <w:tc>
                <w:tcPr>
                  <w:tcW w:w="260" w:type="pct"/>
                  <w:vMerge w:val="restart"/>
                  <w:vAlign w:val="center"/>
                </w:tcPr>
                <w:p w14:paraId="5237255C">
                  <w:pPr>
                    <w:pStyle w:val="154"/>
                    <w:rPr>
                      <w:sz w:val="21"/>
                      <w:szCs w:val="21"/>
                    </w:rPr>
                  </w:pPr>
                  <w:r>
                    <w:rPr>
                      <w:rFonts w:hint="eastAsia"/>
                      <w:sz w:val="21"/>
                      <w:szCs w:val="21"/>
                    </w:rPr>
                    <w:t>14</w:t>
                  </w:r>
                </w:p>
              </w:tc>
              <w:tc>
                <w:tcPr>
                  <w:tcW w:w="224" w:type="pct"/>
                  <w:vAlign w:val="center"/>
                </w:tcPr>
                <w:p w14:paraId="5E265817">
                  <w:pPr>
                    <w:pStyle w:val="154"/>
                    <w:rPr>
                      <w:sz w:val="21"/>
                      <w:szCs w:val="21"/>
                    </w:rPr>
                  </w:pPr>
                  <w:r>
                    <w:rPr>
                      <w:rFonts w:hint="eastAsia"/>
                      <w:sz w:val="21"/>
                      <w:szCs w:val="21"/>
                    </w:rPr>
                    <w:t>E</w:t>
                  </w:r>
                </w:p>
              </w:tc>
              <w:tc>
                <w:tcPr>
                  <w:tcW w:w="225" w:type="pct"/>
                  <w:vAlign w:val="center"/>
                </w:tcPr>
                <w:p w14:paraId="634030BE">
                  <w:pPr>
                    <w:pStyle w:val="154"/>
                    <w:rPr>
                      <w:sz w:val="21"/>
                      <w:szCs w:val="21"/>
                    </w:rPr>
                  </w:pPr>
                  <w:r>
                    <w:rPr>
                      <w:rFonts w:hint="eastAsia"/>
                      <w:sz w:val="21"/>
                      <w:szCs w:val="21"/>
                    </w:rPr>
                    <w:t>17</w:t>
                  </w:r>
                </w:p>
              </w:tc>
              <w:tc>
                <w:tcPr>
                  <w:tcW w:w="309" w:type="pct"/>
                  <w:vAlign w:val="center"/>
                </w:tcPr>
                <w:p w14:paraId="5A99E1B1">
                  <w:pPr>
                    <w:jc w:val="center"/>
                    <w:rPr>
                      <w:rFonts w:ascii="Times New Roman" w:hAnsi="Times New Roman" w:cs="Times New Roman"/>
                      <w:color w:val="000000"/>
                      <w:sz w:val="21"/>
                      <w:szCs w:val="21"/>
                    </w:rPr>
                  </w:pPr>
                  <w:r>
                    <w:rPr>
                      <w:rFonts w:ascii="Times New Roman" w:hAnsi="Times New Roman" w:cs="Times New Roman"/>
                      <w:color w:val="000000"/>
                      <w:sz w:val="21"/>
                      <w:szCs w:val="21"/>
                    </w:rPr>
                    <w:t>55.39</w:t>
                  </w:r>
                </w:p>
              </w:tc>
              <w:tc>
                <w:tcPr>
                  <w:tcW w:w="258" w:type="pct"/>
                  <w:vMerge w:val="restart"/>
                  <w:vAlign w:val="center"/>
                </w:tcPr>
                <w:p w14:paraId="574CCA60">
                  <w:pPr>
                    <w:pStyle w:val="154"/>
                    <w:rPr>
                      <w:sz w:val="21"/>
                      <w:szCs w:val="21"/>
                    </w:rPr>
                  </w:pPr>
                  <w:r>
                    <w:rPr>
                      <w:sz w:val="21"/>
                      <w:szCs w:val="21"/>
                    </w:rPr>
                    <w:t>昼间</w:t>
                  </w:r>
                </w:p>
              </w:tc>
              <w:tc>
                <w:tcPr>
                  <w:tcW w:w="258" w:type="pct"/>
                  <w:vAlign w:val="center"/>
                </w:tcPr>
                <w:p w14:paraId="391D80D3">
                  <w:pPr>
                    <w:pStyle w:val="154"/>
                    <w:rPr>
                      <w:sz w:val="21"/>
                      <w:szCs w:val="21"/>
                    </w:rPr>
                  </w:pPr>
                  <w:r>
                    <w:rPr>
                      <w:rFonts w:hint="eastAsia"/>
                      <w:sz w:val="21"/>
                      <w:szCs w:val="21"/>
                    </w:rPr>
                    <w:t>20</w:t>
                  </w:r>
                </w:p>
              </w:tc>
              <w:tc>
                <w:tcPr>
                  <w:tcW w:w="257" w:type="pct"/>
                  <w:vAlign w:val="center"/>
                </w:tcPr>
                <w:p w14:paraId="023A7B69">
                  <w:pPr>
                    <w:pStyle w:val="154"/>
                    <w:rPr>
                      <w:color w:val="000000"/>
                      <w:sz w:val="21"/>
                      <w:szCs w:val="21"/>
                    </w:rPr>
                  </w:pPr>
                  <w:r>
                    <w:rPr>
                      <w:rFonts w:hint="eastAsia"/>
                      <w:color w:val="000000"/>
                      <w:sz w:val="21"/>
                      <w:szCs w:val="21"/>
                    </w:rPr>
                    <w:t>35.39</w:t>
                  </w:r>
                </w:p>
              </w:tc>
              <w:tc>
                <w:tcPr>
                  <w:tcW w:w="251" w:type="pct"/>
                  <w:vAlign w:val="center"/>
                </w:tcPr>
                <w:p w14:paraId="4567DC30">
                  <w:pPr>
                    <w:pStyle w:val="154"/>
                    <w:rPr>
                      <w:sz w:val="21"/>
                      <w:szCs w:val="21"/>
                    </w:rPr>
                  </w:pPr>
                  <w:r>
                    <w:rPr>
                      <w:rFonts w:hint="eastAsia"/>
                      <w:sz w:val="21"/>
                      <w:szCs w:val="21"/>
                    </w:rPr>
                    <w:t>1</w:t>
                  </w:r>
                </w:p>
              </w:tc>
            </w:tr>
            <w:tr w14:paraId="212E26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5E071F06">
                  <w:pPr>
                    <w:pStyle w:val="154"/>
                    <w:rPr>
                      <w:sz w:val="21"/>
                      <w:szCs w:val="21"/>
                    </w:rPr>
                  </w:pPr>
                </w:p>
              </w:tc>
              <w:tc>
                <w:tcPr>
                  <w:tcW w:w="257" w:type="pct"/>
                  <w:vMerge w:val="continue"/>
                  <w:vAlign w:val="center"/>
                </w:tcPr>
                <w:p w14:paraId="11712DC3">
                  <w:pPr>
                    <w:pStyle w:val="154"/>
                    <w:rPr>
                      <w:sz w:val="21"/>
                      <w:szCs w:val="21"/>
                    </w:rPr>
                  </w:pPr>
                </w:p>
              </w:tc>
              <w:tc>
                <w:tcPr>
                  <w:tcW w:w="566" w:type="pct"/>
                  <w:vMerge w:val="continue"/>
                  <w:vAlign w:val="center"/>
                </w:tcPr>
                <w:p w14:paraId="4D0F9711">
                  <w:pPr>
                    <w:pStyle w:val="154"/>
                    <w:rPr>
                      <w:sz w:val="21"/>
                      <w:szCs w:val="21"/>
                    </w:rPr>
                  </w:pPr>
                </w:p>
              </w:tc>
              <w:tc>
                <w:tcPr>
                  <w:tcW w:w="208" w:type="pct"/>
                  <w:vMerge w:val="continue"/>
                  <w:vAlign w:val="center"/>
                </w:tcPr>
                <w:p w14:paraId="363F3BCC">
                  <w:pPr>
                    <w:pStyle w:val="154"/>
                    <w:rPr>
                      <w:sz w:val="21"/>
                      <w:szCs w:val="21"/>
                    </w:rPr>
                  </w:pPr>
                </w:p>
              </w:tc>
              <w:tc>
                <w:tcPr>
                  <w:tcW w:w="572" w:type="pct"/>
                  <w:vMerge w:val="continue"/>
                  <w:vAlign w:val="center"/>
                </w:tcPr>
                <w:p w14:paraId="49732524">
                  <w:pPr>
                    <w:pStyle w:val="154"/>
                    <w:rPr>
                      <w:sz w:val="21"/>
                      <w:szCs w:val="21"/>
                    </w:rPr>
                  </w:pPr>
                </w:p>
              </w:tc>
              <w:tc>
                <w:tcPr>
                  <w:tcW w:w="364" w:type="pct"/>
                  <w:vMerge w:val="continue"/>
                  <w:vAlign w:val="center"/>
                </w:tcPr>
                <w:p w14:paraId="172690BB">
                  <w:pPr>
                    <w:pStyle w:val="154"/>
                    <w:rPr>
                      <w:sz w:val="21"/>
                      <w:szCs w:val="21"/>
                    </w:rPr>
                  </w:pPr>
                </w:p>
              </w:tc>
              <w:tc>
                <w:tcPr>
                  <w:tcW w:w="415" w:type="pct"/>
                  <w:vMerge w:val="continue"/>
                  <w:vAlign w:val="center"/>
                </w:tcPr>
                <w:p w14:paraId="035973A1">
                  <w:pPr>
                    <w:pStyle w:val="154"/>
                    <w:rPr>
                      <w:sz w:val="21"/>
                      <w:szCs w:val="21"/>
                    </w:rPr>
                  </w:pPr>
                </w:p>
              </w:tc>
              <w:tc>
                <w:tcPr>
                  <w:tcW w:w="208" w:type="pct"/>
                  <w:vMerge w:val="continue"/>
                  <w:vAlign w:val="center"/>
                </w:tcPr>
                <w:p w14:paraId="595FEA17">
                  <w:pPr>
                    <w:pStyle w:val="154"/>
                    <w:rPr>
                      <w:sz w:val="21"/>
                      <w:szCs w:val="21"/>
                    </w:rPr>
                  </w:pPr>
                </w:p>
              </w:tc>
              <w:tc>
                <w:tcPr>
                  <w:tcW w:w="208" w:type="pct"/>
                  <w:vMerge w:val="continue"/>
                  <w:vAlign w:val="center"/>
                </w:tcPr>
                <w:p w14:paraId="5485046F">
                  <w:pPr>
                    <w:pStyle w:val="154"/>
                    <w:rPr>
                      <w:sz w:val="21"/>
                      <w:szCs w:val="21"/>
                    </w:rPr>
                  </w:pPr>
                </w:p>
              </w:tc>
              <w:tc>
                <w:tcPr>
                  <w:tcW w:w="260" w:type="pct"/>
                  <w:vMerge w:val="continue"/>
                  <w:vAlign w:val="center"/>
                </w:tcPr>
                <w:p w14:paraId="37659DFA">
                  <w:pPr>
                    <w:pStyle w:val="154"/>
                    <w:rPr>
                      <w:sz w:val="21"/>
                      <w:szCs w:val="21"/>
                    </w:rPr>
                  </w:pPr>
                </w:p>
              </w:tc>
              <w:tc>
                <w:tcPr>
                  <w:tcW w:w="224" w:type="pct"/>
                  <w:vAlign w:val="center"/>
                </w:tcPr>
                <w:p w14:paraId="461E68F4">
                  <w:pPr>
                    <w:pStyle w:val="154"/>
                    <w:rPr>
                      <w:sz w:val="21"/>
                      <w:szCs w:val="21"/>
                    </w:rPr>
                  </w:pPr>
                  <w:r>
                    <w:rPr>
                      <w:rFonts w:hint="eastAsia"/>
                      <w:sz w:val="21"/>
                      <w:szCs w:val="21"/>
                    </w:rPr>
                    <w:t>W</w:t>
                  </w:r>
                </w:p>
              </w:tc>
              <w:tc>
                <w:tcPr>
                  <w:tcW w:w="225" w:type="pct"/>
                  <w:vAlign w:val="center"/>
                </w:tcPr>
                <w:p w14:paraId="5A73FAB8">
                  <w:pPr>
                    <w:pStyle w:val="154"/>
                    <w:rPr>
                      <w:sz w:val="21"/>
                      <w:szCs w:val="21"/>
                    </w:rPr>
                  </w:pPr>
                  <w:r>
                    <w:rPr>
                      <w:rFonts w:hint="eastAsia"/>
                      <w:sz w:val="21"/>
                      <w:szCs w:val="21"/>
                    </w:rPr>
                    <w:t>18</w:t>
                  </w:r>
                </w:p>
              </w:tc>
              <w:tc>
                <w:tcPr>
                  <w:tcW w:w="309" w:type="pct"/>
                  <w:vAlign w:val="center"/>
                </w:tcPr>
                <w:p w14:paraId="1DEC9E56">
                  <w:pPr>
                    <w:jc w:val="center"/>
                    <w:rPr>
                      <w:rFonts w:ascii="Times New Roman" w:hAnsi="Times New Roman" w:cs="Times New Roman"/>
                      <w:color w:val="000000"/>
                      <w:sz w:val="21"/>
                      <w:szCs w:val="21"/>
                    </w:rPr>
                  </w:pPr>
                  <w:r>
                    <w:rPr>
                      <w:rFonts w:ascii="Times New Roman" w:hAnsi="Times New Roman" w:cs="Times New Roman"/>
                      <w:color w:val="000000"/>
                      <w:sz w:val="21"/>
                      <w:szCs w:val="21"/>
                    </w:rPr>
                    <w:t>54.89</w:t>
                  </w:r>
                </w:p>
              </w:tc>
              <w:tc>
                <w:tcPr>
                  <w:tcW w:w="258" w:type="pct"/>
                  <w:vMerge w:val="continue"/>
                  <w:vAlign w:val="center"/>
                </w:tcPr>
                <w:p w14:paraId="12924CD1">
                  <w:pPr>
                    <w:pStyle w:val="154"/>
                    <w:rPr>
                      <w:sz w:val="21"/>
                      <w:szCs w:val="21"/>
                    </w:rPr>
                  </w:pPr>
                </w:p>
              </w:tc>
              <w:tc>
                <w:tcPr>
                  <w:tcW w:w="258" w:type="pct"/>
                  <w:vAlign w:val="center"/>
                </w:tcPr>
                <w:p w14:paraId="3F66E926">
                  <w:pPr>
                    <w:pStyle w:val="154"/>
                    <w:rPr>
                      <w:sz w:val="21"/>
                      <w:szCs w:val="21"/>
                    </w:rPr>
                  </w:pPr>
                  <w:r>
                    <w:rPr>
                      <w:rFonts w:hint="eastAsia"/>
                      <w:sz w:val="21"/>
                      <w:szCs w:val="21"/>
                    </w:rPr>
                    <w:t>20</w:t>
                  </w:r>
                </w:p>
              </w:tc>
              <w:tc>
                <w:tcPr>
                  <w:tcW w:w="257" w:type="pct"/>
                  <w:vAlign w:val="center"/>
                </w:tcPr>
                <w:p w14:paraId="075CB81A">
                  <w:pPr>
                    <w:pStyle w:val="154"/>
                    <w:rPr>
                      <w:color w:val="000000"/>
                      <w:sz w:val="21"/>
                      <w:szCs w:val="21"/>
                    </w:rPr>
                  </w:pPr>
                  <w:r>
                    <w:rPr>
                      <w:rFonts w:hint="eastAsia"/>
                      <w:color w:val="000000"/>
                      <w:sz w:val="21"/>
                      <w:szCs w:val="21"/>
                    </w:rPr>
                    <w:t>34.89</w:t>
                  </w:r>
                </w:p>
              </w:tc>
              <w:tc>
                <w:tcPr>
                  <w:tcW w:w="251" w:type="pct"/>
                  <w:vAlign w:val="center"/>
                </w:tcPr>
                <w:p w14:paraId="1A363D0A">
                  <w:pPr>
                    <w:pStyle w:val="154"/>
                    <w:rPr>
                      <w:sz w:val="21"/>
                      <w:szCs w:val="21"/>
                    </w:rPr>
                  </w:pPr>
                  <w:r>
                    <w:rPr>
                      <w:rFonts w:hint="eastAsia"/>
                      <w:sz w:val="21"/>
                      <w:szCs w:val="21"/>
                    </w:rPr>
                    <w:t>1</w:t>
                  </w:r>
                </w:p>
              </w:tc>
            </w:tr>
            <w:tr w14:paraId="6AAE8A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252699B1">
                  <w:pPr>
                    <w:pStyle w:val="154"/>
                    <w:rPr>
                      <w:sz w:val="21"/>
                      <w:szCs w:val="21"/>
                    </w:rPr>
                  </w:pPr>
                </w:p>
              </w:tc>
              <w:tc>
                <w:tcPr>
                  <w:tcW w:w="257" w:type="pct"/>
                  <w:vMerge w:val="continue"/>
                  <w:vAlign w:val="center"/>
                </w:tcPr>
                <w:p w14:paraId="4884FEA2">
                  <w:pPr>
                    <w:pStyle w:val="154"/>
                    <w:rPr>
                      <w:sz w:val="21"/>
                      <w:szCs w:val="21"/>
                    </w:rPr>
                  </w:pPr>
                </w:p>
              </w:tc>
              <w:tc>
                <w:tcPr>
                  <w:tcW w:w="566" w:type="pct"/>
                  <w:vMerge w:val="continue"/>
                  <w:vAlign w:val="center"/>
                </w:tcPr>
                <w:p w14:paraId="07626C8B">
                  <w:pPr>
                    <w:pStyle w:val="154"/>
                    <w:rPr>
                      <w:sz w:val="21"/>
                      <w:szCs w:val="21"/>
                    </w:rPr>
                  </w:pPr>
                </w:p>
              </w:tc>
              <w:tc>
                <w:tcPr>
                  <w:tcW w:w="208" w:type="pct"/>
                  <w:vMerge w:val="continue"/>
                  <w:vAlign w:val="center"/>
                </w:tcPr>
                <w:p w14:paraId="2EC573E8">
                  <w:pPr>
                    <w:pStyle w:val="154"/>
                    <w:rPr>
                      <w:sz w:val="21"/>
                      <w:szCs w:val="21"/>
                    </w:rPr>
                  </w:pPr>
                </w:p>
              </w:tc>
              <w:tc>
                <w:tcPr>
                  <w:tcW w:w="572" w:type="pct"/>
                  <w:vMerge w:val="continue"/>
                  <w:vAlign w:val="center"/>
                </w:tcPr>
                <w:p w14:paraId="17503D6A">
                  <w:pPr>
                    <w:pStyle w:val="154"/>
                    <w:rPr>
                      <w:sz w:val="21"/>
                      <w:szCs w:val="21"/>
                    </w:rPr>
                  </w:pPr>
                </w:p>
              </w:tc>
              <w:tc>
                <w:tcPr>
                  <w:tcW w:w="364" w:type="pct"/>
                  <w:vMerge w:val="continue"/>
                  <w:vAlign w:val="center"/>
                </w:tcPr>
                <w:p w14:paraId="12CFAB8E">
                  <w:pPr>
                    <w:pStyle w:val="154"/>
                    <w:rPr>
                      <w:sz w:val="21"/>
                      <w:szCs w:val="21"/>
                    </w:rPr>
                  </w:pPr>
                </w:p>
              </w:tc>
              <w:tc>
                <w:tcPr>
                  <w:tcW w:w="415" w:type="pct"/>
                  <w:vMerge w:val="continue"/>
                  <w:vAlign w:val="center"/>
                </w:tcPr>
                <w:p w14:paraId="25ED6BA7">
                  <w:pPr>
                    <w:pStyle w:val="154"/>
                    <w:rPr>
                      <w:sz w:val="21"/>
                      <w:szCs w:val="21"/>
                    </w:rPr>
                  </w:pPr>
                </w:p>
              </w:tc>
              <w:tc>
                <w:tcPr>
                  <w:tcW w:w="208" w:type="pct"/>
                  <w:vMerge w:val="continue"/>
                  <w:vAlign w:val="center"/>
                </w:tcPr>
                <w:p w14:paraId="782165F1">
                  <w:pPr>
                    <w:pStyle w:val="154"/>
                    <w:rPr>
                      <w:sz w:val="21"/>
                      <w:szCs w:val="21"/>
                    </w:rPr>
                  </w:pPr>
                </w:p>
              </w:tc>
              <w:tc>
                <w:tcPr>
                  <w:tcW w:w="208" w:type="pct"/>
                  <w:vMerge w:val="continue"/>
                  <w:vAlign w:val="center"/>
                </w:tcPr>
                <w:p w14:paraId="49E0DF31">
                  <w:pPr>
                    <w:pStyle w:val="154"/>
                    <w:rPr>
                      <w:sz w:val="21"/>
                      <w:szCs w:val="21"/>
                    </w:rPr>
                  </w:pPr>
                </w:p>
              </w:tc>
              <w:tc>
                <w:tcPr>
                  <w:tcW w:w="260" w:type="pct"/>
                  <w:vMerge w:val="continue"/>
                  <w:vAlign w:val="center"/>
                </w:tcPr>
                <w:p w14:paraId="3C465CB3">
                  <w:pPr>
                    <w:pStyle w:val="154"/>
                    <w:rPr>
                      <w:sz w:val="21"/>
                      <w:szCs w:val="21"/>
                    </w:rPr>
                  </w:pPr>
                </w:p>
              </w:tc>
              <w:tc>
                <w:tcPr>
                  <w:tcW w:w="224" w:type="pct"/>
                  <w:vAlign w:val="center"/>
                </w:tcPr>
                <w:p w14:paraId="3D5AEBC2">
                  <w:pPr>
                    <w:pStyle w:val="154"/>
                    <w:rPr>
                      <w:sz w:val="21"/>
                      <w:szCs w:val="21"/>
                    </w:rPr>
                  </w:pPr>
                  <w:r>
                    <w:rPr>
                      <w:rFonts w:hint="eastAsia"/>
                      <w:sz w:val="21"/>
                      <w:szCs w:val="21"/>
                    </w:rPr>
                    <w:t>S</w:t>
                  </w:r>
                </w:p>
              </w:tc>
              <w:tc>
                <w:tcPr>
                  <w:tcW w:w="225" w:type="pct"/>
                  <w:vAlign w:val="center"/>
                </w:tcPr>
                <w:p w14:paraId="13D6D70A">
                  <w:pPr>
                    <w:pStyle w:val="154"/>
                    <w:rPr>
                      <w:sz w:val="21"/>
                      <w:szCs w:val="21"/>
                    </w:rPr>
                  </w:pPr>
                  <w:r>
                    <w:rPr>
                      <w:rFonts w:hint="eastAsia"/>
                      <w:sz w:val="21"/>
                      <w:szCs w:val="21"/>
                    </w:rPr>
                    <w:t>6</w:t>
                  </w:r>
                </w:p>
              </w:tc>
              <w:tc>
                <w:tcPr>
                  <w:tcW w:w="309" w:type="pct"/>
                  <w:vAlign w:val="center"/>
                </w:tcPr>
                <w:p w14:paraId="4292C900">
                  <w:pPr>
                    <w:jc w:val="center"/>
                    <w:rPr>
                      <w:rFonts w:ascii="Times New Roman" w:hAnsi="Times New Roman" w:cs="Times New Roman"/>
                      <w:color w:val="000000"/>
                      <w:sz w:val="21"/>
                      <w:szCs w:val="21"/>
                    </w:rPr>
                  </w:pPr>
                  <w:r>
                    <w:rPr>
                      <w:rFonts w:ascii="Times New Roman" w:hAnsi="Times New Roman" w:cs="Times New Roman"/>
                      <w:color w:val="000000"/>
                      <w:sz w:val="21"/>
                      <w:szCs w:val="21"/>
                    </w:rPr>
                    <w:t>64.44</w:t>
                  </w:r>
                </w:p>
              </w:tc>
              <w:tc>
                <w:tcPr>
                  <w:tcW w:w="258" w:type="pct"/>
                  <w:vMerge w:val="continue"/>
                  <w:vAlign w:val="center"/>
                </w:tcPr>
                <w:p w14:paraId="2ACFB0DA">
                  <w:pPr>
                    <w:pStyle w:val="154"/>
                    <w:rPr>
                      <w:sz w:val="21"/>
                      <w:szCs w:val="21"/>
                    </w:rPr>
                  </w:pPr>
                </w:p>
              </w:tc>
              <w:tc>
                <w:tcPr>
                  <w:tcW w:w="258" w:type="pct"/>
                  <w:vAlign w:val="center"/>
                </w:tcPr>
                <w:p w14:paraId="098552C9">
                  <w:pPr>
                    <w:pStyle w:val="154"/>
                    <w:rPr>
                      <w:sz w:val="21"/>
                      <w:szCs w:val="21"/>
                    </w:rPr>
                  </w:pPr>
                  <w:r>
                    <w:rPr>
                      <w:rFonts w:hint="eastAsia"/>
                      <w:sz w:val="21"/>
                      <w:szCs w:val="21"/>
                    </w:rPr>
                    <w:t>20</w:t>
                  </w:r>
                </w:p>
              </w:tc>
              <w:tc>
                <w:tcPr>
                  <w:tcW w:w="257" w:type="pct"/>
                  <w:vAlign w:val="center"/>
                </w:tcPr>
                <w:p w14:paraId="60313053">
                  <w:pPr>
                    <w:pStyle w:val="154"/>
                    <w:rPr>
                      <w:color w:val="000000"/>
                      <w:sz w:val="21"/>
                      <w:szCs w:val="21"/>
                    </w:rPr>
                  </w:pPr>
                  <w:r>
                    <w:rPr>
                      <w:rFonts w:hint="eastAsia"/>
                      <w:color w:val="000000"/>
                      <w:sz w:val="21"/>
                      <w:szCs w:val="21"/>
                    </w:rPr>
                    <w:t>44.44</w:t>
                  </w:r>
                </w:p>
              </w:tc>
              <w:tc>
                <w:tcPr>
                  <w:tcW w:w="251" w:type="pct"/>
                  <w:vAlign w:val="center"/>
                </w:tcPr>
                <w:p w14:paraId="73A1083D">
                  <w:pPr>
                    <w:pStyle w:val="154"/>
                    <w:rPr>
                      <w:sz w:val="21"/>
                      <w:szCs w:val="21"/>
                    </w:rPr>
                  </w:pPr>
                  <w:r>
                    <w:rPr>
                      <w:rFonts w:hint="eastAsia"/>
                      <w:sz w:val="21"/>
                      <w:szCs w:val="21"/>
                    </w:rPr>
                    <w:t>1</w:t>
                  </w:r>
                </w:p>
              </w:tc>
            </w:tr>
            <w:tr w14:paraId="24888D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1F815F23">
                  <w:pPr>
                    <w:pStyle w:val="154"/>
                    <w:rPr>
                      <w:sz w:val="21"/>
                      <w:szCs w:val="21"/>
                    </w:rPr>
                  </w:pPr>
                </w:p>
              </w:tc>
              <w:tc>
                <w:tcPr>
                  <w:tcW w:w="257" w:type="pct"/>
                  <w:vMerge w:val="continue"/>
                  <w:vAlign w:val="center"/>
                </w:tcPr>
                <w:p w14:paraId="08184FEC">
                  <w:pPr>
                    <w:pStyle w:val="154"/>
                    <w:rPr>
                      <w:sz w:val="21"/>
                      <w:szCs w:val="21"/>
                    </w:rPr>
                  </w:pPr>
                </w:p>
              </w:tc>
              <w:tc>
                <w:tcPr>
                  <w:tcW w:w="566" w:type="pct"/>
                  <w:vMerge w:val="continue"/>
                  <w:vAlign w:val="center"/>
                </w:tcPr>
                <w:p w14:paraId="37A5F27D">
                  <w:pPr>
                    <w:pStyle w:val="154"/>
                    <w:rPr>
                      <w:sz w:val="21"/>
                      <w:szCs w:val="21"/>
                    </w:rPr>
                  </w:pPr>
                </w:p>
              </w:tc>
              <w:tc>
                <w:tcPr>
                  <w:tcW w:w="208" w:type="pct"/>
                  <w:vMerge w:val="continue"/>
                  <w:vAlign w:val="center"/>
                </w:tcPr>
                <w:p w14:paraId="0E316D60">
                  <w:pPr>
                    <w:pStyle w:val="154"/>
                    <w:rPr>
                      <w:sz w:val="21"/>
                      <w:szCs w:val="21"/>
                    </w:rPr>
                  </w:pPr>
                </w:p>
              </w:tc>
              <w:tc>
                <w:tcPr>
                  <w:tcW w:w="572" w:type="pct"/>
                  <w:vMerge w:val="continue"/>
                  <w:vAlign w:val="center"/>
                </w:tcPr>
                <w:p w14:paraId="4C888D77">
                  <w:pPr>
                    <w:pStyle w:val="154"/>
                    <w:rPr>
                      <w:sz w:val="21"/>
                      <w:szCs w:val="21"/>
                    </w:rPr>
                  </w:pPr>
                </w:p>
              </w:tc>
              <w:tc>
                <w:tcPr>
                  <w:tcW w:w="364" w:type="pct"/>
                  <w:vMerge w:val="continue"/>
                  <w:vAlign w:val="center"/>
                </w:tcPr>
                <w:p w14:paraId="3A378C5F">
                  <w:pPr>
                    <w:pStyle w:val="154"/>
                    <w:rPr>
                      <w:sz w:val="21"/>
                      <w:szCs w:val="21"/>
                    </w:rPr>
                  </w:pPr>
                </w:p>
              </w:tc>
              <w:tc>
                <w:tcPr>
                  <w:tcW w:w="415" w:type="pct"/>
                  <w:vMerge w:val="continue"/>
                  <w:vAlign w:val="center"/>
                </w:tcPr>
                <w:p w14:paraId="1F881BD4">
                  <w:pPr>
                    <w:pStyle w:val="154"/>
                    <w:rPr>
                      <w:sz w:val="21"/>
                      <w:szCs w:val="21"/>
                    </w:rPr>
                  </w:pPr>
                </w:p>
              </w:tc>
              <w:tc>
                <w:tcPr>
                  <w:tcW w:w="208" w:type="pct"/>
                  <w:vMerge w:val="continue"/>
                  <w:vAlign w:val="center"/>
                </w:tcPr>
                <w:p w14:paraId="24009EC1">
                  <w:pPr>
                    <w:pStyle w:val="154"/>
                    <w:rPr>
                      <w:sz w:val="21"/>
                      <w:szCs w:val="21"/>
                    </w:rPr>
                  </w:pPr>
                </w:p>
              </w:tc>
              <w:tc>
                <w:tcPr>
                  <w:tcW w:w="208" w:type="pct"/>
                  <w:vMerge w:val="continue"/>
                  <w:vAlign w:val="center"/>
                </w:tcPr>
                <w:p w14:paraId="5A1F7B88">
                  <w:pPr>
                    <w:pStyle w:val="154"/>
                    <w:rPr>
                      <w:sz w:val="21"/>
                      <w:szCs w:val="21"/>
                    </w:rPr>
                  </w:pPr>
                </w:p>
              </w:tc>
              <w:tc>
                <w:tcPr>
                  <w:tcW w:w="260" w:type="pct"/>
                  <w:vMerge w:val="continue"/>
                  <w:vAlign w:val="center"/>
                </w:tcPr>
                <w:p w14:paraId="09403ADE">
                  <w:pPr>
                    <w:pStyle w:val="154"/>
                    <w:rPr>
                      <w:sz w:val="21"/>
                      <w:szCs w:val="21"/>
                    </w:rPr>
                  </w:pPr>
                </w:p>
              </w:tc>
              <w:tc>
                <w:tcPr>
                  <w:tcW w:w="224" w:type="pct"/>
                  <w:vAlign w:val="center"/>
                </w:tcPr>
                <w:p w14:paraId="4DA8A666">
                  <w:pPr>
                    <w:pStyle w:val="154"/>
                    <w:rPr>
                      <w:sz w:val="21"/>
                      <w:szCs w:val="21"/>
                    </w:rPr>
                  </w:pPr>
                  <w:r>
                    <w:rPr>
                      <w:rFonts w:hint="eastAsia"/>
                      <w:sz w:val="21"/>
                      <w:szCs w:val="21"/>
                    </w:rPr>
                    <w:t>N</w:t>
                  </w:r>
                </w:p>
              </w:tc>
              <w:tc>
                <w:tcPr>
                  <w:tcW w:w="225" w:type="pct"/>
                  <w:vAlign w:val="center"/>
                </w:tcPr>
                <w:p w14:paraId="1032009F">
                  <w:pPr>
                    <w:pStyle w:val="154"/>
                    <w:rPr>
                      <w:sz w:val="21"/>
                      <w:szCs w:val="21"/>
                    </w:rPr>
                  </w:pPr>
                  <w:r>
                    <w:rPr>
                      <w:rFonts w:hint="eastAsia"/>
                      <w:sz w:val="21"/>
                      <w:szCs w:val="21"/>
                    </w:rPr>
                    <w:t>25</w:t>
                  </w:r>
                </w:p>
              </w:tc>
              <w:tc>
                <w:tcPr>
                  <w:tcW w:w="309" w:type="pct"/>
                  <w:vAlign w:val="center"/>
                </w:tcPr>
                <w:p w14:paraId="76AECA4A">
                  <w:pPr>
                    <w:jc w:val="center"/>
                    <w:rPr>
                      <w:rFonts w:ascii="Times New Roman" w:hAnsi="Times New Roman" w:cs="Times New Roman"/>
                      <w:color w:val="000000"/>
                      <w:sz w:val="21"/>
                      <w:szCs w:val="21"/>
                    </w:rPr>
                  </w:pPr>
                  <w:r>
                    <w:rPr>
                      <w:rFonts w:ascii="Times New Roman" w:hAnsi="Times New Roman" w:cs="Times New Roman"/>
                      <w:color w:val="000000"/>
                      <w:sz w:val="21"/>
                      <w:szCs w:val="21"/>
                    </w:rPr>
                    <w:t>52.04</w:t>
                  </w:r>
                </w:p>
              </w:tc>
              <w:tc>
                <w:tcPr>
                  <w:tcW w:w="258" w:type="pct"/>
                  <w:vMerge w:val="continue"/>
                  <w:vAlign w:val="center"/>
                </w:tcPr>
                <w:p w14:paraId="598F4510">
                  <w:pPr>
                    <w:pStyle w:val="154"/>
                    <w:rPr>
                      <w:sz w:val="21"/>
                      <w:szCs w:val="21"/>
                    </w:rPr>
                  </w:pPr>
                </w:p>
              </w:tc>
              <w:tc>
                <w:tcPr>
                  <w:tcW w:w="258" w:type="pct"/>
                  <w:vAlign w:val="center"/>
                </w:tcPr>
                <w:p w14:paraId="5D5CE397">
                  <w:pPr>
                    <w:pStyle w:val="154"/>
                    <w:rPr>
                      <w:sz w:val="21"/>
                      <w:szCs w:val="21"/>
                    </w:rPr>
                  </w:pPr>
                  <w:r>
                    <w:rPr>
                      <w:rFonts w:hint="eastAsia"/>
                      <w:sz w:val="21"/>
                      <w:szCs w:val="21"/>
                    </w:rPr>
                    <w:t>20</w:t>
                  </w:r>
                </w:p>
              </w:tc>
              <w:tc>
                <w:tcPr>
                  <w:tcW w:w="257" w:type="pct"/>
                  <w:vAlign w:val="center"/>
                </w:tcPr>
                <w:p w14:paraId="75E4BCE8">
                  <w:pPr>
                    <w:pStyle w:val="154"/>
                    <w:rPr>
                      <w:color w:val="000000"/>
                      <w:sz w:val="21"/>
                      <w:szCs w:val="21"/>
                    </w:rPr>
                  </w:pPr>
                  <w:r>
                    <w:rPr>
                      <w:rFonts w:hint="eastAsia"/>
                      <w:color w:val="000000"/>
                      <w:sz w:val="21"/>
                      <w:szCs w:val="21"/>
                    </w:rPr>
                    <w:t>32.04</w:t>
                  </w:r>
                </w:p>
              </w:tc>
              <w:tc>
                <w:tcPr>
                  <w:tcW w:w="251" w:type="pct"/>
                  <w:vAlign w:val="center"/>
                </w:tcPr>
                <w:p w14:paraId="768873F8">
                  <w:pPr>
                    <w:pStyle w:val="154"/>
                    <w:rPr>
                      <w:sz w:val="21"/>
                      <w:szCs w:val="21"/>
                    </w:rPr>
                  </w:pPr>
                  <w:r>
                    <w:rPr>
                      <w:rFonts w:hint="eastAsia"/>
                      <w:sz w:val="21"/>
                      <w:szCs w:val="21"/>
                    </w:rPr>
                    <w:t>1</w:t>
                  </w:r>
                </w:p>
              </w:tc>
            </w:tr>
            <w:tr w14:paraId="5363C0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 w:hRule="atLeast"/>
                <w:jc w:val="center"/>
              </w:trPr>
              <w:tc>
                <w:tcPr>
                  <w:tcW w:w="160" w:type="pct"/>
                  <w:vMerge w:val="restart"/>
                  <w:vAlign w:val="center"/>
                </w:tcPr>
                <w:p w14:paraId="75901462">
                  <w:pPr>
                    <w:pStyle w:val="154"/>
                    <w:rPr>
                      <w:sz w:val="21"/>
                      <w:szCs w:val="21"/>
                    </w:rPr>
                  </w:pPr>
                  <w:r>
                    <w:rPr>
                      <w:rFonts w:hint="eastAsia"/>
                      <w:sz w:val="21"/>
                      <w:szCs w:val="21"/>
                    </w:rPr>
                    <w:t>19</w:t>
                  </w:r>
                </w:p>
              </w:tc>
              <w:tc>
                <w:tcPr>
                  <w:tcW w:w="257" w:type="pct"/>
                  <w:vMerge w:val="continue"/>
                  <w:vAlign w:val="center"/>
                </w:tcPr>
                <w:p w14:paraId="49FED6D7">
                  <w:pPr>
                    <w:pStyle w:val="154"/>
                    <w:rPr>
                      <w:sz w:val="21"/>
                      <w:szCs w:val="21"/>
                    </w:rPr>
                  </w:pPr>
                </w:p>
              </w:tc>
              <w:tc>
                <w:tcPr>
                  <w:tcW w:w="566" w:type="pct"/>
                  <w:vMerge w:val="restart"/>
                  <w:vAlign w:val="center"/>
                </w:tcPr>
                <w:p w14:paraId="2563B140">
                  <w:pPr>
                    <w:pStyle w:val="154"/>
                    <w:rPr>
                      <w:sz w:val="21"/>
                      <w:szCs w:val="21"/>
                    </w:rPr>
                  </w:pPr>
                  <w:r>
                    <w:rPr>
                      <w:sz w:val="21"/>
                      <w:szCs w:val="21"/>
                    </w:rPr>
                    <w:t>水冷机组</w:t>
                  </w:r>
                </w:p>
              </w:tc>
              <w:tc>
                <w:tcPr>
                  <w:tcW w:w="208" w:type="pct"/>
                  <w:vMerge w:val="restart"/>
                  <w:vAlign w:val="center"/>
                </w:tcPr>
                <w:p w14:paraId="5B14C5EF">
                  <w:pPr>
                    <w:pStyle w:val="154"/>
                    <w:rPr>
                      <w:sz w:val="21"/>
                      <w:szCs w:val="21"/>
                    </w:rPr>
                  </w:pPr>
                  <w:r>
                    <w:rPr>
                      <w:rFonts w:hint="eastAsia"/>
                      <w:sz w:val="21"/>
                      <w:szCs w:val="21"/>
                    </w:rPr>
                    <w:t>/</w:t>
                  </w:r>
                </w:p>
              </w:tc>
              <w:tc>
                <w:tcPr>
                  <w:tcW w:w="572" w:type="pct"/>
                  <w:vMerge w:val="restart"/>
                  <w:vAlign w:val="center"/>
                </w:tcPr>
                <w:p w14:paraId="6F7C522D">
                  <w:pPr>
                    <w:pStyle w:val="154"/>
                    <w:rPr>
                      <w:sz w:val="21"/>
                      <w:szCs w:val="21"/>
                    </w:rPr>
                  </w:pPr>
                  <w:r>
                    <w:rPr>
                      <w:rFonts w:hint="eastAsia"/>
                      <w:sz w:val="21"/>
                      <w:szCs w:val="21"/>
                    </w:rPr>
                    <w:t>/</w:t>
                  </w:r>
                </w:p>
              </w:tc>
              <w:tc>
                <w:tcPr>
                  <w:tcW w:w="364" w:type="pct"/>
                  <w:vMerge w:val="restart"/>
                  <w:vAlign w:val="center"/>
                </w:tcPr>
                <w:p w14:paraId="7AB62E0C">
                  <w:pPr>
                    <w:pStyle w:val="154"/>
                    <w:rPr>
                      <w:sz w:val="21"/>
                      <w:szCs w:val="21"/>
                    </w:rPr>
                  </w:pPr>
                  <w:r>
                    <w:rPr>
                      <w:rFonts w:hint="eastAsia"/>
                      <w:sz w:val="21"/>
                      <w:szCs w:val="21"/>
                    </w:rPr>
                    <w:t>70</w:t>
                  </w:r>
                </w:p>
              </w:tc>
              <w:tc>
                <w:tcPr>
                  <w:tcW w:w="415" w:type="pct"/>
                  <w:vMerge w:val="continue"/>
                  <w:vAlign w:val="center"/>
                </w:tcPr>
                <w:p w14:paraId="28109148">
                  <w:pPr>
                    <w:pStyle w:val="154"/>
                    <w:rPr>
                      <w:sz w:val="21"/>
                      <w:szCs w:val="21"/>
                    </w:rPr>
                  </w:pPr>
                </w:p>
              </w:tc>
              <w:tc>
                <w:tcPr>
                  <w:tcW w:w="208" w:type="pct"/>
                  <w:vMerge w:val="restart"/>
                  <w:vAlign w:val="center"/>
                </w:tcPr>
                <w:p w14:paraId="5D536FD9">
                  <w:pPr>
                    <w:pStyle w:val="154"/>
                    <w:rPr>
                      <w:sz w:val="21"/>
                      <w:szCs w:val="21"/>
                    </w:rPr>
                  </w:pPr>
                  <w:r>
                    <w:rPr>
                      <w:rFonts w:hint="eastAsia"/>
                      <w:sz w:val="21"/>
                      <w:szCs w:val="21"/>
                    </w:rPr>
                    <w:t>15</w:t>
                  </w:r>
                </w:p>
              </w:tc>
              <w:tc>
                <w:tcPr>
                  <w:tcW w:w="208" w:type="pct"/>
                  <w:vMerge w:val="restart"/>
                  <w:vAlign w:val="center"/>
                </w:tcPr>
                <w:p w14:paraId="4933795D">
                  <w:pPr>
                    <w:pStyle w:val="154"/>
                    <w:rPr>
                      <w:sz w:val="21"/>
                      <w:szCs w:val="21"/>
                    </w:rPr>
                  </w:pPr>
                  <w:r>
                    <w:rPr>
                      <w:rFonts w:hint="eastAsia"/>
                      <w:sz w:val="21"/>
                      <w:szCs w:val="21"/>
                    </w:rPr>
                    <w:t>2</w:t>
                  </w:r>
                </w:p>
              </w:tc>
              <w:tc>
                <w:tcPr>
                  <w:tcW w:w="260" w:type="pct"/>
                  <w:vMerge w:val="restart"/>
                  <w:vAlign w:val="center"/>
                </w:tcPr>
                <w:p w14:paraId="384415DA">
                  <w:pPr>
                    <w:pStyle w:val="154"/>
                    <w:rPr>
                      <w:sz w:val="21"/>
                      <w:szCs w:val="21"/>
                    </w:rPr>
                  </w:pPr>
                  <w:r>
                    <w:rPr>
                      <w:rFonts w:hint="eastAsia"/>
                      <w:sz w:val="21"/>
                      <w:szCs w:val="21"/>
                    </w:rPr>
                    <w:t>1</w:t>
                  </w:r>
                </w:p>
              </w:tc>
              <w:tc>
                <w:tcPr>
                  <w:tcW w:w="224" w:type="pct"/>
                  <w:vAlign w:val="center"/>
                </w:tcPr>
                <w:p w14:paraId="4FEAA592">
                  <w:pPr>
                    <w:pStyle w:val="154"/>
                    <w:rPr>
                      <w:sz w:val="21"/>
                      <w:szCs w:val="21"/>
                    </w:rPr>
                  </w:pPr>
                  <w:r>
                    <w:rPr>
                      <w:rFonts w:hint="eastAsia"/>
                      <w:sz w:val="21"/>
                      <w:szCs w:val="21"/>
                    </w:rPr>
                    <w:t>E</w:t>
                  </w:r>
                </w:p>
              </w:tc>
              <w:tc>
                <w:tcPr>
                  <w:tcW w:w="225" w:type="pct"/>
                  <w:vAlign w:val="center"/>
                </w:tcPr>
                <w:p w14:paraId="1A22DF0B">
                  <w:pPr>
                    <w:pStyle w:val="154"/>
                    <w:rPr>
                      <w:sz w:val="21"/>
                      <w:szCs w:val="21"/>
                    </w:rPr>
                  </w:pPr>
                  <w:r>
                    <w:rPr>
                      <w:rFonts w:hint="eastAsia"/>
                      <w:sz w:val="21"/>
                      <w:szCs w:val="21"/>
                    </w:rPr>
                    <w:t>21</w:t>
                  </w:r>
                </w:p>
              </w:tc>
              <w:tc>
                <w:tcPr>
                  <w:tcW w:w="309" w:type="pct"/>
                  <w:vAlign w:val="center"/>
                </w:tcPr>
                <w:p w14:paraId="6DA638F7">
                  <w:pPr>
                    <w:jc w:val="center"/>
                    <w:rPr>
                      <w:rFonts w:ascii="Times New Roman" w:hAnsi="Times New Roman" w:cs="Times New Roman"/>
                      <w:color w:val="000000"/>
                      <w:sz w:val="21"/>
                      <w:szCs w:val="21"/>
                    </w:rPr>
                  </w:pPr>
                  <w:r>
                    <w:rPr>
                      <w:rFonts w:ascii="Times New Roman" w:hAnsi="Times New Roman" w:cs="Times New Roman"/>
                      <w:color w:val="000000"/>
                      <w:sz w:val="21"/>
                      <w:szCs w:val="21"/>
                    </w:rPr>
                    <w:t>43.56</w:t>
                  </w:r>
                </w:p>
              </w:tc>
              <w:tc>
                <w:tcPr>
                  <w:tcW w:w="258" w:type="pct"/>
                  <w:vMerge w:val="restart"/>
                  <w:vAlign w:val="center"/>
                </w:tcPr>
                <w:p w14:paraId="0BD5C288">
                  <w:pPr>
                    <w:pStyle w:val="154"/>
                    <w:rPr>
                      <w:sz w:val="21"/>
                      <w:szCs w:val="21"/>
                    </w:rPr>
                  </w:pPr>
                  <w:r>
                    <w:rPr>
                      <w:sz w:val="21"/>
                      <w:szCs w:val="21"/>
                    </w:rPr>
                    <w:t>昼间</w:t>
                  </w:r>
                </w:p>
              </w:tc>
              <w:tc>
                <w:tcPr>
                  <w:tcW w:w="258" w:type="pct"/>
                  <w:vAlign w:val="center"/>
                </w:tcPr>
                <w:p w14:paraId="1FCC8E69">
                  <w:pPr>
                    <w:pStyle w:val="154"/>
                    <w:rPr>
                      <w:sz w:val="21"/>
                      <w:szCs w:val="21"/>
                    </w:rPr>
                  </w:pPr>
                  <w:r>
                    <w:rPr>
                      <w:rFonts w:hint="eastAsia"/>
                      <w:sz w:val="21"/>
                      <w:szCs w:val="21"/>
                    </w:rPr>
                    <w:t>20</w:t>
                  </w:r>
                </w:p>
              </w:tc>
              <w:tc>
                <w:tcPr>
                  <w:tcW w:w="257" w:type="pct"/>
                  <w:vAlign w:val="center"/>
                </w:tcPr>
                <w:p w14:paraId="4351D5CF">
                  <w:pPr>
                    <w:pStyle w:val="154"/>
                    <w:rPr>
                      <w:color w:val="000000"/>
                      <w:sz w:val="21"/>
                      <w:szCs w:val="21"/>
                    </w:rPr>
                  </w:pPr>
                  <w:r>
                    <w:rPr>
                      <w:rFonts w:hint="eastAsia"/>
                      <w:color w:val="000000"/>
                      <w:sz w:val="21"/>
                      <w:szCs w:val="21"/>
                    </w:rPr>
                    <w:t>23.56</w:t>
                  </w:r>
                </w:p>
              </w:tc>
              <w:tc>
                <w:tcPr>
                  <w:tcW w:w="251" w:type="pct"/>
                  <w:vAlign w:val="center"/>
                </w:tcPr>
                <w:p w14:paraId="1C295C82">
                  <w:pPr>
                    <w:pStyle w:val="154"/>
                    <w:rPr>
                      <w:sz w:val="21"/>
                      <w:szCs w:val="21"/>
                    </w:rPr>
                  </w:pPr>
                  <w:r>
                    <w:rPr>
                      <w:rFonts w:hint="eastAsia"/>
                      <w:sz w:val="21"/>
                      <w:szCs w:val="21"/>
                    </w:rPr>
                    <w:t>1</w:t>
                  </w:r>
                </w:p>
              </w:tc>
            </w:tr>
            <w:tr w14:paraId="129A9A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6E1F32E5">
                  <w:pPr>
                    <w:pStyle w:val="154"/>
                    <w:rPr>
                      <w:sz w:val="21"/>
                      <w:szCs w:val="21"/>
                    </w:rPr>
                  </w:pPr>
                </w:p>
              </w:tc>
              <w:tc>
                <w:tcPr>
                  <w:tcW w:w="257" w:type="pct"/>
                  <w:vMerge w:val="continue"/>
                  <w:vAlign w:val="center"/>
                </w:tcPr>
                <w:p w14:paraId="0142253D">
                  <w:pPr>
                    <w:pStyle w:val="154"/>
                    <w:rPr>
                      <w:sz w:val="21"/>
                      <w:szCs w:val="21"/>
                    </w:rPr>
                  </w:pPr>
                </w:p>
              </w:tc>
              <w:tc>
                <w:tcPr>
                  <w:tcW w:w="566" w:type="pct"/>
                  <w:vMerge w:val="continue"/>
                  <w:vAlign w:val="center"/>
                </w:tcPr>
                <w:p w14:paraId="0A76EFC9">
                  <w:pPr>
                    <w:pStyle w:val="154"/>
                    <w:rPr>
                      <w:sz w:val="21"/>
                      <w:szCs w:val="21"/>
                    </w:rPr>
                  </w:pPr>
                </w:p>
              </w:tc>
              <w:tc>
                <w:tcPr>
                  <w:tcW w:w="208" w:type="pct"/>
                  <w:vMerge w:val="continue"/>
                  <w:vAlign w:val="center"/>
                </w:tcPr>
                <w:p w14:paraId="6E308BC7">
                  <w:pPr>
                    <w:pStyle w:val="154"/>
                    <w:rPr>
                      <w:sz w:val="21"/>
                      <w:szCs w:val="21"/>
                    </w:rPr>
                  </w:pPr>
                </w:p>
              </w:tc>
              <w:tc>
                <w:tcPr>
                  <w:tcW w:w="572" w:type="pct"/>
                  <w:vMerge w:val="continue"/>
                  <w:vAlign w:val="center"/>
                </w:tcPr>
                <w:p w14:paraId="03D58F93">
                  <w:pPr>
                    <w:pStyle w:val="154"/>
                    <w:rPr>
                      <w:sz w:val="21"/>
                      <w:szCs w:val="21"/>
                    </w:rPr>
                  </w:pPr>
                </w:p>
              </w:tc>
              <w:tc>
                <w:tcPr>
                  <w:tcW w:w="364" w:type="pct"/>
                  <w:vMerge w:val="continue"/>
                  <w:vAlign w:val="center"/>
                </w:tcPr>
                <w:p w14:paraId="39D07522">
                  <w:pPr>
                    <w:pStyle w:val="154"/>
                    <w:rPr>
                      <w:sz w:val="21"/>
                      <w:szCs w:val="21"/>
                    </w:rPr>
                  </w:pPr>
                </w:p>
              </w:tc>
              <w:tc>
                <w:tcPr>
                  <w:tcW w:w="415" w:type="pct"/>
                  <w:vMerge w:val="continue"/>
                  <w:vAlign w:val="center"/>
                </w:tcPr>
                <w:p w14:paraId="741764F4">
                  <w:pPr>
                    <w:pStyle w:val="154"/>
                    <w:rPr>
                      <w:sz w:val="21"/>
                      <w:szCs w:val="21"/>
                    </w:rPr>
                  </w:pPr>
                </w:p>
              </w:tc>
              <w:tc>
                <w:tcPr>
                  <w:tcW w:w="208" w:type="pct"/>
                  <w:vMerge w:val="continue"/>
                  <w:vAlign w:val="center"/>
                </w:tcPr>
                <w:p w14:paraId="4EB0E6BE">
                  <w:pPr>
                    <w:pStyle w:val="154"/>
                    <w:rPr>
                      <w:sz w:val="21"/>
                      <w:szCs w:val="21"/>
                    </w:rPr>
                  </w:pPr>
                </w:p>
              </w:tc>
              <w:tc>
                <w:tcPr>
                  <w:tcW w:w="208" w:type="pct"/>
                  <w:vMerge w:val="continue"/>
                  <w:vAlign w:val="center"/>
                </w:tcPr>
                <w:p w14:paraId="31A03189">
                  <w:pPr>
                    <w:pStyle w:val="154"/>
                    <w:rPr>
                      <w:sz w:val="21"/>
                      <w:szCs w:val="21"/>
                    </w:rPr>
                  </w:pPr>
                </w:p>
              </w:tc>
              <w:tc>
                <w:tcPr>
                  <w:tcW w:w="260" w:type="pct"/>
                  <w:vMerge w:val="continue"/>
                  <w:vAlign w:val="center"/>
                </w:tcPr>
                <w:p w14:paraId="73E9186D">
                  <w:pPr>
                    <w:pStyle w:val="154"/>
                    <w:rPr>
                      <w:sz w:val="21"/>
                      <w:szCs w:val="21"/>
                    </w:rPr>
                  </w:pPr>
                </w:p>
              </w:tc>
              <w:tc>
                <w:tcPr>
                  <w:tcW w:w="224" w:type="pct"/>
                  <w:vAlign w:val="center"/>
                </w:tcPr>
                <w:p w14:paraId="3A042C04">
                  <w:pPr>
                    <w:pStyle w:val="154"/>
                    <w:rPr>
                      <w:sz w:val="21"/>
                      <w:szCs w:val="21"/>
                    </w:rPr>
                  </w:pPr>
                  <w:r>
                    <w:rPr>
                      <w:rFonts w:hint="eastAsia"/>
                      <w:sz w:val="21"/>
                      <w:szCs w:val="21"/>
                    </w:rPr>
                    <w:t>W</w:t>
                  </w:r>
                </w:p>
              </w:tc>
              <w:tc>
                <w:tcPr>
                  <w:tcW w:w="225" w:type="pct"/>
                  <w:vAlign w:val="center"/>
                </w:tcPr>
                <w:p w14:paraId="6C4D8E5C">
                  <w:pPr>
                    <w:pStyle w:val="154"/>
                    <w:rPr>
                      <w:sz w:val="21"/>
                      <w:szCs w:val="21"/>
                    </w:rPr>
                  </w:pPr>
                  <w:r>
                    <w:rPr>
                      <w:rFonts w:hint="eastAsia"/>
                      <w:sz w:val="21"/>
                      <w:szCs w:val="21"/>
                    </w:rPr>
                    <w:t>15</w:t>
                  </w:r>
                </w:p>
              </w:tc>
              <w:tc>
                <w:tcPr>
                  <w:tcW w:w="309" w:type="pct"/>
                  <w:vAlign w:val="center"/>
                </w:tcPr>
                <w:p w14:paraId="2AD93324">
                  <w:pPr>
                    <w:jc w:val="center"/>
                    <w:rPr>
                      <w:rFonts w:ascii="Times New Roman" w:hAnsi="Times New Roman" w:cs="Times New Roman"/>
                      <w:color w:val="000000"/>
                      <w:sz w:val="21"/>
                      <w:szCs w:val="21"/>
                    </w:rPr>
                  </w:pPr>
                  <w:r>
                    <w:rPr>
                      <w:rFonts w:ascii="Times New Roman" w:hAnsi="Times New Roman" w:cs="Times New Roman"/>
                      <w:color w:val="000000"/>
                      <w:sz w:val="21"/>
                      <w:szCs w:val="21"/>
                    </w:rPr>
                    <w:t>46.48</w:t>
                  </w:r>
                </w:p>
              </w:tc>
              <w:tc>
                <w:tcPr>
                  <w:tcW w:w="258" w:type="pct"/>
                  <w:vMerge w:val="continue"/>
                  <w:vAlign w:val="center"/>
                </w:tcPr>
                <w:p w14:paraId="14EF7B7B">
                  <w:pPr>
                    <w:pStyle w:val="154"/>
                    <w:rPr>
                      <w:sz w:val="21"/>
                      <w:szCs w:val="21"/>
                    </w:rPr>
                  </w:pPr>
                </w:p>
              </w:tc>
              <w:tc>
                <w:tcPr>
                  <w:tcW w:w="258" w:type="pct"/>
                  <w:vAlign w:val="center"/>
                </w:tcPr>
                <w:p w14:paraId="18255C35">
                  <w:pPr>
                    <w:pStyle w:val="154"/>
                    <w:rPr>
                      <w:sz w:val="21"/>
                      <w:szCs w:val="21"/>
                    </w:rPr>
                  </w:pPr>
                  <w:r>
                    <w:rPr>
                      <w:rFonts w:hint="eastAsia"/>
                      <w:sz w:val="21"/>
                      <w:szCs w:val="21"/>
                    </w:rPr>
                    <w:t>20</w:t>
                  </w:r>
                </w:p>
              </w:tc>
              <w:tc>
                <w:tcPr>
                  <w:tcW w:w="257" w:type="pct"/>
                  <w:vAlign w:val="center"/>
                </w:tcPr>
                <w:p w14:paraId="5CEFFA20">
                  <w:pPr>
                    <w:pStyle w:val="154"/>
                    <w:rPr>
                      <w:color w:val="000000"/>
                      <w:sz w:val="21"/>
                      <w:szCs w:val="21"/>
                    </w:rPr>
                  </w:pPr>
                  <w:r>
                    <w:rPr>
                      <w:rFonts w:hint="eastAsia"/>
                      <w:color w:val="000000"/>
                      <w:sz w:val="21"/>
                      <w:szCs w:val="21"/>
                    </w:rPr>
                    <w:t>26.48</w:t>
                  </w:r>
                </w:p>
              </w:tc>
              <w:tc>
                <w:tcPr>
                  <w:tcW w:w="251" w:type="pct"/>
                  <w:vAlign w:val="center"/>
                </w:tcPr>
                <w:p w14:paraId="027E2EF1">
                  <w:pPr>
                    <w:pStyle w:val="154"/>
                    <w:rPr>
                      <w:sz w:val="21"/>
                      <w:szCs w:val="21"/>
                    </w:rPr>
                  </w:pPr>
                  <w:r>
                    <w:rPr>
                      <w:rFonts w:hint="eastAsia"/>
                      <w:sz w:val="21"/>
                      <w:szCs w:val="21"/>
                    </w:rPr>
                    <w:t>1</w:t>
                  </w:r>
                </w:p>
              </w:tc>
            </w:tr>
            <w:tr w14:paraId="7FE5D9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5A4244F4">
                  <w:pPr>
                    <w:pStyle w:val="154"/>
                    <w:rPr>
                      <w:sz w:val="21"/>
                      <w:szCs w:val="21"/>
                    </w:rPr>
                  </w:pPr>
                </w:p>
              </w:tc>
              <w:tc>
                <w:tcPr>
                  <w:tcW w:w="257" w:type="pct"/>
                  <w:vMerge w:val="continue"/>
                  <w:vAlign w:val="center"/>
                </w:tcPr>
                <w:p w14:paraId="2AE44D7E">
                  <w:pPr>
                    <w:pStyle w:val="154"/>
                    <w:rPr>
                      <w:sz w:val="21"/>
                      <w:szCs w:val="21"/>
                    </w:rPr>
                  </w:pPr>
                </w:p>
              </w:tc>
              <w:tc>
                <w:tcPr>
                  <w:tcW w:w="566" w:type="pct"/>
                  <w:vMerge w:val="continue"/>
                  <w:vAlign w:val="center"/>
                </w:tcPr>
                <w:p w14:paraId="12B55178">
                  <w:pPr>
                    <w:pStyle w:val="154"/>
                    <w:rPr>
                      <w:sz w:val="21"/>
                      <w:szCs w:val="21"/>
                    </w:rPr>
                  </w:pPr>
                </w:p>
              </w:tc>
              <w:tc>
                <w:tcPr>
                  <w:tcW w:w="208" w:type="pct"/>
                  <w:vMerge w:val="continue"/>
                  <w:vAlign w:val="center"/>
                </w:tcPr>
                <w:p w14:paraId="3EDDA3E7">
                  <w:pPr>
                    <w:pStyle w:val="154"/>
                    <w:rPr>
                      <w:sz w:val="21"/>
                      <w:szCs w:val="21"/>
                    </w:rPr>
                  </w:pPr>
                </w:p>
              </w:tc>
              <w:tc>
                <w:tcPr>
                  <w:tcW w:w="572" w:type="pct"/>
                  <w:vMerge w:val="continue"/>
                  <w:vAlign w:val="center"/>
                </w:tcPr>
                <w:p w14:paraId="763EBCBD">
                  <w:pPr>
                    <w:pStyle w:val="154"/>
                    <w:rPr>
                      <w:sz w:val="21"/>
                      <w:szCs w:val="21"/>
                    </w:rPr>
                  </w:pPr>
                </w:p>
              </w:tc>
              <w:tc>
                <w:tcPr>
                  <w:tcW w:w="364" w:type="pct"/>
                  <w:vMerge w:val="continue"/>
                  <w:vAlign w:val="center"/>
                </w:tcPr>
                <w:p w14:paraId="66C9D792">
                  <w:pPr>
                    <w:pStyle w:val="154"/>
                    <w:rPr>
                      <w:sz w:val="21"/>
                      <w:szCs w:val="21"/>
                    </w:rPr>
                  </w:pPr>
                </w:p>
              </w:tc>
              <w:tc>
                <w:tcPr>
                  <w:tcW w:w="415" w:type="pct"/>
                  <w:vMerge w:val="continue"/>
                  <w:vAlign w:val="center"/>
                </w:tcPr>
                <w:p w14:paraId="6B16F0C7">
                  <w:pPr>
                    <w:pStyle w:val="154"/>
                    <w:rPr>
                      <w:sz w:val="21"/>
                      <w:szCs w:val="21"/>
                    </w:rPr>
                  </w:pPr>
                </w:p>
              </w:tc>
              <w:tc>
                <w:tcPr>
                  <w:tcW w:w="208" w:type="pct"/>
                  <w:vMerge w:val="continue"/>
                  <w:vAlign w:val="center"/>
                </w:tcPr>
                <w:p w14:paraId="0EBEA5F5">
                  <w:pPr>
                    <w:pStyle w:val="154"/>
                    <w:rPr>
                      <w:sz w:val="21"/>
                      <w:szCs w:val="21"/>
                    </w:rPr>
                  </w:pPr>
                </w:p>
              </w:tc>
              <w:tc>
                <w:tcPr>
                  <w:tcW w:w="208" w:type="pct"/>
                  <w:vMerge w:val="continue"/>
                  <w:vAlign w:val="center"/>
                </w:tcPr>
                <w:p w14:paraId="17694608">
                  <w:pPr>
                    <w:pStyle w:val="154"/>
                    <w:rPr>
                      <w:sz w:val="21"/>
                      <w:szCs w:val="21"/>
                    </w:rPr>
                  </w:pPr>
                </w:p>
              </w:tc>
              <w:tc>
                <w:tcPr>
                  <w:tcW w:w="260" w:type="pct"/>
                  <w:vMerge w:val="continue"/>
                  <w:vAlign w:val="center"/>
                </w:tcPr>
                <w:p w14:paraId="2991B6CE">
                  <w:pPr>
                    <w:pStyle w:val="154"/>
                    <w:rPr>
                      <w:sz w:val="21"/>
                      <w:szCs w:val="21"/>
                    </w:rPr>
                  </w:pPr>
                </w:p>
              </w:tc>
              <w:tc>
                <w:tcPr>
                  <w:tcW w:w="224" w:type="pct"/>
                  <w:vAlign w:val="center"/>
                </w:tcPr>
                <w:p w14:paraId="61CDB64B">
                  <w:pPr>
                    <w:pStyle w:val="154"/>
                    <w:rPr>
                      <w:sz w:val="21"/>
                      <w:szCs w:val="21"/>
                    </w:rPr>
                  </w:pPr>
                  <w:r>
                    <w:rPr>
                      <w:rFonts w:hint="eastAsia"/>
                      <w:sz w:val="21"/>
                      <w:szCs w:val="21"/>
                    </w:rPr>
                    <w:t>S</w:t>
                  </w:r>
                </w:p>
              </w:tc>
              <w:tc>
                <w:tcPr>
                  <w:tcW w:w="225" w:type="pct"/>
                  <w:vAlign w:val="center"/>
                </w:tcPr>
                <w:p w14:paraId="6394E542">
                  <w:pPr>
                    <w:pStyle w:val="154"/>
                    <w:rPr>
                      <w:sz w:val="21"/>
                      <w:szCs w:val="21"/>
                    </w:rPr>
                  </w:pPr>
                  <w:r>
                    <w:rPr>
                      <w:rFonts w:hint="eastAsia"/>
                      <w:sz w:val="21"/>
                      <w:szCs w:val="21"/>
                    </w:rPr>
                    <w:t>2</w:t>
                  </w:r>
                </w:p>
              </w:tc>
              <w:tc>
                <w:tcPr>
                  <w:tcW w:w="309" w:type="pct"/>
                  <w:vAlign w:val="center"/>
                </w:tcPr>
                <w:p w14:paraId="2DD8CC14">
                  <w:pPr>
                    <w:jc w:val="center"/>
                    <w:rPr>
                      <w:rFonts w:ascii="Times New Roman" w:hAnsi="Times New Roman" w:cs="Times New Roman"/>
                      <w:color w:val="000000"/>
                      <w:sz w:val="21"/>
                      <w:szCs w:val="21"/>
                    </w:rPr>
                  </w:pPr>
                  <w:r>
                    <w:rPr>
                      <w:rFonts w:ascii="Times New Roman" w:hAnsi="Times New Roman" w:cs="Times New Roman"/>
                      <w:color w:val="000000"/>
                      <w:sz w:val="21"/>
                      <w:szCs w:val="21"/>
                    </w:rPr>
                    <w:t>63.98</w:t>
                  </w:r>
                </w:p>
              </w:tc>
              <w:tc>
                <w:tcPr>
                  <w:tcW w:w="258" w:type="pct"/>
                  <w:vMerge w:val="continue"/>
                  <w:vAlign w:val="center"/>
                </w:tcPr>
                <w:p w14:paraId="092A3906">
                  <w:pPr>
                    <w:pStyle w:val="154"/>
                    <w:rPr>
                      <w:sz w:val="21"/>
                      <w:szCs w:val="21"/>
                    </w:rPr>
                  </w:pPr>
                </w:p>
              </w:tc>
              <w:tc>
                <w:tcPr>
                  <w:tcW w:w="258" w:type="pct"/>
                  <w:vAlign w:val="center"/>
                </w:tcPr>
                <w:p w14:paraId="0BAAA0B8">
                  <w:pPr>
                    <w:pStyle w:val="154"/>
                    <w:rPr>
                      <w:sz w:val="21"/>
                      <w:szCs w:val="21"/>
                    </w:rPr>
                  </w:pPr>
                  <w:r>
                    <w:rPr>
                      <w:rFonts w:hint="eastAsia"/>
                      <w:sz w:val="21"/>
                      <w:szCs w:val="21"/>
                    </w:rPr>
                    <w:t>20</w:t>
                  </w:r>
                </w:p>
              </w:tc>
              <w:tc>
                <w:tcPr>
                  <w:tcW w:w="257" w:type="pct"/>
                  <w:vAlign w:val="center"/>
                </w:tcPr>
                <w:p w14:paraId="29491B57">
                  <w:pPr>
                    <w:pStyle w:val="154"/>
                    <w:rPr>
                      <w:color w:val="000000"/>
                      <w:sz w:val="21"/>
                      <w:szCs w:val="21"/>
                    </w:rPr>
                  </w:pPr>
                  <w:r>
                    <w:rPr>
                      <w:rFonts w:hint="eastAsia"/>
                      <w:color w:val="000000"/>
                      <w:sz w:val="21"/>
                      <w:szCs w:val="21"/>
                    </w:rPr>
                    <w:t>43.98</w:t>
                  </w:r>
                </w:p>
              </w:tc>
              <w:tc>
                <w:tcPr>
                  <w:tcW w:w="251" w:type="pct"/>
                  <w:vAlign w:val="center"/>
                </w:tcPr>
                <w:p w14:paraId="5A187244">
                  <w:pPr>
                    <w:pStyle w:val="154"/>
                    <w:rPr>
                      <w:sz w:val="21"/>
                      <w:szCs w:val="21"/>
                    </w:rPr>
                  </w:pPr>
                  <w:r>
                    <w:rPr>
                      <w:rFonts w:hint="eastAsia"/>
                      <w:sz w:val="21"/>
                      <w:szCs w:val="21"/>
                    </w:rPr>
                    <w:t>1</w:t>
                  </w:r>
                </w:p>
              </w:tc>
            </w:tr>
            <w:tr w14:paraId="1E9A03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 w:hRule="atLeast"/>
                <w:jc w:val="center"/>
              </w:trPr>
              <w:tc>
                <w:tcPr>
                  <w:tcW w:w="160" w:type="pct"/>
                  <w:vMerge w:val="continue"/>
                  <w:vAlign w:val="center"/>
                </w:tcPr>
                <w:p w14:paraId="34FD3058">
                  <w:pPr>
                    <w:pStyle w:val="154"/>
                    <w:rPr>
                      <w:sz w:val="21"/>
                      <w:szCs w:val="21"/>
                    </w:rPr>
                  </w:pPr>
                </w:p>
              </w:tc>
              <w:tc>
                <w:tcPr>
                  <w:tcW w:w="257" w:type="pct"/>
                  <w:vMerge w:val="continue"/>
                  <w:vAlign w:val="center"/>
                </w:tcPr>
                <w:p w14:paraId="5B0B4011">
                  <w:pPr>
                    <w:pStyle w:val="154"/>
                    <w:rPr>
                      <w:sz w:val="21"/>
                      <w:szCs w:val="21"/>
                    </w:rPr>
                  </w:pPr>
                </w:p>
              </w:tc>
              <w:tc>
                <w:tcPr>
                  <w:tcW w:w="566" w:type="pct"/>
                  <w:vMerge w:val="continue"/>
                  <w:vAlign w:val="center"/>
                </w:tcPr>
                <w:p w14:paraId="5FBDB8E7">
                  <w:pPr>
                    <w:pStyle w:val="154"/>
                    <w:rPr>
                      <w:sz w:val="21"/>
                      <w:szCs w:val="21"/>
                    </w:rPr>
                  </w:pPr>
                </w:p>
              </w:tc>
              <w:tc>
                <w:tcPr>
                  <w:tcW w:w="208" w:type="pct"/>
                  <w:vMerge w:val="continue"/>
                  <w:vAlign w:val="center"/>
                </w:tcPr>
                <w:p w14:paraId="7331375B">
                  <w:pPr>
                    <w:pStyle w:val="154"/>
                    <w:rPr>
                      <w:sz w:val="21"/>
                      <w:szCs w:val="21"/>
                    </w:rPr>
                  </w:pPr>
                </w:p>
              </w:tc>
              <w:tc>
                <w:tcPr>
                  <w:tcW w:w="572" w:type="pct"/>
                  <w:vMerge w:val="continue"/>
                  <w:vAlign w:val="center"/>
                </w:tcPr>
                <w:p w14:paraId="3EE87B6B">
                  <w:pPr>
                    <w:pStyle w:val="154"/>
                    <w:rPr>
                      <w:sz w:val="21"/>
                      <w:szCs w:val="21"/>
                    </w:rPr>
                  </w:pPr>
                </w:p>
              </w:tc>
              <w:tc>
                <w:tcPr>
                  <w:tcW w:w="364" w:type="pct"/>
                  <w:vMerge w:val="continue"/>
                  <w:vAlign w:val="center"/>
                </w:tcPr>
                <w:p w14:paraId="014BF041">
                  <w:pPr>
                    <w:pStyle w:val="154"/>
                    <w:rPr>
                      <w:sz w:val="21"/>
                      <w:szCs w:val="21"/>
                    </w:rPr>
                  </w:pPr>
                </w:p>
              </w:tc>
              <w:tc>
                <w:tcPr>
                  <w:tcW w:w="415" w:type="pct"/>
                  <w:vMerge w:val="continue"/>
                  <w:vAlign w:val="center"/>
                </w:tcPr>
                <w:p w14:paraId="67C8D103">
                  <w:pPr>
                    <w:pStyle w:val="154"/>
                    <w:rPr>
                      <w:sz w:val="21"/>
                      <w:szCs w:val="21"/>
                    </w:rPr>
                  </w:pPr>
                </w:p>
              </w:tc>
              <w:tc>
                <w:tcPr>
                  <w:tcW w:w="208" w:type="pct"/>
                  <w:vMerge w:val="continue"/>
                  <w:vAlign w:val="center"/>
                </w:tcPr>
                <w:p w14:paraId="4DB91F52">
                  <w:pPr>
                    <w:pStyle w:val="154"/>
                    <w:rPr>
                      <w:sz w:val="21"/>
                      <w:szCs w:val="21"/>
                    </w:rPr>
                  </w:pPr>
                </w:p>
              </w:tc>
              <w:tc>
                <w:tcPr>
                  <w:tcW w:w="208" w:type="pct"/>
                  <w:vMerge w:val="continue"/>
                  <w:vAlign w:val="center"/>
                </w:tcPr>
                <w:p w14:paraId="1D2CCA92">
                  <w:pPr>
                    <w:pStyle w:val="154"/>
                    <w:rPr>
                      <w:sz w:val="21"/>
                      <w:szCs w:val="21"/>
                    </w:rPr>
                  </w:pPr>
                </w:p>
              </w:tc>
              <w:tc>
                <w:tcPr>
                  <w:tcW w:w="260" w:type="pct"/>
                  <w:vMerge w:val="continue"/>
                  <w:vAlign w:val="center"/>
                </w:tcPr>
                <w:p w14:paraId="10D46B6B">
                  <w:pPr>
                    <w:pStyle w:val="154"/>
                    <w:rPr>
                      <w:sz w:val="21"/>
                      <w:szCs w:val="21"/>
                    </w:rPr>
                  </w:pPr>
                </w:p>
              </w:tc>
              <w:tc>
                <w:tcPr>
                  <w:tcW w:w="224" w:type="pct"/>
                  <w:vAlign w:val="center"/>
                </w:tcPr>
                <w:p w14:paraId="2F9CDCDA">
                  <w:pPr>
                    <w:pStyle w:val="154"/>
                    <w:rPr>
                      <w:sz w:val="21"/>
                      <w:szCs w:val="21"/>
                    </w:rPr>
                  </w:pPr>
                  <w:r>
                    <w:rPr>
                      <w:rFonts w:hint="eastAsia"/>
                      <w:sz w:val="21"/>
                      <w:szCs w:val="21"/>
                    </w:rPr>
                    <w:t>N</w:t>
                  </w:r>
                </w:p>
              </w:tc>
              <w:tc>
                <w:tcPr>
                  <w:tcW w:w="225" w:type="pct"/>
                  <w:vAlign w:val="center"/>
                </w:tcPr>
                <w:p w14:paraId="7448665F">
                  <w:pPr>
                    <w:pStyle w:val="154"/>
                    <w:rPr>
                      <w:sz w:val="21"/>
                      <w:szCs w:val="21"/>
                    </w:rPr>
                  </w:pPr>
                  <w:r>
                    <w:rPr>
                      <w:rFonts w:hint="eastAsia"/>
                      <w:sz w:val="21"/>
                      <w:szCs w:val="21"/>
                    </w:rPr>
                    <w:t>30</w:t>
                  </w:r>
                </w:p>
              </w:tc>
              <w:tc>
                <w:tcPr>
                  <w:tcW w:w="309" w:type="pct"/>
                  <w:vAlign w:val="center"/>
                </w:tcPr>
                <w:p w14:paraId="1E44E9B9">
                  <w:pPr>
                    <w:jc w:val="center"/>
                    <w:rPr>
                      <w:rFonts w:ascii="Times New Roman" w:hAnsi="Times New Roman" w:cs="Times New Roman"/>
                      <w:color w:val="000000"/>
                      <w:sz w:val="21"/>
                      <w:szCs w:val="21"/>
                    </w:rPr>
                  </w:pPr>
                  <w:r>
                    <w:rPr>
                      <w:rFonts w:ascii="Times New Roman" w:hAnsi="Times New Roman" w:cs="Times New Roman"/>
                      <w:color w:val="000000"/>
                      <w:sz w:val="21"/>
                      <w:szCs w:val="21"/>
                    </w:rPr>
                    <w:t>40.46</w:t>
                  </w:r>
                </w:p>
              </w:tc>
              <w:tc>
                <w:tcPr>
                  <w:tcW w:w="258" w:type="pct"/>
                  <w:vMerge w:val="continue"/>
                  <w:vAlign w:val="center"/>
                </w:tcPr>
                <w:p w14:paraId="4EB47F27">
                  <w:pPr>
                    <w:pStyle w:val="154"/>
                    <w:rPr>
                      <w:sz w:val="21"/>
                      <w:szCs w:val="21"/>
                    </w:rPr>
                  </w:pPr>
                </w:p>
              </w:tc>
              <w:tc>
                <w:tcPr>
                  <w:tcW w:w="258" w:type="pct"/>
                  <w:vAlign w:val="center"/>
                </w:tcPr>
                <w:p w14:paraId="2338FF8D">
                  <w:pPr>
                    <w:pStyle w:val="154"/>
                    <w:rPr>
                      <w:sz w:val="21"/>
                      <w:szCs w:val="21"/>
                    </w:rPr>
                  </w:pPr>
                  <w:r>
                    <w:rPr>
                      <w:rFonts w:hint="eastAsia"/>
                      <w:sz w:val="21"/>
                      <w:szCs w:val="21"/>
                    </w:rPr>
                    <w:t>20</w:t>
                  </w:r>
                </w:p>
              </w:tc>
              <w:tc>
                <w:tcPr>
                  <w:tcW w:w="257" w:type="pct"/>
                  <w:vAlign w:val="center"/>
                </w:tcPr>
                <w:p w14:paraId="2497BBA2">
                  <w:pPr>
                    <w:pStyle w:val="154"/>
                    <w:rPr>
                      <w:color w:val="000000"/>
                      <w:sz w:val="21"/>
                      <w:szCs w:val="21"/>
                    </w:rPr>
                  </w:pPr>
                  <w:r>
                    <w:rPr>
                      <w:rFonts w:hint="eastAsia"/>
                      <w:color w:val="000000"/>
                      <w:sz w:val="21"/>
                      <w:szCs w:val="21"/>
                    </w:rPr>
                    <w:t>20.46</w:t>
                  </w:r>
                </w:p>
              </w:tc>
              <w:tc>
                <w:tcPr>
                  <w:tcW w:w="251" w:type="pct"/>
                  <w:vAlign w:val="center"/>
                </w:tcPr>
                <w:p w14:paraId="0EAAF011">
                  <w:pPr>
                    <w:pStyle w:val="154"/>
                    <w:rPr>
                      <w:sz w:val="21"/>
                      <w:szCs w:val="21"/>
                    </w:rPr>
                  </w:pPr>
                  <w:r>
                    <w:rPr>
                      <w:rFonts w:hint="eastAsia"/>
                      <w:sz w:val="21"/>
                      <w:szCs w:val="21"/>
                    </w:rPr>
                    <w:t>1</w:t>
                  </w:r>
                </w:p>
              </w:tc>
            </w:tr>
            <w:tr w14:paraId="60102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5000" w:type="pct"/>
                  <w:gridSpan w:val="17"/>
                  <w:vAlign w:val="center"/>
                </w:tcPr>
                <w:p w14:paraId="69AAF77B">
                  <w:pPr>
                    <w:pStyle w:val="154"/>
                    <w:jc w:val="both"/>
                    <w:rPr>
                      <w:sz w:val="21"/>
                      <w:szCs w:val="21"/>
                    </w:rPr>
                  </w:pPr>
                  <w:r>
                    <w:rPr>
                      <w:sz w:val="21"/>
                      <w:szCs w:val="21"/>
                    </w:rPr>
                    <w:t>注：以厂区西南角顶点（E 112.83</w:t>
                  </w:r>
                  <w:r>
                    <w:rPr>
                      <w:rFonts w:hint="eastAsia"/>
                      <w:sz w:val="21"/>
                      <w:szCs w:val="21"/>
                    </w:rPr>
                    <w:t>2734</w:t>
                  </w:r>
                  <w:r>
                    <w:rPr>
                      <w:sz w:val="21"/>
                      <w:szCs w:val="21"/>
                    </w:rPr>
                    <w:t>°，N 34.71</w:t>
                  </w:r>
                  <w:r>
                    <w:rPr>
                      <w:rFonts w:hint="eastAsia"/>
                      <w:sz w:val="21"/>
                      <w:szCs w:val="21"/>
                    </w:rPr>
                    <w:t>6551</w:t>
                  </w:r>
                  <w:r>
                    <w:rPr>
                      <w:sz w:val="21"/>
                      <w:szCs w:val="21"/>
                    </w:rPr>
                    <w:t>°）为坐标原点。</w:t>
                  </w:r>
                </w:p>
              </w:tc>
            </w:tr>
          </w:tbl>
          <w:p w14:paraId="7B95D522">
            <w:pPr>
              <w:pStyle w:val="179"/>
            </w:pPr>
            <w:r>
              <w:t>3.</w:t>
            </w:r>
            <w:r>
              <w:rPr>
                <w:rFonts w:hint="eastAsia"/>
              </w:rPr>
              <w:t>2</w:t>
            </w:r>
            <w:r>
              <w:t>噪声预测</w:t>
            </w:r>
          </w:p>
          <w:p w14:paraId="7E2399AE">
            <w:pPr>
              <w:pStyle w:val="156"/>
              <w:ind w:firstLine="480"/>
              <w:rPr>
                <w:rFonts w:eastAsia="宋体" w:cs="Times New Roman"/>
              </w:rPr>
            </w:pPr>
            <w:r>
              <w:rPr>
                <w:rFonts w:eastAsia="宋体" w:cs="Times New Roman"/>
              </w:rPr>
              <w:t>噪声预测采用的模型为《环境影响评价技术导则 声环境》(HJ2.4-2021) 附录B（规范性附录）中</w:t>
            </w:r>
            <w:r>
              <w:rPr>
                <w:rFonts w:hint="eastAsia" w:eastAsia="宋体" w:cs="Times New Roman"/>
              </w:rPr>
              <w:t>“</w:t>
            </w:r>
            <w:r>
              <w:rPr>
                <w:rFonts w:eastAsia="宋体" w:cs="Times New Roman"/>
              </w:rPr>
              <w:t>B.1工业噪声预测计算模型</w:t>
            </w:r>
            <w:r>
              <w:rPr>
                <w:rFonts w:cs="Times New Roman" w:asciiTheme="minorEastAsia" w:hAnsiTheme="minorEastAsia"/>
              </w:rPr>
              <w:t>”。</w:t>
            </w:r>
          </w:p>
          <w:p w14:paraId="3D8DF454">
            <w:pPr>
              <w:pStyle w:val="156"/>
              <w:ind w:firstLine="480"/>
              <w:rPr>
                <w:rFonts w:eastAsia="宋体" w:cs="Times New Roman"/>
              </w:rPr>
            </w:pPr>
            <w:r>
              <w:rPr>
                <w:rFonts w:eastAsia="宋体" w:cs="Times New Roman"/>
              </w:rPr>
              <w:t>根据本项目厂区平面布置情况，选择主要高噪声源对造成影响的厂界进行预测。预测结果见下表。</w:t>
            </w:r>
          </w:p>
          <w:p w14:paraId="62276A99">
            <w:pPr>
              <w:pStyle w:val="182"/>
              <w:ind w:firstLine="480"/>
            </w:pPr>
            <w:r>
              <w:t>表4-1</w:t>
            </w:r>
            <w:r>
              <w:rPr>
                <w:rFonts w:hint="eastAsia"/>
              </w:rPr>
              <w:t>6</w:t>
            </w:r>
            <w:r>
              <w:t xml:space="preserve">                               厂界噪声预测结果</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69"/>
              <w:gridCol w:w="1389"/>
              <w:gridCol w:w="1391"/>
              <w:gridCol w:w="1391"/>
              <w:gridCol w:w="1558"/>
              <w:gridCol w:w="1985"/>
              <w:gridCol w:w="2598"/>
              <w:gridCol w:w="1553"/>
            </w:tblGrid>
            <w:tr w14:paraId="57FC7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1769" w:type="dxa"/>
                  <w:vMerge w:val="restart"/>
                  <w:vAlign w:val="center"/>
                </w:tcPr>
                <w:p w14:paraId="5D44732D">
                  <w:pPr>
                    <w:pStyle w:val="154"/>
                    <w:rPr>
                      <w:sz w:val="21"/>
                      <w:szCs w:val="21"/>
                    </w:rPr>
                  </w:pPr>
                  <w:r>
                    <w:rPr>
                      <w:sz w:val="21"/>
                      <w:szCs w:val="21"/>
                    </w:rPr>
                    <w:t>预测方位</w:t>
                  </w:r>
                </w:p>
              </w:tc>
              <w:tc>
                <w:tcPr>
                  <w:tcW w:w="4171" w:type="dxa"/>
                  <w:gridSpan w:val="3"/>
                  <w:vAlign w:val="center"/>
                </w:tcPr>
                <w:p w14:paraId="1F99616D">
                  <w:pPr>
                    <w:pStyle w:val="154"/>
                    <w:rPr>
                      <w:sz w:val="21"/>
                      <w:szCs w:val="21"/>
                    </w:rPr>
                  </w:pPr>
                  <w:r>
                    <w:rPr>
                      <w:sz w:val="21"/>
                      <w:szCs w:val="21"/>
                    </w:rPr>
                    <w:t>空间相对位置/m</w:t>
                  </w:r>
                </w:p>
              </w:tc>
              <w:tc>
                <w:tcPr>
                  <w:tcW w:w="1558" w:type="dxa"/>
                  <w:vMerge w:val="restart"/>
                  <w:vAlign w:val="center"/>
                </w:tcPr>
                <w:p w14:paraId="3275D4C2">
                  <w:pPr>
                    <w:pStyle w:val="154"/>
                    <w:rPr>
                      <w:sz w:val="21"/>
                      <w:szCs w:val="21"/>
                    </w:rPr>
                  </w:pPr>
                  <w:r>
                    <w:rPr>
                      <w:sz w:val="21"/>
                      <w:szCs w:val="21"/>
                    </w:rPr>
                    <w:t>时段</w:t>
                  </w:r>
                </w:p>
              </w:tc>
              <w:tc>
                <w:tcPr>
                  <w:tcW w:w="1985" w:type="dxa"/>
                  <w:vMerge w:val="restart"/>
                  <w:vAlign w:val="center"/>
                </w:tcPr>
                <w:p w14:paraId="1517F3CD">
                  <w:pPr>
                    <w:pStyle w:val="154"/>
                    <w:rPr>
                      <w:sz w:val="21"/>
                      <w:szCs w:val="21"/>
                    </w:rPr>
                  </w:pPr>
                  <w:r>
                    <w:rPr>
                      <w:sz w:val="21"/>
                      <w:szCs w:val="21"/>
                    </w:rPr>
                    <w:t>贡献值（dB(A)）</w:t>
                  </w:r>
                </w:p>
              </w:tc>
              <w:tc>
                <w:tcPr>
                  <w:tcW w:w="2598" w:type="dxa"/>
                  <w:vMerge w:val="restart"/>
                  <w:vAlign w:val="center"/>
                </w:tcPr>
                <w:p w14:paraId="6E0342AB">
                  <w:pPr>
                    <w:pStyle w:val="154"/>
                    <w:rPr>
                      <w:sz w:val="21"/>
                      <w:szCs w:val="21"/>
                    </w:rPr>
                  </w:pPr>
                  <w:r>
                    <w:rPr>
                      <w:sz w:val="21"/>
                      <w:szCs w:val="21"/>
                    </w:rPr>
                    <w:t>标准限值（dB(A)）（昼间）</w:t>
                  </w:r>
                </w:p>
              </w:tc>
              <w:tc>
                <w:tcPr>
                  <w:tcW w:w="1553" w:type="dxa"/>
                  <w:vMerge w:val="restart"/>
                  <w:vAlign w:val="center"/>
                </w:tcPr>
                <w:p w14:paraId="3594AEFA">
                  <w:pPr>
                    <w:pStyle w:val="154"/>
                    <w:rPr>
                      <w:sz w:val="21"/>
                      <w:szCs w:val="21"/>
                    </w:rPr>
                  </w:pPr>
                  <w:r>
                    <w:rPr>
                      <w:sz w:val="21"/>
                      <w:szCs w:val="21"/>
                    </w:rPr>
                    <w:t>达标情况</w:t>
                  </w:r>
                </w:p>
              </w:tc>
            </w:tr>
            <w:tr w14:paraId="5324D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1769" w:type="dxa"/>
                  <w:vMerge w:val="continue"/>
                  <w:vAlign w:val="center"/>
                </w:tcPr>
                <w:p w14:paraId="5BDC23AA">
                  <w:pPr>
                    <w:pStyle w:val="154"/>
                    <w:rPr>
                      <w:sz w:val="21"/>
                      <w:szCs w:val="21"/>
                    </w:rPr>
                  </w:pPr>
                </w:p>
              </w:tc>
              <w:tc>
                <w:tcPr>
                  <w:tcW w:w="1389" w:type="dxa"/>
                  <w:vAlign w:val="center"/>
                </w:tcPr>
                <w:p w14:paraId="2CD3DB57">
                  <w:pPr>
                    <w:pStyle w:val="154"/>
                    <w:rPr>
                      <w:sz w:val="21"/>
                      <w:szCs w:val="21"/>
                    </w:rPr>
                  </w:pPr>
                  <w:r>
                    <w:rPr>
                      <w:sz w:val="21"/>
                      <w:szCs w:val="21"/>
                    </w:rPr>
                    <w:t>X</w:t>
                  </w:r>
                </w:p>
              </w:tc>
              <w:tc>
                <w:tcPr>
                  <w:tcW w:w="1391" w:type="dxa"/>
                  <w:vAlign w:val="center"/>
                </w:tcPr>
                <w:p w14:paraId="4616AC26">
                  <w:pPr>
                    <w:pStyle w:val="154"/>
                    <w:rPr>
                      <w:sz w:val="21"/>
                      <w:szCs w:val="21"/>
                    </w:rPr>
                  </w:pPr>
                  <w:r>
                    <w:rPr>
                      <w:sz w:val="21"/>
                      <w:szCs w:val="21"/>
                    </w:rPr>
                    <w:t>Y</w:t>
                  </w:r>
                </w:p>
              </w:tc>
              <w:tc>
                <w:tcPr>
                  <w:tcW w:w="1391" w:type="dxa"/>
                  <w:vAlign w:val="center"/>
                </w:tcPr>
                <w:p w14:paraId="2834076F">
                  <w:pPr>
                    <w:pStyle w:val="154"/>
                    <w:rPr>
                      <w:sz w:val="21"/>
                      <w:szCs w:val="21"/>
                    </w:rPr>
                  </w:pPr>
                  <w:r>
                    <w:rPr>
                      <w:sz w:val="21"/>
                      <w:szCs w:val="21"/>
                    </w:rPr>
                    <w:t>Z</w:t>
                  </w:r>
                </w:p>
              </w:tc>
              <w:tc>
                <w:tcPr>
                  <w:tcW w:w="1558" w:type="dxa"/>
                  <w:vMerge w:val="continue"/>
                  <w:vAlign w:val="center"/>
                </w:tcPr>
                <w:p w14:paraId="177A3D6C">
                  <w:pPr>
                    <w:pStyle w:val="154"/>
                    <w:rPr>
                      <w:sz w:val="21"/>
                      <w:szCs w:val="21"/>
                    </w:rPr>
                  </w:pPr>
                </w:p>
              </w:tc>
              <w:tc>
                <w:tcPr>
                  <w:tcW w:w="1985" w:type="dxa"/>
                  <w:vMerge w:val="continue"/>
                  <w:vAlign w:val="center"/>
                </w:tcPr>
                <w:p w14:paraId="3718BAC8">
                  <w:pPr>
                    <w:pStyle w:val="154"/>
                    <w:rPr>
                      <w:sz w:val="21"/>
                      <w:szCs w:val="21"/>
                    </w:rPr>
                  </w:pPr>
                </w:p>
              </w:tc>
              <w:tc>
                <w:tcPr>
                  <w:tcW w:w="2598" w:type="dxa"/>
                  <w:vMerge w:val="continue"/>
                  <w:vAlign w:val="center"/>
                </w:tcPr>
                <w:p w14:paraId="5FF84C2A">
                  <w:pPr>
                    <w:pStyle w:val="154"/>
                    <w:rPr>
                      <w:sz w:val="21"/>
                      <w:szCs w:val="21"/>
                    </w:rPr>
                  </w:pPr>
                </w:p>
              </w:tc>
              <w:tc>
                <w:tcPr>
                  <w:tcW w:w="1553" w:type="dxa"/>
                  <w:vMerge w:val="continue"/>
                  <w:vAlign w:val="center"/>
                </w:tcPr>
                <w:p w14:paraId="1526742F">
                  <w:pPr>
                    <w:pStyle w:val="154"/>
                    <w:rPr>
                      <w:sz w:val="21"/>
                      <w:szCs w:val="21"/>
                    </w:rPr>
                  </w:pPr>
                </w:p>
              </w:tc>
            </w:tr>
            <w:tr w14:paraId="3364F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1769" w:type="dxa"/>
                  <w:vAlign w:val="center"/>
                </w:tcPr>
                <w:p w14:paraId="432B0F6A">
                  <w:pPr>
                    <w:pStyle w:val="154"/>
                    <w:rPr>
                      <w:sz w:val="21"/>
                      <w:szCs w:val="21"/>
                    </w:rPr>
                  </w:pPr>
                  <w:r>
                    <w:rPr>
                      <w:sz w:val="21"/>
                      <w:szCs w:val="21"/>
                    </w:rPr>
                    <w:t>东侧</w:t>
                  </w:r>
                </w:p>
              </w:tc>
              <w:tc>
                <w:tcPr>
                  <w:tcW w:w="1389" w:type="dxa"/>
                  <w:vAlign w:val="center"/>
                </w:tcPr>
                <w:p w14:paraId="0A6DD761">
                  <w:pPr>
                    <w:pStyle w:val="154"/>
                    <w:rPr>
                      <w:sz w:val="21"/>
                      <w:szCs w:val="21"/>
                    </w:rPr>
                  </w:pPr>
                  <w:r>
                    <w:rPr>
                      <w:rFonts w:hint="eastAsia"/>
                      <w:sz w:val="21"/>
                      <w:szCs w:val="21"/>
                    </w:rPr>
                    <w:t>36</w:t>
                  </w:r>
                </w:p>
              </w:tc>
              <w:tc>
                <w:tcPr>
                  <w:tcW w:w="1391" w:type="dxa"/>
                  <w:vAlign w:val="center"/>
                </w:tcPr>
                <w:p w14:paraId="2046870D">
                  <w:pPr>
                    <w:pStyle w:val="154"/>
                    <w:rPr>
                      <w:sz w:val="21"/>
                      <w:szCs w:val="21"/>
                    </w:rPr>
                  </w:pPr>
                  <w:r>
                    <w:rPr>
                      <w:rFonts w:hint="eastAsia"/>
                      <w:sz w:val="21"/>
                      <w:szCs w:val="21"/>
                    </w:rPr>
                    <w:t>15</w:t>
                  </w:r>
                </w:p>
              </w:tc>
              <w:tc>
                <w:tcPr>
                  <w:tcW w:w="1391" w:type="dxa"/>
                  <w:vAlign w:val="center"/>
                </w:tcPr>
                <w:p w14:paraId="6660031D">
                  <w:pPr>
                    <w:pStyle w:val="154"/>
                    <w:rPr>
                      <w:sz w:val="21"/>
                      <w:szCs w:val="21"/>
                    </w:rPr>
                  </w:pPr>
                  <w:r>
                    <w:rPr>
                      <w:sz w:val="21"/>
                      <w:szCs w:val="21"/>
                    </w:rPr>
                    <w:t>1</w:t>
                  </w:r>
                </w:p>
              </w:tc>
              <w:tc>
                <w:tcPr>
                  <w:tcW w:w="1558" w:type="dxa"/>
                  <w:vAlign w:val="center"/>
                </w:tcPr>
                <w:p w14:paraId="2FE92F23">
                  <w:pPr>
                    <w:pStyle w:val="154"/>
                    <w:rPr>
                      <w:sz w:val="21"/>
                      <w:szCs w:val="21"/>
                    </w:rPr>
                  </w:pPr>
                  <w:r>
                    <w:rPr>
                      <w:sz w:val="21"/>
                      <w:szCs w:val="21"/>
                    </w:rPr>
                    <w:t>昼间</w:t>
                  </w:r>
                </w:p>
              </w:tc>
              <w:tc>
                <w:tcPr>
                  <w:tcW w:w="1985" w:type="dxa"/>
                  <w:vAlign w:val="center"/>
                </w:tcPr>
                <w:p w14:paraId="29DE6F9B">
                  <w:pPr>
                    <w:jc w:val="center"/>
                    <w:rPr>
                      <w:rFonts w:ascii="Times New Roman" w:hAnsi="Times New Roman" w:cs="Times New Roman"/>
                      <w:color w:val="000000"/>
                      <w:sz w:val="21"/>
                      <w:szCs w:val="21"/>
                    </w:rPr>
                  </w:pPr>
                  <w:r>
                    <w:rPr>
                      <w:rFonts w:ascii="Times New Roman" w:hAnsi="Times New Roman" w:cs="Times New Roman"/>
                      <w:color w:val="000000"/>
                      <w:sz w:val="21"/>
                      <w:szCs w:val="21"/>
                    </w:rPr>
                    <w:t>57.33</w:t>
                  </w:r>
                </w:p>
              </w:tc>
              <w:tc>
                <w:tcPr>
                  <w:tcW w:w="2598" w:type="dxa"/>
                  <w:vAlign w:val="center"/>
                </w:tcPr>
                <w:p w14:paraId="7F2CB112">
                  <w:pPr>
                    <w:pStyle w:val="154"/>
                    <w:rPr>
                      <w:sz w:val="21"/>
                      <w:szCs w:val="21"/>
                    </w:rPr>
                  </w:pPr>
                  <w:r>
                    <w:rPr>
                      <w:sz w:val="21"/>
                      <w:szCs w:val="21"/>
                    </w:rPr>
                    <w:t>65</w:t>
                  </w:r>
                </w:p>
              </w:tc>
              <w:tc>
                <w:tcPr>
                  <w:tcW w:w="1553" w:type="dxa"/>
                  <w:vAlign w:val="center"/>
                </w:tcPr>
                <w:p w14:paraId="6C9492C7">
                  <w:pPr>
                    <w:pStyle w:val="154"/>
                    <w:rPr>
                      <w:sz w:val="21"/>
                      <w:szCs w:val="21"/>
                    </w:rPr>
                  </w:pPr>
                  <w:r>
                    <w:rPr>
                      <w:sz w:val="21"/>
                      <w:szCs w:val="21"/>
                    </w:rPr>
                    <w:t>达标</w:t>
                  </w:r>
                </w:p>
              </w:tc>
            </w:tr>
            <w:tr w14:paraId="220D9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1769" w:type="dxa"/>
                  <w:vAlign w:val="center"/>
                </w:tcPr>
                <w:p w14:paraId="6089385E">
                  <w:pPr>
                    <w:pStyle w:val="154"/>
                    <w:rPr>
                      <w:sz w:val="21"/>
                      <w:szCs w:val="21"/>
                    </w:rPr>
                  </w:pPr>
                  <w:r>
                    <w:rPr>
                      <w:rFonts w:hint="eastAsia"/>
                      <w:sz w:val="21"/>
                      <w:szCs w:val="21"/>
                    </w:rPr>
                    <w:t>西</w:t>
                  </w:r>
                  <w:r>
                    <w:rPr>
                      <w:sz w:val="21"/>
                      <w:szCs w:val="21"/>
                    </w:rPr>
                    <w:t>侧</w:t>
                  </w:r>
                </w:p>
              </w:tc>
              <w:tc>
                <w:tcPr>
                  <w:tcW w:w="1389" w:type="dxa"/>
                  <w:vAlign w:val="center"/>
                </w:tcPr>
                <w:p w14:paraId="5FCEBBBC">
                  <w:pPr>
                    <w:pStyle w:val="154"/>
                    <w:rPr>
                      <w:sz w:val="21"/>
                      <w:szCs w:val="21"/>
                    </w:rPr>
                  </w:pPr>
                  <w:r>
                    <w:rPr>
                      <w:rFonts w:hint="eastAsia"/>
                      <w:sz w:val="21"/>
                      <w:szCs w:val="21"/>
                    </w:rPr>
                    <w:t>1</w:t>
                  </w:r>
                </w:p>
              </w:tc>
              <w:tc>
                <w:tcPr>
                  <w:tcW w:w="1391" w:type="dxa"/>
                  <w:vAlign w:val="center"/>
                </w:tcPr>
                <w:p w14:paraId="1BC61374">
                  <w:pPr>
                    <w:pStyle w:val="154"/>
                    <w:rPr>
                      <w:sz w:val="21"/>
                      <w:szCs w:val="21"/>
                    </w:rPr>
                  </w:pPr>
                  <w:r>
                    <w:rPr>
                      <w:rFonts w:hint="eastAsia"/>
                      <w:sz w:val="21"/>
                      <w:szCs w:val="21"/>
                    </w:rPr>
                    <w:t>15</w:t>
                  </w:r>
                </w:p>
              </w:tc>
              <w:tc>
                <w:tcPr>
                  <w:tcW w:w="1391" w:type="dxa"/>
                  <w:vAlign w:val="center"/>
                </w:tcPr>
                <w:p w14:paraId="6A6971AC">
                  <w:pPr>
                    <w:pStyle w:val="154"/>
                    <w:rPr>
                      <w:sz w:val="21"/>
                      <w:szCs w:val="21"/>
                    </w:rPr>
                  </w:pPr>
                  <w:r>
                    <w:rPr>
                      <w:sz w:val="21"/>
                      <w:szCs w:val="21"/>
                    </w:rPr>
                    <w:t>1</w:t>
                  </w:r>
                </w:p>
              </w:tc>
              <w:tc>
                <w:tcPr>
                  <w:tcW w:w="1558" w:type="dxa"/>
                  <w:vAlign w:val="center"/>
                </w:tcPr>
                <w:p w14:paraId="12152F06">
                  <w:pPr>
                    <w:pStyle w:val="154"/>
                    <w:rPr>
                      <w:sz w:val="21"/>
                      <w:szCs w:val="21"/>
                    </w:rPr>
                  </w:pPr>
                  <w:r>
                    <w:rPr>
                      <w:sz w:val="21"/>
                      <w:szCs w:val="21"/>
                    </w:rPr>
                    <w:t>昼间</w:t>
                  </w:r>
                </w:p>
              </w:tc>
              <w:tc>
                <w:tcPr>
                  <w:tcW w:w="1985" w:type="dxa"/>
                  <w:vAlign w:val="center"/>
                </w:tcPr>
                <w:p w14:paraId="1FBE6349">
                  <w:pPr>
                    <w:jc w:val="center"/>
                    <w:rPr>
                      <w:rFonts w:ascii="Times New Roman" w:hAnsi="Times New Roman" w:cs="Times New Roman"/>
                      <w:color w:val="000000"/>
                      <w:sz w:val="21"/>
                      <w:szCs w:val="21"/>
                    </w:rPr>
                  </w:pPr>
                  <w:r>
                    <w:rPr>
                      <w:rFonts w:ascii="Times New Roman" w:hAnsi="Times New Roman" w:cs="Times New Roman"/>
                      <w:color w:val="000000"/>
                      <w:sz w:val="21"/>
                      <w:szCs w:val="21"/>
                    </w:rPr>
                    <w:t>52.98</w:t>
                  </w:r>
                </w:p>
              </w:tc>
              <w:tc>
                <w:tcPr>
                  <w:tcW w:w="2598" w:type="dxa"/>
                  <w:vAlign w:val="center"/>
                </w:tcPr>
                <w:p w14:paraId="797358C7">
                  <w:pPr>
                    <w:pStyle w:val="154"/>
                    <w:rPr>
                      <w:sz w:val="21"/>
                      <w:szCs w:val="21"/>
                    </w:rPr>
                  </w:pPr>
                  <w:r>
                    <w:rPr>
                      <w:sz w:val="21"/>
                      <w:szCs w:val="21"/>
                    </w:rPr>
                    <w:t>65</w:t>
                  </w:r>
                </w:p>
              </w:tc>
              <w:tc>
                <w:tcPr>
                  <w:tcW w:w="1553" w:type="dxa"/>
                  <w:vAlign w:val="center"/>
                </w:tcPr>
                <w:p w14:paraId="0A823E62">
                  <w:pPr>
                    <w:pStyle w:val="154"/>
                    <w:rPr>
                      <w:sz w:val="21"/>
                      <w:szCs w:val="21"/>
                    </w:rPr>
                  </w:pPr>
                  <w:r>
                    <w:rPr>
                      <w:sz w:val="21"/>
                      <w:szCs w:val="21"/>
                    </w:rPr>
                    <w:t>达标</w:t>
                  </w:r>
                </w:p>
              </w:tc>
            </w:tr>
            <w:tr w14:paraId="54E2F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1769" w:type="dxa"/>
                  <w:vAlign w:val="center"/>
                </w:tcPr>
                <w:p w14:paraId="259B0271">
                  <w:pPr>
                    <w:pStyle w:val="154"/>
                    <w:rPr>
                      <w:sz w:val="21"/>
                      <w:szCs w:val="21"/>
                    </w:rPr>
                  </w:pPr>
                  <w:r>
                    <w:rPr>
                      <w:rFonts w:hint="eastAsia"/>
                      <w:sz w:val="21"/>
                      <w:szCs w:val="21"/>
                    </w:rPr>
                    <w:t>南</w:t>
                  </w:r>
                  <w:r>
                    <w:rPr>
                      <w:sz w:val="21"/>
                      <w:szCs w:val="21"/>
                    </w:rPr>
                    <w:t>侧</w:t>
                  </w:r>
                </w:p>
              </w:tc>
              <w:tc>
                <w:tcPr>
                  <w:tcW w:w="1389" w:type="dxa"/>
                  <w:vAlign w:val="center"/>
                </w:tcPr>
                <w:p w14:paraId="5F947A5B">
                  <w:pPr>
                    <w:pStyle w:val="154"/>
                    <w:rPr>
                      <w:sz w:val="21"/>
                      <w:szCs w:val="21"/>
                    </w:rPr>
                  </w:pPr>
                  <w:r>
                    <w:rPr>
                      <w:rFonts w:hint="eastAsia"/>
                      <w:sz w:val="21"/>
                      <w:szCs w:val="21"/>
                    </w:rPr>
                    <w:t>18</w:t>
                  </w:r>
                </w:p>
              </w:tc>
              <w:tc>
                <w:tcPr>
                  <w:tcW w:w="1391" w:type="dxa"/>
                  <w:vAlign w:val="center"/>
                </w:tcPr>
                <w:p w14:paraId="6F908A4A">
                  <w:pPr>
                    <w:pStyle w:val="154"/>
                    <w:rPr>
                      <w:sz w:val="21"/>
                      <w:szCs w:val="21"/>
                    </w:rPr>
                  </w:pPr>
                  <w:r>
                    <w:rPr>
                      <w:rFonts w:hint="eastAsia"/>
                      <w:sz w:val="21"/>
                      <w:szCs w:val="21"/>
                    </w:rPr>
                    <w:t>1</w:t>
                  </w:r>
                </w:p>
              </w:tc>
              <w:tc>
                <w:tcPr>
                  <w:tcW w:w="1391" w:type="dxa"/>
                  <w:vAlign w:val="center"/>
                </w:tcPr>
                <w:p w14:paraId="596D6ACB">
                  <w:pPr>
                    <w:pStyle w:val="154"/>
                    <w:rPr>
                      <w:sz w:val="21"/>
                      <w:szCs w:val="21"/>
                    </w:rPr>
                  </w:pPr>
                  <w:r>
                    <w:rPr>
                      <w:sz w:val="21"/>
                      <w:szCs w:val="21"/>
                    </w:rPr>
                    <w:t>1</w:t>
                  </w:r>
                </w:p>
              </w:tc>
              <w:tc>
                <w:tcPr>
                  <w:tcW w:w="1558" w:type="dxa"/>
                  <w:vAlign w:val="center"/>
                </w:tcPr>
                <w:p w14:paraId="64623E0C">
                  <w:pPr>
                    <w:pStyle w:val="154"/>
                    <w:rPr>
                      <w:sz w:val="21"/>
                      <w:szCs w:val="21"/>
                    </w:rPr>
                  </w:pPr>
                  <w:r>
                    <w:rPr>
                      <w:sz w:val="21"/>
                      <w:szCs w:val="21"/>
                    </w:rPr>
                    <w:t>昼间</w:t>
                  </w:r>
                </w:p>
              </w:tc>
              <w:tc>
                <w:tcPr>
                  <w:tcW w:w="1985" w:type="dxa"/>
                  <w:vAlign w:val="center"/>
                </w:tcPr>
                <w:p w14:paraId="1068E8B6">
                  <w:pPr>
                    <w:jc w:val="center"/>
                    <w:rPr>
                      <w:rFonts w:ascii="Times New Roman" w:hAnsi="Times New Roman" w:cs="Times New Roman"/>
                      <w:color w:val="000000"/>
                      <w:sz w:val="21"/>
                      <w:szCs w:val="21"/>
                    </w:rPr>
                  </w:pPr>
                  <w:r>
                    <w:rPr>
                      <w:rFonts w:ascii="Times New Roman" w:hAnsi="Times New Roman" w:cs="Times New Roman"/>
                      <w:color w:val="000000"/>
                      <w:sz w:val="21"/>
                      <w:szCs w:val="21"/>
                    </w:rPr>
                    <w:t>58.43</w:t>
                  </w:r>
                </w:p>
              </w:tc>
              <w:tc>
                <w:tcPr>
                  <w:tcW w:w="2598" w:type="dxa"/>
                  <w:vAlign w:val="center"/>
                </w:tcPr>
                <w:p w14:paraId="018F962A">
                  <w:pPr>
                    <w:pStyle w:val="154"/>
                    <w:rPr>
                      <w:sz w:val="21"/>
                      <w:szCs w:val="21"/>
                    </w:rPr>
                  </w:pPr>
                  <w:r>
                    <w:rPr>
                      <w:sz w:val="21"/>
                      <w:szCs w:val="21"/>
                    </w:rPr>
                    <w:t>65</w:t>
                  </w:r>
                </w:p>
              </w:tc>
              <w:tc>
                <w:tcPr>
                  <w:tcW w:w="1553" w:type="dxa"/>
                  <w:vAlign w:val="center"/>
                </w:tcPr>
                <w:p w14:paraId="7EBACE4F">
                  <w:pPr>
                    <w:pStyle w:val="154"/>
                    <w:rPr>
                      <w:sz w:val="21"/>
                      <w:szCs w:val="21"/>
                    </w:rPr>
                  </w:pPr>
                  <w:r>
                    <w:rPr>
                      <w:sz w:val="21"/>
                      <w:szCs w:val="21"/>
                    </w:rPr>
                    <w:t>达标</w:t>
                  </w:r>
                </w:p>
              </w:tc>
            </w:tr>
            <w:tr w14:paraId="580FE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6" w:hRule="atLeast"/>
                <w:jc w:val="center"/>
              </w:trPr>
              <w:tc>
                <w:tcPr>
                  <w:tcW w:w="1769" w:type="dxa"/>
                  <w:vAlign w:val="center"/>
                </w:tcPr>
                <w:p w14:paraId="6C5D293D">
                  <w:pPr>
                    <w:pStyle w:val="154"/>
                    <w:rPr>
                      <w:sz w:val="21"/>
                      <w:szCs w:val="21"/>
                    </w:rPr>
                  </w:pPr>
                  <w:r>
                    <w:rPr>
                      <w:sz w:val="21"/>
                      <w:szCs w:val="21"/>
                    </w:rPr>
                    <w:t>北侧</w:t>
                  </w:r>
                </w:p>
              </w:tc>
              <w:tc>
                <w:tcPr>
                  <w:tcW w:w="1389" w:type="dxa"/>
                  <w:vAlign w:val="center"/>
                </w:tcPr>
                <w:p w14:paraId="1CB79C0D">
                  <w:pPr>
                    <w:pStyle w:val="154"/>
                    <w:rPr>
                      <w:sz w:val="21"/>
                      <w:szCs w:val="21"/>
                    </w:rPr>
                  </w:pPr>
                  <w:r>
                    <w:rPr>
                      <w:rFonts w:hint="eastAsia"/>
                      <w:sz w:val="21"/>
                      <w:szCs w:val="21"/>
                    </w:rPr>
                    <w:t>18</w:t>
                  </w:r>
                </w:p>
              </w:tc>
              <w:tc>
                <w:tcPr>
                  <w:tcW w:w="1391" w:type="dxa"/>
                  <w:vAlign w:val="center"/>
                </w:tcPr>
                <w:p w14:paraId="45116558">
                  <w:pPr>
                    <w:pStyle w:val="154"/>
                    <w:rPr>
                      <w:sz w:val="21"/>
                      <w:szCs w:val="21"/>
                    </w:rPr>
                  </w:pPr>
                  <w:r>
                    <w:rPr>
                      <w:rFonts w:hint="eastAsia"/>
                      <w:sz w:val="21"/>
                      <w:szCs w:val="21"/>
                    </w:rPr>
                    <w:t>31</w:t>
                  </w:r>
                </w:p>
              </w:tc>
              <w:tc>
                <w:tcPr>
                  <w:tcW w:w="1391" w:type="dxa"/>
                  <w:vAlign w:val="center"/>
                </w:tcPr>
                <w:p w14:paraId="2B264D54">
                  <w:pPr>
                    <w:pStyle w:val="154"/>
                    <w:rPr>
                      <w:sz w:val="21"/>
                      <w:szCs w:val="21"/>
                    </w:rPr>
                  </w:pPr>
                  <w:r>
                    <w:rPr>
                      <w:sz w:val="21"/>
                      <w:szCs w:val="21"/>
                    </w:rPr>
                    <w:t>1</w:t>
                  </w:r>
                </w:p>
              </w:tc>
              <w:tc>
                <w:tcPr>
                  <w:tcW w:w="1558" w:type="dxa"/>
                  <w:vAlign w:val="center"/>
                </w:tcPr>
                <w:p w14:paraId="21044557">
                  <w:pPr>
                    <w:pStyle w:val="154"/>
                    <w:rPr>
                      <w:sz w:val="21"/>
                      <w:szCs w:val="21"/>
                    </w:rPr>
                  </w:pPr>
                  <w:r>
                    <w:rPr>
                      <w:sz w:val="21"/>
                      <w:szCs w:val="21"/>
                    </w:rPr>
                    <w:t>昼间</w:t>
                  </w:r>
                </w:p>
              </w:tc>
              <w:tc>
                <w:tcPr>
                  <w:tcW w:w="1985" w:type="dxa"/>
                  <w:vAlign w:val="center"/>
                </w:tcPr>
                <w:p w14:paraId="0D3634D6">
                  <w:pPr>
                    <w:jc w:val="center"/>
                    <w:rPr>
                      <w:rFonts w:ascii="Times New Roman" w:hAnsi="Times New Roman" w:cs="Times New Roman"/>
                      <w:color w:val="000000"/>
                      <w:sz w:val="21"/>
                      <w:szCs w:val="21"/>
                    </w:rPr>
                  </w:pPr>
                  <w:r>
                    <w:rPr>
                      <w:rFonts w:ascii="Times New Roman" w:hAnsi="Times New Roman" w:cs="Times New Roman"/>
                      <w:color w:val="000000"/>
                      <w:sz w:val="21"/>
                      <w:szCs w:val="21"/>
                    </w:rPr>
                    <w:t>54.97</w:t>
                  </w:r>
                </w:p>
              </w:tc>
              <w:tc>
                <w:tcPr>
                  <w:tcW w:w="2598" w:type="dxa"/>
                  <w:vAlign w:val="center"/>
                </w:tcPr>
                <w:p w14:paraId="1988E7F6">
                  <w:pPr>
                    <w:pStyle w:val="154"/>
                    <w:rPr>
                      <w:sz w:val="21"/>
                      <w:szCs w:val="21"/>
                    </w:rPr>
                  </w:pPr>
                  <w:r>
                    <w:rPr>
                      <w:sz w:val="21"/>
                      <w:szCs w:val="21"/>
                    </w:rPr>
                    <w:t>65</w:t>
                  </w:r>
                </w:p>
              </w:tc>
              <w:tc>
                <w:tcPr>
                  <w:tcW w:w="1553" w:type="dxa"/>
                  <w:vAlign w:val="center"/>
                </w:tcPr>
                <w:p w14:paraId="2BBA382B">
                  <w:pPr>
                    <w:pStyle w:val="154"/>
                    <w:rPr>
                      <w:sz w:val="21"/>
                      <w:szCs w:val="21"/>
                    </w:rPr>
                  </w:pPr>
                  <w:r>
                    <w:rPr>
                      <w:sz w:val="21"/>
                      <w:szCs w:val="21"/>
                    </w:rPr>
                    <w:t>达标</w:t>
                  </w:r>
                </w:p>
              </w:tc>
            </w:tr>
            <w:tr w14:paraId="257C2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13634" w:type="dxa"/>
                  <w:gridSpan w:val="8"/>
                  <w:vAlign w:val="center"/>
                </w:tcPr>
                <w:p w14:paraId="1420C841">
                  <w:pPr>
                    <w:pStyle w:val="154"/>
                    <w:jc w:val="both"/>
                    <w:rPr>
                      <w:sz w:val="21"/>
                      <w:szCs w:val="21"/>
                    </w:rPr>
                  </w:pPr>
                  <w:r>
                    <w:rPr>
                      <w:sz w:val="21"/>
                      <w:szCs w:val="21"/>
                    </w:rPr>
                    <w:t>注：以厂区西南角顶点（E 112.83</w:t>
                  </w:r>
                  <w:r>
                    <w:rPr>
                      <w:rFonts w:hint="eastAsia"/>
                      <w:sz w:val="21"/>
                      <w:szCs w:val="21"/>
                    </w:rPr>
                    <w:t>2734</w:t>
                  </w:r>
                  <w:r>
                    <w:rPr>
                      <w:sz w:val="21"/>
                      <w:szCs w:val="21"/>
                    </w:rPr>
                    <w:t>°，N 34.71</w:t>
                  </w:r>
                  <w:r>
                    <w:rPr>
                      <w:rFonts w:hint="eastAsia"/>
                      <w:sz w:val="21"/>
                      <w:szCs w:val="21"/>
                    </w:rPr>
                    <w:t>6551</w:t>
                  </w:r>
                  <w:r>
                    <w:rPr>
                      <w:sz w:val="21"/>
                      <w:szCs w:val="21"/>
                    </w:rPr>
                    <w:t>°）为坐标原点。</w:t>
                  </w:r>
                </w:p>
              </w:tc>
            </w:tr>
          </w:tbl>
          <w:p w14:paraId="0BCAA01C">
            <w:pPr>
              <w:pStyle w:val="179"/>
            </w:pPr>
            <w:r>
              <w:t>3.</w:t>
            </w:r>
            <w:r>
              <w:rPr>
                <w:rFonts w:hint="eastAsia"/>
              </w:rPr>
              <w:t>3</w:t>
            </w:r>
            <w:r>
              <w:t>达标情况</w:t>
            </w:r>
          </w:p>
          <w:p w14:paraId="6D30CB6F">
            <w:pPr>
              <w:pStyle w:val="156"/>
              <w:spacing w:line="480" w:lineRule="exact"/>
              <w:ind w:firstLine="480"/>
              <w:rPr>
                <w:rFonts w:eastAsia="宋体" w:cs="Times New Roman"/>
              </w:rPr>
            </w:pPr>
            <w:r>
              <w:rPr>
                <w:rFonts w:eastAsia="宋体" w:cs="Times New Roman"/>
              </w:rPr>
              <w:t>由上表可知，本项目运营期，各厂界昼间噪声贡献值均能满足《工业企业厂界环境噪声排放标准》(GB12348-2008)中3类标准要求。</w:t>
            </w:r>
          </w:p>
        </w:tc>
      </w:tr>
    </w:tbl>
    <w:p w14:paraId="5BDFBC0C">
      <w:pPr>
        <w:spacing w:line="20" w:lineRule="exact"/>
        <w:rPr>
          <w:rFonts w:ascii="Times New Roman" w:hAnsi="Times New Roman"/>
        </w:rPr>
      </w:pPr>
    </w:p>
    <w:p w14:paraId="40F32478">
      <w:pPr>
        <w:spacing w:line="20" w:lineRule="exact"/>
        <w:rPr>
          <w:rFonts w:ascii="Times New Roman" w:hAnsi="Times New Roman"/>
        </w:rPr>
        <w:sectPr>
          <w:pgSz w:w="16840" w:h="11907"/>
          <w:pgMar w:top="1418" w:right="1588" w:bottom="1418" w:left="1588" w:header="851" w:footer="992" w:gutter="0"/>
          <w:cols w:space="425" w:num="1"/>
          <w:docGrid w:type="lines" w:linePitch="312" w:charSpace="0"/>
        </w:sectPr>
      </w:pPr>
    </w:p>
    <w:tbl>
      <w:tblPr>
        <w:tblStyle w:val="88"/>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079"/>
      </w:tblGrid>
      <w:tr w14:paraId="26ED9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423" w:hRule="atLeast"/>
          <w:jc w:val="center"/>
        </w:trPr>
        <w:tc>
          <w:tcPr>
            <w:tcW w:w="9079" w:type="dxa"/>
            <w:tcMar>
              <w:top w:w="0" w:type="dxa"/>
              <w:left w:w="108" w:type="dxa"/>
              <w:bottom w:w="0" w:type="dxa"/>
              <w:right w:w="108" w:type="dxa"/>
            </w:tcMar>
          </w:tcPr>
          <w:p w14:paraId="34EAD268">
            <w:pPr>
              <w:pStyle w:val="179"/>
            </w:pPr>
            <w:r>
              <w:t>3.</w:t>
            </w:r>
            <w:r>
              <w:rPr>
                <w:rFonts w:hint="eastAsia"/>
              </w:rPr>
              <w:t>4</w:t>
            </w:r>
            <w:r>
              <w:t xml:space="preserve"> 监测计划</w:t>
            </w:r>
          </w:p>
          <w:p w14:paraId="317C6C11">
            <w:pPr>
              <w:pStyle w:val="156"/>
              <w:ind w:firstLine="480"/>
            </w:pPr>
            <w:r>
              <w:t>噪声监测计划根据《排污单位自行监测技术指南 总则》(HJ819-2017）的要求确定，具体见下表。</w:t>
            </w:r>
          </w:p>
          <w:p w14:paraId="2907B3C0">
            <w:pPr>
              <w:pStyle w:val="182"/>
              <w:ind w:firstLine="480"/>
            </w:pPr>
            <w:r>
              <w:t>表4-1</w:t>
            </w:r>
            <w:r>
              <w:rPr>
                <w:rFonts w:hint="eastAsia"/>
              </w:rPr>
              <w:t>7</w:t>
            </w:r>
            <w:r>
              <w:t xml:space="preserve">               噪声监测计划表</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2"/>
              <w:gridCol w:w="1567"/>
              <w:gridCol w:w="1733"/>
              <w:gridCol w:w="1205"/>
              <w:gridCol w:w="3826"/>
            </w:tblGrid>
            <w:tr w14:paraId="60B441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84" w:type="pct"/>
                  <w:vAlign w:val="center"/>
                </w:tcPr>
                <w:p w14:paraId="11541D2A">
                  <w:pPr>
                    <w:pStyle w:val="154"/>
                    <w:rPr>
                      <w:sz w:val="21"/>
                      <w:szCs w:val="21"/>
                    </w:rPr>
                  </w:pPr>
                  <w:r>
                    <w:rPr>
                      <w:sz w:val="21"/>
                      <w:szCs w:val="21"/>
                    </w:rPr>
                    <w:t>序号</w:t>
                  </w:r>
                </w:p>
              </w:tc>
              <w:tc>
                <w:tcPr>
                  <w:tcW w:w="887" w:type="pct"/>
                  <w:vAlign w:val="center"/>
                </w:tcPr>
                <w:p w14:paraId="7A2461E0">
                  <w:pPr>
                    <w:pStyle w:val="154"/>
                    <w:rPr>
                      <w:sz w:val="21"/>
                      <w:szCs w:val="21"/>
                    </w:rPr>
                  </w:pPr>
                  <w:r>
                    <w:rPr>
                      <w:sz w:val="21"/>
                      <w:szCs w:val="21"/>
                    </w:rPr>
                    <w:t>监测点</w:t>
                  </w:r>
                </w:p>
              </w:tc>
              <w:tc>
                <w:tcPr>
                  <w:tcW w:w="981" w:type="pct"/>
                  <w:vAlign w:val="center"/>
                </w:tcPr>
                <w:p w14:paraId="50EAABE4">
                  <w:pPr>
                    <w:pStyle w:val="154"/>
                    <w:rPr>
                      <w:sz w:val="21"/>
                      <w:szCs w:val="21"/>
                    </w:rPr>
                  </w:pPr>
                  <w:r>
                    <w:rPr>
                      <w:sz w:val="21"/>
                      <w:szCs w:val="21"/>
                    </w:rPr>
                    <w:t>监测项目</w:t>
                  </w:r>
                </w:p>
              </w:tc>
              <w:tc>
                <w:tcPr>
                  <w:tcW w:w="682" w:type="pct"/>
                  <w:vAlign w:val="center"/>
                </w:tcPr>
                <w:p w14:paraId="32D61EF5">
                  <w:pPr>
                    <w:pStyle w:val="154"/>
                    <w:rPr>
                      <w:sz w:val="21"/>
                      <w:szCs w:val="21"/>
                    </w:rPr>
                  </w:pPr>
                  <w:r>
                    <w:rPr>
                      <w:sz w:val="21"/>
                      <w:szCs w:val="21"/>
                    </w:rPr>
                    <w:t>监测频率</w:t>
                  </w:r>
                </w:p>
              </w:tc>
              <w:tc>
                <w:tcPr>
                  <w:tcW w:w="2166" w:type="pct"/>
                </w:tcPr>
                <w:p w14:paraId="64FDF6C0">
                  <w:pPr>
                    <w:pStyle w:val="154"/>
                    <w:rPr>
                      <w:sz w:val="21"/>
                      <w:szCs w:val="21"/>
                    </w:rPr>
                  </w:pPr>
                  <w:r>
                    <w:rPr>
                      <w:sz w:val="21"/>
                      <w:szCs w:val="21"/>
                    </w:rPr>
                    <w:t>执行标准</w:t>
                  </w:r>
                </w:p>
              </w:tc>
            </w:tr>
            <w:tr w14:paraId="222229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284" w:type="pct"/>
                  <w:vAlign w:val="center"/>
                </w:tcPr>
                <w:p w14:paraId="501C469B">
                  <w:pPr>
                    <w:pStyle w:val="154"/>
                    <w:rPr>
                      <w:sz w:val="21"/>
                      <w:szCs w:val="21"/>
                    </w:rPr>
                  </w:pPr>
                  <w:r>
                    <w:rPr>
                      <w:sz w:val="21"/>
                      <w:szCs w:val="21"/>
                    </w:rPr>
                    <w:t>1</w:t>
                  </w:r>
                </w:p>
              </w:tc>
              <w:tc>
                <w:tcPr>
                  <w:tcW w:w="887" w:type="pct"/>
                  <w:vAlign w:val="center"/>
                </w:tcPr>
                <w:p w14:paraId="0B9DA37A">
                  <w:pPr>
                    <w:pStyle w:val="154"/>
                    <w:rPr>
                      <w:sz w:val="21"/>
                      <w:szCs w:val="21"/>
                    </w:rPr>
                  </w:pPr>
                  <w:r>
                    <w:rPr>
                      <w:rFonts w:hint="eastAsia"/>
                      <w:sz w:val="21"/>
                      <w:szCs w:val="21"/>
                    </w:rPr>
                    <w:t>四周厂界外</w:t>
                  </w:r>
                  <w:r>
                    <w:rPr>
                      <w:sz w:val="21"/>
                      <w:szCs w:val="21"/>
                    </w:rPr>
                    <w:t>1m</w:t>
                  </w:r>
                </w:p>
              </w:tc>
              <w:tc>
                <w:tcPr>
                  <w:tcW w:w="981" w:type="pct"/>
                  <w:vAlign w:val="center"/>
                </w:tcPr>
                <w:p w14:paraId="0E8906EA">
                  <w:pPr>
                    <w:pStyle w:val="154"/>
                    <w:rPr>
                      <w:sz w:val="21"/>
                      <w:szCs w:val="21"/>
                    </w:rPr>
                  </w:pPr>
                  <w:r>
                    <w:rPr>
                      <w:sz w:val="21"/>
                      <w:szCs w:val="21"/>
                    </w:rPr>
                    <w:t>等效连续A声级</w:t>
                  </w:r>
                </w:p>
              </w:tc>
              <w:tc>
                <w:tcPr>
                  <w:tcW w:w="682" w:type="pct"/>
                  <w:vAlign w:val="center"/>
                </w:tcPr>
                <w:p w14:paraId="1915FC5A">
                  <w:pPr>
                    <w:pStyle w:val="154"/>
                    <w:rPr>
                      <w:sz w:val="21"/>
                      <w:szCs w:val="21"/>
                    </w:rPr>
                  </w:pPr>
                  <w:r>
                    <w:rPr>
                      <w:sz w:val="21"/>
                      <w:szCs w:val="21"/>
                    </w:rPr>
                    <w:t>每季度1次</w:t>
                  </w:r>
                </w:p>
              </w:tc>
              <w:tc>
                <w:tcPr>
                  <w:tcW w:w="2166" w:type="pct"/>
                </w:tcPr>
                <w:p w14:paraId="4CDC39F5">
                  <w:pPr>
                    <w:pStyle w:val="154"/>
                    <w:rPr>
                      <w:sz w:val="21"/>
                      <w:szCs w:val="21"/>
                    </w:rPr>
                  </w:pPr>
                  <w:r>
                    <w:rPr>
                      <w:sz w:val="21"/>
                      <w:szCs w:val="21"/>
                    </w:rPr>
                    <w:t>《工业企业厂界环境噪声排放标准》</w:t>
                  </w:r>
                </w:p>
                <w:p w14:paraId="077108F4">
                  <w:pPr>
                    <w:pStyle w:val="154"/>
                    <w:rPr>
                      <w:sz w:val="21"/>
                      <w:szCs w:val="21"/>
                    </w:rPr>
                  </w:pPr>
                  <w:r>
                    <w:rPr>
                      <w:sz w:val="21"/>
                      <w:szCs w:val="21"/>
                    </w:rPr>
                    <w:t>(GB12348-2008)中3类标准</w:t>
                  </w:r>
                </w:p>
              </w:tc>
            </w:tr>
          </w:tbl>
          <w:p w14:paraId="1E1F2DC6">
            <w:pPr>
              <w:pStyle w:val="157"/>
            </w:pPr>
            <w:r>
              <w:t>4、固废</w:t>
            </w:r>
          </w:p>
          <w:p w14:paraId="1B130CBD">
            <w:pPr>
              <w:pStyle w:val="179"/>
            </w:pPr>
            <w:r>
              <w:t>4.1 产生情况</w:t>
            </w:r>
          </w:p>
          <w:p w14:paraId="45524B0A">
            <w:pPr>
              <w:pStyle w:val="156"/>
              <w:ind w:firstLine="480"/>
              <w:rPr>
                <w:rFonts w:eastAsia="宋体" w:cs="Times New Roman"/>
              </w:rPr>
            </w:pPr>
            <w:r>
              <w:rPr>
                <w:rFonts w:eastAsia="宋体" w:cs="Times New Roman"/>
              </w:rPr>
              <w:t>项目原料混合工序、投料工序、破碎工序粉尘经袋式除尘器处理，回收粉尘直接回用于生产，不属于固废。</w:t>
            </w:r>
          </w:p>
          <w:p w14:paraId="1A7DAAB9">
            <w:pPr>
              <w:pStyle w:val="156"/>
              <w:ind w:firstLine="480"/>
              <w:rPr>
                <w:rFonts w:eastAsia="宋体" w:cs="Times New Roman"/>
              </w:rPr>
            </w:pPr>
            <w:r>
              <w:rPr>
                <w:rFonts w:eastAsia="宋体" w:cs="Times New Roman"/>
              </w:rPr>
              <w:t>（1）一般固废</w:t>
            </w:r>
          </w:p>
          <w:p w14:paraId="533939FB">
            <w:pPr>
              <w:pStyle w:val="156"/>
              <w:ind w:firstLine="480"/>
              <w:rPr>
                <w:rFonts w:eastAsia="宋体" w:cs="Times New Roman"/>
              </w:rPr>
            </w:pPr>
            <w:r>
              <w:rPr>
                <w:rFonts w:hint="eastAsia" w:eastAsia="宋体" w:cs="宋体"/>
              </w:rPr>
              <w:t>①</w:t>
            </w:r>
            <w:r>
              <w:rPr>
                <w:rFonts w:eastAsia="宋体" w:cs="Times New Roman"/>
              </w:rPr>
              <w:t>废包装材料</w:t>
            </w:r>
          </w:p>
          <w:p w14:paraId="2BD9AFC6">
            <w:pPr>
              <w:pStyle w:val="156"/>
              <w:ind w:firstLine="480"/>
              <w:rPr>
                <w:rFonts w:eastAsia="宋体" w:cs="Times New Roman"/>
              </w:rPr>
            </w:pPr>
            <w:r>
              <w:rPr>
                <w:rFonts w:hint="eastAsia" w:eastAsia="宋体" w:cs="Times New Roman"/>
              </w:rPr>
              <w:t>本项目有废PVC树脂包装袋产生量为2080个/a，废钙粉包装袋产生量为1120个/a，废硬脂酸包装袋产生量为188个/a，废钛白粉包装袋产生量为52个/a，共计3440个废包装袋，包装袋平均按0.2kg/个，则废包装材料产生量约为0.688t/a，</w:t>
            </w:r>
            <w:r>
              <w:rPr>
                <w:rFonts w:eastAsia="宋体" w:cs="Times New Roman"/>
              </w:rPr>
              <w:t>属于一般固废。</w:t>
            </w:r>
          </w:p>
          <w:p w14:paraId="1860B86D">
            <w:pPr>
              <w:pStyle w:val="156"/>
              <w:ind w:firstLine="480"/>
              <w:rPr>
                <w:rFonts w:eastAsia="宋体" w:cs="Times New Roman"/>
              </w:rPr>
            </w:pPr>
            <w:r>
              <w:rPr>
                <w:rFonts w:eastAsia="宋体" w:cs="Times New Roman"/>
              </w:rPr>
              <w:t>根据《固体废物分类与代码目录》（生态环境部公告2024年第4号），废包装材料代码为</w:t>
            </w:r>
            <w:r>
              <w:rPr>
                <w:rFonts w:eastAsia="宋体" w:cs="Times New Roman"/>
                <w:bCs/>
              </w:rPr>
              <w:t>900-003-S17</w:t>
            </w:r>
            <w:r>
              <w:rPr>
                <w:rFonts w:eastAsia="宋体" w:cs="Times New Roman"/>
              </w:rPr>
              <w:t>，</w:t>
            </w:r>
            <w:r>
              <w:rPr>
                <w:rFonts w:hint="eastAsia" w:eastAsia="宋体"/>
              </w:rPr>
              <w:t>收集后集中暂存于一般固废暂存区，定期外售给回收企业。</w:t>
            </w:r>
          </w:p>
          <w:p w14:paraId="15D0F449">
            <w:pPr>
              <w:pStyle w:val="156"/>
              <w:ind w:firstLine="480"/>
              <w:rPr>
                <w:rFonts w:eastAsia="宋体"/>
              </w:rPr>
            </w:pPr>
            <w:r>
              <w:rPr>
                <w:rFonts w:hint="eastAsia" w:eastAsia="宋体"/>
              </w:rPr>
              <w:t>②废包装桶（A料、C料）</w:t>
            </w:r>
          </w:p>
          <w:p w14:paraId="601ED79B">
            <w:pPr>
              <w:pStyle w:val="156"/>
              <w:ind w:firstLine="480"/>
              <w:rPr>
                <w:bCs/>
              </w:rPr>
            </w:pPr>
            <w:r>
              <w:rPr>
                <w:rFonts w:hint="eastAsia"/>
              </w:rPr>
              <w:t>项目生产工艺使用的聚氨酯A料、C料会产生废桶</w:t>
            </w:r>
            <w:r>
              <w:rPr>
                <w:rFonts w:hint="eastAsia" w:eastAsia="宋体"/>
              </w:rPr>
              <w:t>，未沾染色浆的为一般固废，</w:t>
            </w:r>
            <w:r>
              <w:rPr>
                <w:rFonts w:hint="eastAsia"/>
              </w:rPr>
              <w:t>产生量为2550个/a，容量为20kg的空桶重约1kg，</w:t>
            </w:r>
            <w:r>
              <w:rPr>
                <w:rFonts w:hint="eastAsia" w:eastAsia="宋体"/>
              </w:rPr>
              <w:t>产生量约为2.55</w:t>
            </w:r>
            <w:r>
              <w:rPr>
                <w:rFonts w:eastAsia="宋体"/>
              </w:rPr>
              <w:t>t/a</w:t>
            </w:r>
            <w:r>
              <w:rPr>
                <w:rFonts w:hint="eastAsia" w:eastAsia="宋体"/>
              </w:rPr>
              <w:t>，</w:t>
            </w:r>
            <w:r>
              <w:rPr>
                <w:rFonts w:eastAsia="宋体" w:cs="Times New Roman"/>
              </w:rPr>
              <w:t>根据《固体废物分类与代码目录》（生态环境部公告2024年第4号），</w:t>
            </w:r>
            <w:r>
              <w:rPr>
                <w:rFonts w:hint="eastAsia"/>
                <w:bCs/>
              </w:rPr>
              <w:t>废包装桶代码为900-003-S17，收集后暂存于一般固废暂存区定期外售。</w:t>
            </w:r>
          </w:p>
          <w:p w14:paraId="53A579C0">
            <w:pPr>
              <w:pStyle w:val="156"/>
              <w:ind w:firstLine="480"/>
              <w:rPr>
                <w:rFonts w:eastAsia="宋体" w:cs="宋体"/>
                <w:bCs/>
              </w:rPr>
            </w:pPr>
            <w:r>
              <w:rPr>
                <w:rFonts w:hint="eastAsia"/>
              </w:rPr>
              <w:t>③</w:t>
            </w:r>
            <w:r>
              <w:rPr>
                <w:rFonts w:hint="eastAsia" w:eastAsia="宋体"/>
              </w:rPr>
              <w:t>废</w:t>
            </w:r>
            <w:r>
              <w:rPr>
                <w:rFonts w:eastAsia="宋体"/>
              </w:rPr>
              <w:t>PU</w:t>
            </w:r>
            <w:r>
              <w:rPr>
                <w:rFonts w:hint="eastAsia" w:eastAsia="宋体"/>
              </w:rPr>
              <w:t>边角料</w:t>
            </w:r>
          </w:p>
          <w:p w14:paraId="78636F83">
            <w:pPr>
              <w:pStyle w:val="156"/>
              <w:ind w:firstLine="480"/>
              <w:rPr>
                <w:rFonts w:eastAsia="宋体"/>
              </w:rPr>
            </w:pPr>
            <w:r>
              <w:rPr>
                <w:rFonts w:hint="eastAsia" w:eastAsia="宋体"/>
              </w:rPr>
              <w:t>根据企业提供资料，聚氨酯流水线废</w:t>
            </w:r>
            <w:r>
              <w:rPr>
                <w:rFonts w:eastAsia="宋体"/>
              </w:rPr>
              <w:t>PU</w:t>
            </w:r>
            <w:r>
              <w:rPr>
                <w:rFonts w:hint="eastAsia" w:eastAsia="宋体"/>
              </w:rPr>
              <w:t>边角料产生量为1.5</w:t>
            </w:r>
            <w:r>
              <w:rPr>
                <w:rFonts w:eastAsia="宋体"/>
              </w:rPr>
              <w:t>t/a</w:t>
            </w:r>
            <w:r>
              <w:rPr>
                <w:rFonts w:hint="eastAsia" w:eastAsia="宋体"/>
              </w:rPr>
              <w:t>，为一般固废。</w:t>
            </w:r>
          </w:p>
          <w:p w14:paraId="055C608D">
            <w:pPr>
              <w:pStyle w:val="156"/>
              <w:ind w:firstLine="480"/>
              <w:rPr>
                <w:rFonts w:eastAsia="宋体"/>
              </w:rPr>
            </w:pPr>
            <w:r>
              <w:rPr>
                <w:rFonts w:hint="eastAsia" w:eastAsia="宋体"/>
              </w:rPr>
              <w:t>根据</w:t>
            </w:r>
            <w:r>
              <w:rPr>
                <w:rFonts w:hint="eastAsia"/>
              </w:rPr>
              <w:t>根据《固体废物分类与代码目录》（生态环境部公告2024年第4号），</w:t>
            </w:r>
            <w:r>
              <w:rPr>
                <w:rFonts w:hint="eastAsia" w:eastAsia="宋体"/>
              </w:rPr>
              <w:t>废</w:t>
            </w:r>
            <w:r>
              <w:rPr>
                <w:rFonts w:eastAsia="宋体"/>
              </w:rPr>
              <w:t>PU</w:t>
            </w:r>
            <w:r>
              <w:rPr>
                <w:rFonts w:hint="eastAsia" w:eastAsia="宋体"/>
              </w:rPr>
              <w:t>边角料</w:t>
            </w:r>
            <w:r>
              <w:rPr>
                <w:rFonts w:hint="eastAsia"/>
              </w:rPr>
              <w:t>代码为</w:t>
            </w:r>
            <w:r>
              <w:rPr>
                <w:rFonts w:hint="eastAsia"/>
                <w:bCs/>
              </w:rPr>
              <w:t>900-003-S17</w:t>
            </w:r>
            <w:r>
              <w:rPr>
                <w:rFonts w:hint="eastAsia"/>
              </w:rPr>
              <w:t>，</w:t>
            </w:r>
            <w:r>
              <w:rPr>
                <w:rFonts w:hint="eastAsia" w:eastAsia="宋体"/>
              </w:rPr>
              <w:t>收集后集中暂存于一般固废暂存区，定期外售。</w:t>
            </w:r>
          </w:p>
          <w:p w14:paraId="358F0861">
            <w:pPr>
              <w:pStyle w:val="156"/>
              <w:ind w:firstLine="480"/>
            </w:pPr>
            <w:r>
              <w:rPr>
                <w:rFonts w:hint="eastAsia" w:eastAsia="宋体" w:cs="宋体"/>
              </w:rPr>
              <w:t>④</w:t>
            </w:r>
            <w:r>
              <w:rPr>
                <w:rFonts w:hint="eastAsia"/>
              </w:rPr>
              <w:t>废滤袋</w:t>
            </w:r>
          </w:p>
          <w:p w14:paraId="6136F4DF">
            <w:pPr>
              <w:pStyle w:val="156"/>
              <w:ind w:firstLine="480"/>
            </w:pPr>
            <w:r>
              <w:rPr>
                <w:rFonts w:hint="eastAsia" w:eastAsia="宋体"/>
              </w:rPr>
              <w:t>根据企业提供资料，注塑流水线废滤袋产生量为0.1</w:t>
            </w:r>
            <w:r>
              <w:rPr>
                <w:rFonts w:eastAsia="宋体"/>
              </w:rPr>
              <w:t>t/a</w:t>
            </w:r>
            <w:r>
              <w:rPr>
                <w:rFonts w:hint="eastAsia" w:eastAsia="宋体"/>
              </w:rPr>
              <w:t>，为</w:t>
            </w:r>
            <w:r>
              <w:rPr>
                <w:rFonts w:hint="eastAsia"/>
              </w:rPr>
              <w:t>一般固废。</w:t>
            </w:r>
          </w:p>
          <w:p w14:paraId="09752FE8">
            <w:pPr>
              <w:pStyle w:val="156"/>
              <w:ind w:firstLine="480"/>
            </w:pPr>
            <w:r>
              <w:rPr>
                <w:rFonts w:eastAsia="宋体" w:cs="Times New Roman"/>
              </w:rPr>
              <w:t>根据《固体废物分类与代码目录》（生态环境部公告2024年第4号），废</w:t>
            </w:r>
            <w:r>
              <w:rPr>
                <w:rFonts w:hint="eastAsia" w:eastAsia="宋体" w:cs="Times New Roman"/>
              </w:rPr>
              <w:t>过滤材料</w:t>
            </w:r>
            <w:r>
              <w:rPr>
                <w:rFonts w:eastAsia="宋体" w:cs="Times New Roman"/>
              </w:rPr>
              <w:t>代码为</w:t>
            </w:r>
            <w:r>
              <w:rPr>
                <w:rFonts w:eastAsia="宋体" w:cs="Times New Roman"/>
                <w:bCs/>
              </w:rPr>
              <w:t>900-009-S59</w:t>
            </w:r>
            <w:r>
              <w:rPr>
                <w:rFonts w:eastAsia="宋体" w:cs="Times New Roman"/>
              </w:rPr>
              <w:t>，</w:t>
            </w:r>
            <w:r>
              <w:rPr>
                <w:rFonts w:hint="eastAsia" w:eastAsia="宋体"/>
              </w:rPr>
              <w:t>收集后集中暂存于一般固废暂存区，定期外售。</w:t>
            </w:r>
          </w:p>
          <w:p w14:paraId="42CD9863">
            <w:pPr>
              <w:pStyle w:val="156"/>
              <w:ind w:firstLine="480"/>
              <w:rPr>
                <w:rFonts w:eastAsia="宋体" w:cs="Times New Roman"/>
              </w:rPr>
            </w:pPr>
            <w:r>
              <w:rPr>
                <w:rFonts w:hint="eastAsia" w:eastAsia="宋体" w:cs="宋体"/>
              </w:rPr>
              <w:t>⑤</w:t>
            </w:r>
            <w:r>
              <w:rPr>
                <w:rFonts w:eastAsia="宋体" w:cs="Times New Roman"/>
              </w:rPr>
              <w:t>生活垃圾</w:t>
            </w:r>
          </w:p>
          <w:p w14:paraId="7371F6E8">
            <w:pPr>
              <w:pStyle w:val="156"/>
              <w:ind w:firstLine="480"/>
              <w:rPr>
                <w:rFonts w:eastAsia="宋体" w:cs="Times New Roman"/>
              </w:rPr>
            </w:pPr>
            <w:r>
              <w:rPr>
                <w:rFonts w:eastAsia="宋体" w:cs="Times New Roman"/>
              </w:rPr>
              <w:t>本项目劳动定员20人，员工办公生活垃圾产生量按0.5kg/d，则生活垃圾产生量为10kg/d（3t/a）。根据《固体废物分类与代码目录》（生态环境部公告2024年第4号），</w:t>
            </w:r>
            <w:r>
              <w:rPr>
                <w:rFonts w:hint="eastAsia" w:eastAsia="宋体" w:cs="Times New Roman"/>
              </w:rPr>
              <w:t>生活垃圾</w:t>
            </w:r>
            <w:r>
              <w:rPr>
                <w:rFonts w:eastAsia="宋体" w:cs="Times New Roman"/>
              </w:rPr>
              <w:t>代码为</w:t>
            </w:r>
            <w:r>
              <w:rPr>
                <w:rFonts w:eastAsia="宋体" w:cs="Times New Roman"/>
                <w:bCs/>
              </w:rPr>
              <w:t>900-0</w:t>
            </w:r>
            <w:r>
              <w:rPr>
                <w:rFonts w:hint="eastAsia" w:eastAsia="宋体" w:cs="Times New Roman"/>
                <w:bCs/>
              </w:rPr>
              <w:t>99</w:t>
            </w:r>
            <w:r>
              <w:rPr>
                <w:rFonts w:eastAsia="宋体" w:cs="Times New Roman"/>
                <w:bCs/>
              </w:rPr>
              <w:t>-</w:t>
            </w:r>
            <w:r>
              <w:rPr>
                <w:rFonts w:hint="eastAsia" w:eastAsia="宋体" w:cs="Times New Roman"/>
                <w:bCs/>
              </w:rPr>
              <w:t>S64</w:t>
            </w:r>
            <w:r>
              <w:rPr>
                <w:rFonts w:eastAsia="宋体" w:cs="Times New Roman"/>
              </w:rPr>
              <w:t>集中收集后交由环卫部门统一清运。</w:t>
            </w:r>
          </w:p>
          <w:p w14:paraId="37D3DEDA">
            <w:pPr>
              <w:pStyle w:val="156"/>
              <w:ind w:firstLine="480"/>
              <w:rPr>
                <w:rFonts w:eastAsia="宋体" w:cs="Times New Roman"/>
              </w:rPr>
            </w:pPr>
            <w:r>
              <w:rPr>
                <w:rFonts w:eastAsia="宋体" w:cs="Times New Roman"/>
              </w:rPr>
              <w:t>（2）危险废物</w:t>
            </w:r>
          </w:p>
          <w:p w14:paraId="6606D75A">
            <w:pPr>
              <w:pStyle w:val="156"/>
              <w:ind w:firstLine="480"/>
              <w:rPr>
                <w:rFonts w:eastAsia="宋体" w:cs="Times New Roman"/>
              </w:rPr>
            </w:pPr>
            <w:r>
              <w:rPr>
                <w:rFonts w:hint="eastAsia" w:eastAsia="宋体" w:cs="宋体"/>
              </w:rPr>
              <w:t>①</w:t>
            </w:r>
            <w:r>
              <w:rPr>
                <w:rFonts w:eastAsia="宋体" w:cs="Times New Roman"/>
              </w:rPr>
              <w:t>废活性炭</w:t>
            </w:r>
          </w:p>
          <w:p w14:paraId="1229D12D">
            <w:pPr>
              <w:pStyle w:val="156"/>
              <w:ind w:firstLine="480"/>
              <w:rPr>
                <w:rFonts w:eastAsia="宋体" w:cs="Times New Roman"/>
              </w:rPr>
            </w:pPr>
            <w:r>
              <w:rPr>
                <w:rFonts w:eastAsia="宋体" w:cs="Times New Roman"/>
              </w:rPr>
              <w:t>本项目有机废气采用颗粒状活性炭进行吸附过滤，根据《简明通风设计手册》，活性炭有效吸附量Qe=0.24kg/kg活性炭，从严计算本项目按活性炭有效吸附量Qe=0.2kg/kg活性炭计算。</w:t>
            </w:r>
          </w:p>
          <w:p w14:paraId="48C7B207">
            <w:pPr>
              <w:pStyle w:val="182"/>
              <w:ind w:firstLine="482"/>
              <w:rPr>
                <w:b/>
                <w:u w:val="single"/>
              </w:rPr>
            </w:pPr>
            <w:r>
              <w:rPr>
                <w:b/>
                <w:u w:val="single"/>
              </w:rPr>
              <w:t>表4-1</w:t>
            </w:r>
            <w:r>
              <w:rPr>
                <w:rFonts w:hint="eastAsia"/>
                <w:b/>
                <w:u w:val="single"/>
              </w:rPr>
              <w:t>8</w:t>
            </w:r>
            <w:r>
              <w:rPr>
                <w:b/>
                <w:u w:val="single"/>
              </w:rPr>
              <w:t xml:space="preserve">            废活性炭产生情况核算</w:t>
            </w:r>
          </w:p>
          <w:tbl>
            <w:tblPr>
              <w:tblStyle w:val="88"/>
              <w:tblW w:w="848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822"/>
              <w:gridCol w:w="849"/>
              <w:gridCol w:w="849"/>
              <w:gridCol w:w="849"/>
              <w:gridCol w:w="1560"/>
              <w:gridCol w:w="1280"/>
              <w:gridCol w:w="1276"/>
            </w:tblGrid>
            <w:tr w14:paraId="6B7692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1074" w:type="pct"/>
                  <w:vAlign w:val="center"/>
                </w:tcPr>
                <w:p w14:paraId="034BE22E">
                  <w:pPr>
                    <w:pStyle w:val="154"/>
                    <w:rPr>
                      <w:b/>
                      <w:sz w:val="21"/>
                      <w:szCs w:val="21"/>
                      <w:u w:val="single"/>
                    </w:rPr>
                  </w:pPr>
                  <w:r>
                    <w:rPr>
                      <w:b/>
                      <w:sz w:val="21"/>
                      <w:szCs w:val="21"/>
                      <w:u w:val="single"/>
                    </w:rPr>
                    <w:t>污染源</w:t>
                  </w:r>
                </w:p>
              </w:tc>
              <w:tc>
                <w:tcPr>
                  <w:tcW w:w="501" w:type="pct"/>
                  <w:vAlign w:val="center"/>
                </w:tcPr>
                <w:p w14:paraId="5BFEECA1">
                  <w:pPr>
                    <w:pStyle w:val="154"/>
                    <w:rPr>
                      <w:b/>
                      <w:sz w:val="21"/>
                      <w:szCs w:val="21"/>
                      <w:u w:val="single"/>
                    </w:rPr>
                  </w:pPr>
                  <w:r>
                    <w:rPr>
                      <w:b/>
                      <w:sz w:val="21"/>
                      <w:szCs w:val="21"/>
                      <w:u w:val="single"/>
                    </w:rPr>
                    <w:t>活性炭</w:t>
                  </w:r>
                  <w:r>
                    <w:rPr>
                      <w:b/>
                      <w:sz w:val="21"/>
                      <w:szCs w:val="21"/>
                      <w:u w:val="single"/>
                    </w:rPr>
                    <w:br w:type="textWrapping"/>
                  </w:r>
                  <w:r>
                    <w:rPr>
                      <w:b/>
                      <w:sz w:val="21"/>
                      <w:szCs w:val="21"/>
                      <w:u w:val="single"/>
                    </w:rPr>
                    <w:t>吸附量</w:t>
                  </w:r>
                </w:p>
              </w:tc>
              <w:tc>
                <w:tcPr>
                  <w:tcW w:w="500" w:type="pct"/>
                  <w:vAlign w:val="center"/>
                </w:tcPr>
                <w:p w14:paraId="0C3FE993">
                  <w:pPr>
                    <w:pStyle w:val="154"/>
                    <w:rPr>
                      <w:b/>
                      <w:sz w:val="21"/>
                      <w:szCs w:val="21"/>
                      <w:u w:val="single"/>
                    </w:rPr>
                  </w:pPr>
                  <w:r>
                    <w:rPr>
                      <w:rFonts w:hint="eastAsia"/>
                      <w:b/>
                      <w:sz w:val="21"/>
                      <w:szCs w:val="21"/>
                      <w:u w:val="single"/>
                    </w:rPr>
                    <w:t>活性炭</w:t>
                  </w:r>
                  <w:r>
                    <w:rPr>
                      <w:b/>
                      <w:sz w:val="21"/>
                      <w:szCs w:val="21"/>
                      <w:u w:val="single"/>
                    </w:rPr>
                    <w:t>吸附总量</w:t>
                  </w:r>
                </w:p>
              </w:tc>
              <w:tc>
                <w:tcPr>
                  <w:tcW w:w="500" w:type="pct"/>
                </w:tcPr>
                <w:p w14:paraId="0A3FAD97">
                  <w:pPr>
                    <w:pStyle w:val="45"/>
                    <w:jc w:val="center"/>
                  </w:pPr>
                  <w:r>
                    <w:rPr>
                      <w:b/>
                      <w:sz w:val="21"/>
                      <w:u w:val="single"/>
                    </w:rPr>
                    <w:t>活性炭</w:t>
                  </w:r>
                  <w:r>
                    <w:rPr>
                      <w:b/>
                      <w:sz w:val="21"/>
                      <w:u w:val="single"/>
                    </w:rPr>
                    <w:br w:type="textWrapping"/>
                  </w:r>
                  <w:r>
                    <w:rPr>
                      <w:rFonts w:hint="eastAsia"/>
                      <w:b/>
                      <w:sz w:val="21"/>
                      <w:u w:val="single"/>
                    </w:rPr>
                    <w:t>最少用</w:t>
                  </w:r>
                  <w:r>
                    <w:rPr>
                      <w:b/>
                      <w:sz w:val="21"/>
                      <w:u w:val="single"/>
                    </w:rPr>
                    <w:t>量</w:t>
                  </w:r>
                </w:p>
              </w:tc>
              <w:tc>
                <w:tcPr>
                  <w:tcW w:w="919" w:type="pct"/>
                </w:tcPr>
                <w:p w14:paraId="376641FA">
                  <w:pPr>
                    <w:pStyle w:val="154"/>
                    <w:rPr>
                      <w:b/>
                      <w:sz w:val="21"/>
                      <w:szCs w:val="21"/>
                      <w:u w:val="single"/>
                    </w:rPr>
                  </w:pPr>
                  <w:r>
                    <w:rPr>
                      <w:b/>
                      <w:sz w:val="21"/>
                      <w:szCs w:val="21"/>
                      <w:u w:val="single"/>
                    </w:rPr>
                    <w:t>处理装置设计</w:t>
                  </w:r>
                  <w:r>
                    <w:rPr>
                      <w:b/>
                      <w:sz w:val="21"/>
                      <w:szCs w:val="21"/>
                      <w:u w:val="single"/>
                    </w:rPr>
                    <w:br w:type="textWrapping"/>
                  </w:r>
                  <w:r>
                    <w:rPr>
                      <w:b/>
                      <w:sz w:val="21"/>
                      <w:szCs w:val="21"/>
                      <w:u w:val="single"/>
                    </w:rPr>
                    <w:t>活性炭箱装填量</w:t>
                  </w:r>
                </w:p>
              </w:tc>
              <w:tc>
                <w:tcPr>
                  <w:tcW w:w="753" w:type="pct"/>
                </w:tcPr>
                <w:p w14:paraId="6C7360AA">
                  <w:pPr>
                    <w:pStyle w:val="154"/>
                    <w:rPr>
                      <w:b/>
                      <w:sz w:val="21"/>
                      <w:szCs w:val="21"/>
                      <w:u w:val="single"/>
                    </w:rPr>
                  </w:pPr>
                  <w:r>
                    <w:rPr>
                      <w:b/>
                      <w:sz w:val="21"/>
                      <w:szCs w:val="21"/>
                      <w:u w:val="single"/>
                    </w:rPr>
                    <w:t>更换</w:t>
                  </w:r>
                  <w:r>
                    <w:rPr>
                      <w:b/>
                      <w:sz w:val="21"/>
                      <w:szCs w:val="21"/>
                      <w:u w:val="single"/>
                    </w:rPr>
                    <w:br w:type="textWrapping"/>
                  </w:r>
                  <w:r>
                    <w:rPr>
                      <w:b/>
                      <w:sz w:val="21"/>
                      <w:szCs w:val="21"/>
                      <w:u w:val="single"/>
                    </w:rPr>
                    <w:t>周期</w:t>
                  </w:r>
                </w:p>
              </w:tc>
              <w:tc>
                <w:tcPr>
                  <w:tcW w:w="752" w:type="pct"/>
                </w:tcPr>
                <w:p w14:paraId="41053481">
                  <w:pPr>
                    <w:pStyle w:val="154"/>
                    <w:rPr>
                      <w:b/>
                      <w:sz w:val="21"/>
                      <w:szCs w:val="21"/>
                      <w:u w:val="single"/>
                    </w:rPr>
                  </w:pPr>
                  <w:r>
                    <w:rPr>
                      <w:b/>
                      <w:sz w:val="21"/>
                      <w:szCs w:val="21"/>
                      <w:u w:val="single"/>
                    </w:rPr>
                    <w:t>废活性</w:t>
                  </w:r>
                  <w:r>
                    <w:rPr>
                      <w:b/>
                      <w:sz w:val="21"/>
                      <w:szCs w:val="21"/>
                      <w:u w:val="single"/>
                    </w:rPr>
                    <w:br w:type="textWrapping"/>
                  </w:r>
                  <w:r>
                    <w:rPr>
                      <w:b/>
                      <w:sz w:val="21"/>
                      <w:szCs w:val="21"/>
                      <w:u w:val="single"/>
                    </w:rPr>
                    <w:t>炭量</w:t>
                  </w:r>
                </w:p>
              </w:tc>
            </w:tr>
            <w:tr w14:paraId="76F542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1074" w:type="pct"/>
                </w:tcPr>
                <w:p w14:paraId="479D5B2B">
                  <w:pPr>
                    <w:pStyle w:val="154"/>
                    <w:rPr>
                      <w:b/>
                      <w:sz w:val="21"/>
                      <w:szCs w:val="21"/>
                      <w:u w:val="single"/>
                    </w:rPr>
                  </w:pPr>
                  <w:r>
                    <w:rPr>
                      <w:rFonts w:hint="eastAsia"/>
                      <w:b/>
                      <w:sz w:val="21"/>
                      <w:szCs w:val="21"/>
                      <w:u w:val="single"/>
                    </w:rPr>
                    <w:t>注塑生产线废气</w:t>
                  </w:r>
                </w:p>
              </w:tc>
              <w:tc>
                <w:tcPr>
                  <w:tcW w:w="501" w:type="pct"/>
                  <w:vAlign w:val="center"/>
                </w:tcPr>
                <w:p w14:paraId="72F9A83B">
                  <w:pPr>
                    <w:pStyle w:val="154"/>
                    <w:rPr>
                      <w:b/>
                      <w:sz w:val="21"/>
                      <w:szCs w:val="21"/>
                      <w:u w:val="single"/>
                    </w:rPr>
                  </w:pPr>
                  <w:r>
                    <w:rPr>
                      <w:rFonts w:hint="eastAsia"/>
                      <w:b/>
                      <w:sz w:val="21"/>
                      <w:szCs w:val="21"/>
                      <w:u w:val="single"/>
                    </w:rPr>
                    <w:t>0.1361t/a</w:t>
                  </w:r>
                </w:p>
              </w:tc>
              <w:tc>
                <w:tcPr>
                  <w:tcW w:w="500" w:type="pct"/>
                  <w:vMerge w:val="restart"/>
                </w:tcPr>
                <w:p w14:paraId="4D65BBA7">
                  <w:pPr>
                    <w:pStyle w:val="45"/>
                    <w:jc w:val="center"/>
                  </w:pPr>
                </w:p>
                <w:p w14:paraId="59DE74A2">
                  <w:pPr>
                    <w:pStyle w:val="45"/>
                    <w:jc w:val="center"/>
                    <w:rPr>
                      <w:rFonts w:ascii="Times New Roman" w:hAnsi="Times New Roman" w:cs="Times New Roman"/>
                      <w:b/>
                      <w:sz w:val="21"/>
                      <w:u w:val="single"/>
                    </w:rPr>
                  </w:pPr>
                  <w:r>
                    <w:rPr>
                      <w:rFonts w:ascii="Times New Roman" w:hAnsi="Times New Roman" w:cs="Times New Roman"/>
                      <w:b/>
                      <w:sz w:val="21"/>
                      <w:u w:val="single"/>
                    </w:rPr>
                    <w:t>0.6</w:t>
                  </w:r>
                  <w:r>
                    <w:rPr>
                      <w:rFonts w:hint="eastAsia" w:ascii="Times New Roman" w:hAnsi="Times New Roman" w:cs="Times New Roman"/>
                      <w:b/>
                      <w:sz w:val="21"/>
                      <w:u w:val="single"/>
                    </w:rPr>
                    <w:t>052</w:t>
                  </w:r>
                  <w:r>
                    <w:rPr>
                      <w:rFonts w:ascii="Times New Roman" w:hAnsi="Times New Roman" w:cs="Times New Roman"/>
                      <w:b/>
                      <w:sz w:val="21"/>
                      <w:u w:val="single"/>
                    </w:rPr>
                    <w:t>t</w:t>
                  </w:r>
                </w:p>
              </w:tc>
              <w:tc>
                <w:tcPr>
                  <w:tcW w:w="500" w:type="pct"/>
                  <w:vMerge w:val="restart"/>
                  <w:vAlign w:val="center"/>
                </w:tcPr>
                <w:p w14:paraId="5B8702D1">
                  <w:pPr>
                    <w:pStyle w:val="154"/>
                    <w:rPr>
                      <w:b/>
                      <w:sz w:val="21"/>
                      <w:szCs w:val="21"/>
                      <w:u w:val="single"/>
                    </w:rPr>
                  </w:pPr>
                  <w:r>
                    <w:rPr>
                      <w:rFonts w:hint="eastAsia"/>
                      <w:b/>
                      <w:sz w:val="21"/>
                      <w:szCs w:val="21"/>
                      <w:u w:val="single"/>
                    </w:rPr>
                    <w:t>3.03t</w:t>
                  </w:r>
                </w:p>
              </w:tc>
              <w:tc>
                <w:tcPr>
                  <w:tcW w:w="919" w:type="pct"/>
                  <w:vMerge w:val="restart"/>
                  <w:vAlign w:val="center"/>
                </w:tcPr>
                <w:p w14:paraId="7F6E508A">
                  <w:pPr>
                    <w:pStyle w:val="154"/>
                    <w:rPr>
                      <w:b/>
                      <w:sz w:val="21"/>
                      <w:szCs w:val="21"/>
                      <w:u w:val="single"/>
                    </w:rPr>
                  </w:pPr>
                  <w:r>
                    <w:rPr>
                      <w:rFonts w:hint="eastAsia"/>
                      <w:b/>
                      <w:sz w:val="21"/>
                      <w:szCs w:val="21"/>
                      <w:u w:val="single"/>
                    </w:rPr>
                    <w:t>0.8t</w:t>
                  </w:r>
                </w:p>
              </w:tc>
              <w:tc>
                <w:tcPr>
                  <w:tcW w:w="753" w:type="pct"/>
                  <w:vMerge w:val="restart"/>
                  <w:vAlign w:val="center"/>
                </w:tcPr>
                <w:p w14:paraId="691B4ADF">
                  <w:pPr>
                    <w:pStyle w:val="154"/>
                    <w:rPr>
                      <w:b/>
                      <w:sz w:val="21"/>
                      <w:szCs w:val="21"/>
                      <w:u w:val="single"/>
                    </w:rPr>
                  </w:pPr>
                  <w:r>
                    <w:rPr>
                      <w:rFonts w:hint="eastAsia"/>
                      <w:b/>
                      <w:sz w:val="21"/>
                      <w:szCs w:val="21"/>
                      <w:u w:val="single"/>
                    </w:rPr>
                    <w:t>3</w:t>
                  </w:r>
                  <w:r>
                    <w:rPr>
                      <w:b/>
                      <w:sz w:val="21"/>
                      <w:szCs w:val="21"/>
                      <w:u w:val="single"/>
                    </w:rPr>
                    <w:t>个月</w:t>
                  </w:r>
                </w:p>
              </w:tc>
              <w:tc>
                <w:tcPr>
                  <w:tcW w:w="752" w:type="pct"/>
                  <w:vMerge w:val="restart"/>
                  <w:vAlign w:val="center"/>
                </w:tcPr>
                <w:p w14:paraId="3A3685EA">
                  <w:pPr>
                    <w:pStyle w:val="154"/>
                    <w:rPr>
                      <w:b/>
                      <w:sz w:val="21"/>
                      <w:szCs w:val="21"/>
                      <w:u w:val="single"/>
                    </w:rPr>
                  </w:pPr>
                  <w:r>
                    <w:rPr>
                      <w:rFonts w:hint="eastAsia"/>
                      <w:b/>
                      <w:sz w:val="21"/>
                      <w:szCs w:val="21"/>
                      <w:u w:val="single"/>
                    </w:rPr>
                    <w:t>3.805</w:t>
                  </w:r>
                  <w:r>
                    <w:rPr>
                      <w:b/>
                      <w:sz w:val="21"/>
                      <w:szCs w:val="21"/>
                      <w:u w:val="single"/>
                    </w:rPr>
                    <w:t>t/a</w:t>
                  </w:r>
                </w:p>
              </w:tc>
            </w:tr>
            <w:tr w14:paraId="4994B1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1074" w:type="pct"/>
                </w:tcPr>
                <w:p w14:paraId="788FA8D2">
                  <w:pPr>
                    <w:pStyle w:val="154"/>
                    <w:rPr>
                      <w:b/>
                      <w:sz w:val="21"/>
                      <w:szCs w:val="21"/>
                      <w:u w:val="single"/>
                    </w:rPr>
                  </w:pPr>
                  <w:r>
                    <w:rPr>
                      <w:rFonts w:hint="eastAsia"/>
                      <w:b/>
                      <w:sz w:val="21"/>
                      <w:szCs w:val="21"/>
                      <w:u w:val="single"/>
                    </w:rPr>
                    <w:t>聚氨酯生产线废气</w:t>
                  </w:r>
                </w:p>
              </w:tc>
              <w:tc>
                <w:tcPr>
                  <w:tcW w:w="501" w:type="pct"/>
                  <w:vAlign w:val="center"/>
                </w:tcPr>
                <w:p w14:paraId="0B6308F1">
                  <w:pPr>
                    <w:pStyle w:val="154"/>
                    <w:rPr>
                      <w:b/>
                      <w:sz w:val="21"/>
                      <w:szCs w:val="21"/>
                      <w:u w:val="single"/>
                    </w:rPr>
                  </w:pPr>
                  <w:r>
                    <w:rPr>
                      <w:rFonts w:hint="eastAsia"/>
                      <w:b/>
                      <w:sz w:val="21"/>
                      <w:szCs w:val="21"/>
                      <w:u w:val="single"/>
                    </w:rPr>
                    <w:t>0.2279t/a</w:t>
                  </w:r>
                </w:p>
              </w:tc>
              <w:tc>
                <w:tcPr>
                  <w:tcW w:w="500" w:type="pct"/>
                  <w:vMerge w:val="continue"/>
                  <w:vAlign w:val="center"/>
                </w:tcPr>
                <w:p w14:paraId="451299E4">
                  <w:pPr>
                    <w:pStyle w:val="154"/>
                    <w:rPr>
                      <w:b/>
                      <w:sz w:val="21"/>
                      <w:szCs w:val="21"/>
                      <w:u w:val="single"/>
                    </w:rPr>
                  </w:pPr>
                </w:p>
              </w:tc>
              <w:tc>
                <w:tcPr>
                  <w:tcW w:w="500" w:type="pct"/>
                  <w:vMerge w:val="continue"/>
                  <w:vAlign w:val="center"/>
                </w:tcPr>
                <w:p w14:paraId="498EC3B8">
                  <w:pPr>
                    <w:pStyle w:val="154"/>
                    <w:rPr>
                      <w:b/>
                      <w:sz w:val="21"/>
                      <w:szCs w:val="21"/>
                      <w:u w:val="single"/>
                    </w:rPr>
                  </w:pPr>
                </w:p>
              </w:tc>
              <w:tc>
                <w:tcPr>
                  <w:tcW w:w="919" w:type="pct"/>
                  <w:vMerge w:val="continue"/>
                  <w:vAlign w:val="center"/>
                </w:tcPr>
                <w:p w14:paraId="35CEF56E">
                  <w:pPr>
                    <w:pStyle w:val="154"/>
                    <w:rPr>
                      <w:b/>
                      <w:sz w:val="21"/>
                      <w:szCs w:val="21"/>
                      <w:u w:val="single"/>
                    </w:rPr>
                  </w:pPr>
                </w:p>
              </w:tc>
              <w:tc>
                <w:tcPr>
                  <w:tcW w:w="753" w:type="pct"/>
                  <w:vMerge w:val="continue"/>
                  <w:vAlign w:val="center"/>
                </w:tcPr>
                <w:p w14:paraId="43249ECB">
                  <w:pPr>
                    <w:pStyle w:val="154"/>
                    <w:rPr>
                      <w:b/>
                      <w:sz w:val="21"/>
                      <w:szCs w:val="21"/>
                      <w:u w:val="single"/>
                    </w:rPr>
                  </w:pPr>
                </w:p>
              </w:tc>
              <w:tc>
                <w:tcPr>
                  <w:tcW w:w="752" w:type="pct"/>
                  <w:vMerge w:val="continue"/>
                  <w:vAlign w:val="center"/>
                </w:tcPr>
                <w:p w14:paraId="0456A072">
                  <w:pPr>
                    <w:pStyle w:val="154"/>
                    <w:rPr>
                      <w:b/>
                      <w:sz w:val="21"/>
                      <w:szCs w:val="21"/>
                      <w:u w:val="single"/>
                    </w:rPr>
                  </w:pPr>
                </w:p>
              </w:tc>
            </w:tr>
            <w:tr w14:paraId="009FAF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074" w:type="pct"/>
                </w:tcPr>
                <w:p w14:paraId="6848CFF4">
                  <w:pPr>
                    <w:pStyle w:val="154"/>
                    <w:rPr>
                      <w:b/>
                      <w:sz w:val="21"/>
                      <w:szCs w:val="21"/>
                      <w:u w:val="single"/>
                    </w:rPr>
                  </w:pPr>
                  <w:r>
                    <w:rPr>
                      <w:rFonts w:hint="eastAsia"/>
                      <w:b/>
                      <w:sz w:val="21"/>
                      <w:szCs w:val="21"/>
                      <w:u w:val="single"/>
                    </w:rPr>
                    <w:t>鞋面布切割废气</w:t>
                  </w:r>
                </w:p>
              </w:tc>
              <w:tc>
                <w:tcPr>
                  <w:tcW w:w="501" w:type="pct"/>
                  <w:vAlign w:val="center"/>
                </w:tcPr>
                <w:p w14:paraId="1B531903">
                  <w:pPr>
                    <w:pStyle w:val="154"/>
                    <w:rPr>
                      <w:b/>
                      <w:sz w:val="21"/>
                      <w:szCs w:val="21"/>
                      <w:u w:val="single"/>
                    </w:rPr>
                  </w:pPr>
                  <w:r>
                    <w:rPr>
                      <w:rFonts w:hint="eastAsia"/>
                      <w:b/>
                      <w:sz w:val="21"/>
                      <w:szCs w:val="21"/>
                      <w:u w:val="single"/>
                    </w:rPr>
                    <w:t>0.2412t/a</w:t>
                  </w:r>
                </w:p>
              </w:tc>
              <w:tc>
                <w:tcPr>
                  <w:tcW w:w="500" w:type="pct"/>
                  <w:vMerge w:val="continue"/>
                  <w:vAlign w:val="center"/>
                </w:tcPr>
                <w:p w14:paraId="1F3B946D">
                  <w:pPr>
                    <w:pStyle w:val="154"/>
                    <w:rPr>
                      <w:b/>
                      <w:sz w:val="21"/>
                      <w:szCs w:val="21"/>
                      <w:u w:val="single"/>
                    </w:rPr>
                  </w:pPr>
                </w:p>
              </w:tc>
              <w:tc>
                <w:tcPr>
                  <w:tcW w:w="500" w:type="pct"/>
                  <w:vMerge w:val="continue"/>
                  <w:vAlign w:val="center"/>
                </w:tcPr>
                <w:p w14:paraId="21B967B7">
                  <w:pPr>
                    <w:pStyle w:val="154"/>
                    <w:rPr>
                      <w:b/>
                      <w:sz w:val="21"/>
                      <w:szCs w:val="21"/>
                      <w:highlight w:val="green"/>
                      <w:u w:val="single"/>
                    </w:rPr>
                  </w:pPr>
                </w:p>
              </w:tc>
              <w:tc>
                <w:tcPr>
                  <w:tcW w:w="919" w:type="pct"/>
                  <w:vMerge w:val="continue"/>
                  <w:vAlign w:val="center"/>
                </w:tcPr>
                <w:p w14:paraId="36A8C59B">
                  <w:pPr>
                    <w:pStyle w:val="154"/>
                    <w:rPr>
                      <w:b/>
                      <w:sz w:val="21"/>
                      <w:szCs w:val="21"/>
                      <w:highlight w:val="green"/>
                      <w:u w:val="single"/>
                    </w:rPr>
                  </w:pPr>
                </w:p>
              </w:tc>
              <w:tc>
                <w:tcPr>
                  <w:tcW w:w="753" w:type="pct"/>
                  <w:vMerge w:val="continue"/>
                  <w:vAlign w:val="center"/>
                </w:tcPr>
                <w:p w14:paraId="1FDCDD86">
                  <w:pPr>
                    <w:pStyle w:val="154"/>
                    <w:rPr>
                      <w:b/>
                      <w:sz w:val="21"/>
                      <w:szCs w:val="21"/>
                      <w:highlight w:val="yellow"/>
                      <w:u w:val="single"/>
                    </w:rPr>
                  </w:pPr>
                </w:p>
              </w:tc>
              <w:tc>
                <w:tcPr>
                  <w:tcW w:w="752" w:type="pct"/>
                  <w:vMerge w:val="continue"/>
                  <w:vAlign w:val="center"/>
                </w:tcPr>
                <w:p w14:paraId="1EFBB809">
                  <w:pPr>
                    <w:pStyle w:val="154"/>
                    <w:rPr>
                      <w:b/>
                      <w:sz w:val="21"/>
                      <w:szCs w:val="21"/>
                      <w:highlight w:val="yellow"/>
                      <w:u w:val="single"/>
                    </w:rPr>
                  </w:pPr>
                </w:p>
              </w:tc>
            </w:tr>
            <w:tr w14:paraId="20A75A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4248" w:type="pct"/>
                  <w:gridSpan w:val="6"/>
                  <w:shd w:val="clear" w:color="auto" w:fill="auto"/>
                </w:tcPr>
                <w:p w14:paraId="213AD5A2">
                  <w:pPr>
                    <w:pStyle w:val="154"/>
                    <w:rPr>
                      <w:b/>
                      <w:sz w:val="21"/>
                      <w:szCs w:val="21"/>
                      <w:u w:val="single"/>
                    </w:rPr>
                  </w:pPr>
                  <w:r>
                    <w:rPr>
                      <w:rFonts w:hint="eastAsia"/>
                      <w:b/>
                      <w:sz w:val="21"/>
                      <w:szCs w:val="21"/>
                      <w:u w:val="single"/>
                    </w:rPr>
                    <w:t>合计</w:t>
                  </w:r>
                </w:p>
              </w:tc>
              <w:tc>
                <w:tcPr>
                  <w:tcW w:w="752" w:type="pct"/>
                  <w:shd w:val="clear" w:color="auto" w:fill="auto"/>
                  <w:vAlign w:val="center"/>
                </w:tcPr>
                <w:p w14:paraId="13340A34">
                  <w:pPr>
                    <w:pStyle w:val="154"/>
                    <w:rPr>
                      <w:b/>
                      <w:sz w:val="21"/>
                      <w:szCs w:val="21"/>
                      <w:u w:val="single"/>
                    </w:rPr>
                  </w:pPr>
                  <w:r>
                    <w:rPr>
                      <w:rFonts w:hint="eastAsia"/>
                      <w:b/>
                      <w:sz w:val="21"/>
                      <w:szCs w:val="21"/>
                      <w:u w:val="single"/>
                    </w:rPr>
                    <w:t>3.805</w:t>
                  </w:r>
                  <w:r>
                    <w:rPr>
                      <w:b/>
                      <w:sz w:val="21"/>
                      <w:szCs w:val="21"/>
                      <w:u w:val="single"/>
                    </w:rPr>
                    <w:t>t/a</w:t>
                  </w:r>
                </w:p>
              </w:tc>
            </w:tr>
          </w:tbl>
          <w:p w14:paraId="0E6F3B89">
            <w:pPr>
              <w:pStyle w:val="156"/>
              <w:ind w:firstLine="482"/>
              <w:rPr>
                <w:rFonts w:eastAsia="宋体" w:cs="Times New Roman"/>
                <w:b/>
                <w:u w:val="single"/>
              </w:rPr>
            </w:pPr>
            <w:r>
              <w:rPr>
                <w:rFonts w:hint="eastAsia" w:eastAsia="宋体" w:cs="Times New Roman"/>
                <w:b/>
                <w:u w:val="single"/>
              </w:rPr>
              <w:t>本项目合计废活性炭产生量3.805</w:t>
            </w:r>
            <w:r>
              <w:rPr>
                <w:rFonts w:eastAsia="宋体" w:cs="Times New Roman"/>
                <w:b/>
                <w:u w:val="single"/>
              </w:rPr>
              <w:t>t/a</w:t>
            </w:r>
            <w:r>
              <w:rPr>
                <w:rFonts w:hint="eastAsia" w:eastAsia="宋体" w:cs="Times New Roman"/>
                <w:b/>
                <w:u w:val="single"/>
              </w:rPr>
              <w:t>，</w:t>
            </w:r>
            <w:r>
              <w:rPr>
                <w:rFonts w:eastAsia="宋体" w:cs="Times New Roman"/>
                <w:b/>
                <w:u w:val="single"/>
              </w:rPr>
              <w:t>设计活性炭炭箱装填量为0.</w:t>
            </w:r>
            <w:r>
              <w:rPr>
                <w:rFonts w:hint="eastAsia" w:eastAsia="宋体" w:cs="Times New Roman"/>
                <w:b/>
                <w:u w:val="single"/>
              </w:rPr>
              <w:t>8</w:t>
            </w:r>
            <w:r>
              <w:rPr>
                <w:rFonts w:eastAsia="宋体" w:cs="Times New Roman"/>
                <w:b/>
                <w:u w:val="single"/>
              </w:rPr>
              <w:t>t，更换周期为</w:t>
            </w:r>
            <w:r>
              <w:rPr>
                <w:rFonts w:hint="eastAsia" w:eastAsia="宋体" w:cs="Times New Roman"/>
                <w:b/>
                <w:u w:val="single"/>
              </w:rPr>
              <w:t>3个月/次</w:t>
            </w:r>
            <w:r>
              <w:rPr>
                <w:rFonts w:eastAsia="宋体" w:cs="Times New Roman"/>
                <w:b/>
                <w:u w:val="single"/>
              </w:rPr>
              <w:t>。根据《国家危险废物名录》（202</w:t>
            </w:r>
            <w:r>
              <w:rPr>
                <w:rFonts w:hint="eastAsia" w:eastAsia="宋体" w:cs="Times New Roman"/>
                <w:b/>
                <w:u w:val="single"/>
              </w:rPr>
              <w:t>5</w:t>
            </w:r>
            <w:r>
              <w:rPr>
                <w:rFonts w:eastAsia="宋体" w:cs="Times New Roman"/>
                <w:b/>
                <w:u w:val="single"/>
              </w:rPr>
              <w:t>年版），废活性炭属于危险废物（HW49其他废物，危废代码为900-039-49），由塑料袋密封包装后，暂存于危废暂存间，定期交由有资质单位处理。</w:t>
            </w:r>
          </w:p>
          <w:p w14:paraId="7A684C08">
            <w:pPr>
              <w:pStyle w:val="156"/>
              <w:ind w:firstLine="480"/>
            </w:pPr>
            <w:r>
              <w:rPr>
                <w:rFonts w:hint="eastAsia"/>
              </w:rPr>
              <w:t>②废包装桶（B料、色浆等）</w:t>
            </w:r>
          </w:p>
          <w:p w14:paraId="5D5F222D">
            <w:pPr>
              <w:pStyle w:val="156"/>
              <w:ind w:firstLine="480"/>
              <w:rPr>
                <w:rFonts w:cs="Times New Roman"/>
              </w:rPr>
            </w:pPr>
            <w:r>
              <w:rPr>
                <w:rFonts w:hint="eastAsia"/>
              </w:rPr>
              <w:t>项目聚氨酯鞋底布鞋生产线使用的沾染色浆的料桶，聚氨酯B料桶会产生废桶，属于危险废物，产生量为2650个/a，废清洗剂桶、废脱模剂桶170个/a。容量为20kg的空桶重约1kg，容量为5kg的空桶重约0.25kg，则废包装桶产量约为</w:t>
            </w:r>
            <w:r>
              <w:rPr>
                <w:rFonts w:cs="Times New Roman"/>
              </w:rPr>
              <w:t>2.69t/a。</w:t>
            </w:r>
          </w:p>
          <w:p w14:paraId="2330AE44">
            <w:pPr>
              <w:pStyle w:val="156"/>
              <w:ind w:firstLine="480"/>
              <w:rPr>
                <w:rFonts w:eastAsia="宋体"/>
              </w:rPr>
            </w:pPr>
            <w:r>
              <w:rPr>
                <w:rFonts w:hint="eastAsia" w:eastAsia="宋体"/>
              </w:rPr>
              <w:t>根据《国家危险废物名录》（</w:t>
            </w:r>
            <w:r>
              <w:rPr>
                <w:rFonts w:eastAsia="宋体"/>
              </w:rPr>
              <w:t>202</w:t>
            </w:r>
            <w:r>
              <w:rPr>
                <w:rFonts w:hint="eastAsia" w:eastAsia="宋体"/>
              </w:rPr>
              <w:t>5年版），废包装桶属于危险废物（</w:t>
            </w:r>
            <w:r>
              <w:rPr>
                <w:rFonts w:eastAsia="宋体"/>
              </w:rPr>
              <w:t>HW49</w:t>
            </w:r>
            <w:r>
              <w:rPr>
                <w:rFonts w:hint="eastAsia" w:eastAsia="宋体"/>
              </w:rPr>
              <w:t>其他废物，危废代码为</w:t>
            </w:r>
            <w:r>
              <w:rPr>
                <w:rFonts w:eastAsia="宋体"/>
              </w:rPr>
              <w:t>900-041-49</w:t>
            </w:r>
            <w:r>
              <w:rPr>
                <w:rFonts w:hint="eastAsia" w:eastAsia="宋体"/>
              </w:rPr>
              <w:t>）。本项目将废包装桶分类收集后暂存于危废暂存间，定期交由有资质单位处理。</w:t>
            </w:r>
          </w:p>
          <w:p w14:paraId="17B3E516">
            <w:pPr>
              <w:pStyle w:val="156"/>
              <w:ind w:firstLine="480"/>
            </w:pPr>
            <w:r>
              <w:rPr>
                <w:rFonts w:hint="eastAsia" w:eastAsia="宋体"/>
              </w:rPr>
              <w:t>③</w:t>
            </w:r>
            <w:r>
              <w:rPr>
                <w:rFonts w:hint="eastAsia"/>
              </w:rPr>
              <w:t>废抹布、手套</w:t>
            </w:r>
          </w:p>
          <w:p w14:paraId="6BE76DCA">
            <w:pPr>
              <w:pStyle w:val="156"/>
              <w:ind w:firstLine="480"/>
            </w:pPr>
            <w:r>
              <w:rPr>
                <w:rFonts w:hint="eastAsia"/>
              </w:rPr>
              <w:t>本项目需要用废抹布对浇注机头进行清洗，设备维修会产生废抹布、手套，产生量约为</w:t>
            </w:r>
            <w:r>
              <w:t>0.</w:t>
            </w:r>
            <w:r>
              <w:rPr>
                <w:rFonts w:hint="eastAsia"/>
              </w:rPr>
              <w:t>06</w:t>
            </w:r>
            <w:r>
              <w:t>t/a</w:t>
            </w:r>
            <w:r>
              <w:rPr>
                <w:rFonts w:hint="eastAsia"/>
              </w:rPr>
              <w:t>。</w:t>
            </w:r>
          </w:p>
          <w:p w14:paraId="761BA0DD">
            <w:pPr>
              <w:pStyle w:val="156"/>
              <w:ind w:firstLine="480"/>
            </w:pPr>
            <w:r>
              <w:rPr>
                <w:rFonts w:hint="eastAsia"/>
              </w:rPr>
              <w:t>根据《国家危险废物名录》（</w:t>
            </w:r>
            <w:r>
              <w:t>202</w:t>
            </w:r>
            <w:r>
              <w:rPr>
                <w:rFonts w:hint="eastAsia"/>
              </w:rPr>
              <w:t>5年版），废抹布、手套属于危险废物（</w:t>
            </w:r>
            <w:r>
              <w:t>HW49</w:t>
            </w:r>
            <w:r>
              <w:rPr>
                <w:rFonts w:hint="eastAsia"/>
              </w:rPr>
              <w:t>其他废物，危废代码</w:t>
            </w:r>
            <w:r>
              <w:t>900-041-49</w:t>
            </w:r>
            <w:r>
              <w:rPr>
                <w:rFonts w:hint="eastAsia"/>
              </w:rPr>
              <w:t>）。废抹布收集后暂存于危废暂存间，定期交由有资质单位处理。</w:t>
            </w:r>
          </w:p>
          <w:p w14:paraId="01545D35">
            <w:pPr>
              <w:pStyle w:val="156"/>
              <w:ind w:firstLine="480"/>
              <w:rPr>
                <w:rFonts w:eastAsia="宋体" w:cs="Times New Roman"/>
              </w:rPr>
            </w:pPr>
            <w:r>
              <w:rPr>
                <w:rFonts w:hint="eastAsia" w:eastAsia="宋体" w:cs="宋体"/>
              </w:rPr>
              <w:t>④</w:t>
            </w:r>
            <w:r>
              <w:rPr>
                <w:rFonts w:eastAsia="宋体" w:cs="Times New Roman"/>
              </w:rPr>
              <w:t>废润滑油</w:t>
            </w:r>
          </w:p>
          <w:p w14:paraId="5AC14387">
            <w:pPr>
              <w:pStyle w:val="156"/>
              <w:ind w:firstLine="480"/>
              <w:rPr>
                <w:rFonts w:eastAsia="宋体" w:cs="Times New Roman"/>
              </w:rPr>
            </w:pPr>
            <w:r>
              <w:rPr>
                <w:rFonts w:eastAsia="宋体" w:cs="Times New Roman"/>
              </w:rPr>
              <w:t>生产设备运行维护会产生废的润滑油（如齿轮润滑等），产生量约为0.0</w:t>
            </w:r>
            <w:r>
              <w:rPr>
                <w:rFonts w:hint="eastAsia" w:eastAsia="宋体" w:cs="Times New Roman"/>
              </w:rPr>
              <w:t>6</w:t>
            </w:r>
            <w:r>
              <w:rPr>
                <w:rFonts w:eastAsia="宋体" w:cs="Times New Roman"/>
              </w:rPr>
              <w:t>t/a。根据《国家危险废物名录》（202</w:t>
            </w:r>
            <w:r>
              <w:rPr>
                <w:rFonts w:hint="eastAsia" w:eastAsia="宋体" w:cs="Times New Roman"/>
              </w:rPr>
              <w:t>5</w:t>
            </w:r>
            <w:r>
              <w:rPr>
                <w:rFonts w:eastAsia="宋体" w:cs="Times New Roman"/>
              </w:rPr>
              <w:t>年版），废润滑油属于危险废物（HW08废矿物油，危废代码900-217-08）。废润滑油收集后暂存于危废暂存间，定期交由有资质单位处理。</w:t>
            </w:r>
          </w:p>
          <w:p w14:paraId="2E78EDF1">
            <w:pPr>
              <w:pStyle w:val="156"/>
              <w:ind w:firstLine="480"/>
              <w:rPr>
                <w:rFonts w:eastAsia="宋体" w:cs="Times New Roman"/>
              </w:rPr>
            </w:pPr>
            <w:r>
              <w:rPr>
                <w:rFonts w:hint="eastAsia"/>
              </w:rPr>
              <w:t>⑤</w:t>
            </w:r>
            <w:r>
              <w:rPr>
                <w:rFonts w:eastAsia="宋体" w:cs="Times New Roman"/>
              </w:rPr>
              <w:t>废液压油</w:t>
            </w:r>
          </w:p>
          <w:p w14:paraId="6492F2C3">
            <w:pPr>
              <w:pStyle w:val="156"/>
              <w:ind w:firstLine="480"/>
              <w:rPr>
                <w:rFonts w:eastAsia="宋体" w:cs="Times New Roman"/>
              </w:rPr>
            </w:pPr>
            <w:r>
              <w:rPr>
                <w:rFonts w:eastAsia="宋体" w:cs="Times New Roman"/>
              </w:rPr>
              <w:t>项目液压设备维修维护过程会产生废液压油，产生量约为0.0</w:t>
            </w:r>
            <w:r>
              <w:rPr>
                <w:rFonts w:hint="eastAsia" w:eastAsia="宋体" w:cs="Times New Roman"/>
              </w:rPr>
              <w:t>5</w:t>
            </w:r>
            <w:r>
              <w:rPr>
                <w:rFonts w:eastAsia="宋体" w:cs="Times New Roman"/>
              </w:rPr>
              <w:t>t/a。</w:t>
            </w:r>
          </w:p>
          <w:p w14:paraId="1EFF3634">
            <w:pPr>
              <w:pStyle w:val="156"/>
              <w:ind w:firstLine="480"/>
              <w:rPr>
                <w:rFonts w:eastAsia="宋体" w:cs="Times New Roman"/>
              </w:rPr>
            </w:pPr>
            <w:r>
              <w:rPr>
                <w:rFonts w:eastAsia="宋体" w:cs="Times New Roman"/>
              </w:rPr>
              <w:t>根据《国家危险废物名录》（202</w:t>
            </w:r>
            <w:r>
              <w:rPr>
                <w:rFonts w:hint="eastAsia" w:eastAsia="宋体" w:cs="Times New Roman"/>
              </w:rPr>
              <w:t>5</w:t>
            </w:r>
            <w:r>
              <w:rPr>
                <w:rFonts w:eastAsia="宋体" w:cs="Times New Roman"/>
              </w:rPr>
              <w:t>年版），废液压油属于危险废物（HW08废矿物油，危废代码900-218-08）。废液压油收集后暂存于危废暂存间，定期交由有资质单位处理。</w:t>
            </w:r>
          </w:p>
          <w:p w14:paraId="530ED79B">
            <w:pPr>
              <w:pStyle w:val="182"/>
              <w:ind w:firstLine="480"/>
            </w:pPr>
          </w:p>
          <w:p w14:paraId="632DCC9C">
            <w:pPr>
              <w:pStyle w:val="182"/>
              <w:ind w:firstLine="480"/>
            </w:pPr>
          </w:p>
          <w:p w14:paraId="11660B32">
            <w:pPr>
              <w:pStyle w:val="182"/>
              <w:ind w:firstLine="480"/>
            </w:pPr>
          </w:p>
          <w:p w14:paraId="5C159861">
            <w:pPr>
              <w:pStyle w:val="182"/>
              <w:ind w:firstLine="480"/>
            </w:pPr>
          </w:p>
          <w:p w14:paraId="6F678B0D">
            <w:pPr>
              <w:pStyle w:val="182"/>
              <w:ind w:firstLine="480"/>
            </w:pPr>
          </w:p>
          <w:p w14:paraId="3EB22A4C">
            <w:pPr>
              <w:pStyle w:val="182"/>
              <w:ind w:firstLine="480"/>
            </w:pPr>
          </w:p>
          <w:p w14:paraId="56180E20">
            <w:pPr>
              <w:pStyle w:val="182"/>
              <w:ind w:firstLine="480"/>
            </w:pPr>
          </w:p>
          <w:p w14:paraId="5D942112">
            <w:pPr>
              <w:pStyle w:val="182"/>
              <w:ind w:firstLine="480"/>
            </w:pPr>
          </w:p>
          <w:p w14:paraId="19C97276">
            <w:pPr>
              <w:pStyle w:val="182"/>
              <w:ind w:firstLine="480"/>
            </w:pPr>
          </w:p>
          <w:p w14:paraId="07D1C6C7">
            <w:pPr>
              <w:pStyle w:val="182"/>
              <w:ind w:firstLine="480"/>
            </w:pPr>
          </w:p>
          <w:p w14:paraId="31CA7423">
            <w:pPr>
              <w:pStyle w:val="182"/>
              <w:ind w:firstLine="480"/>
            </w:pPr>
          </w:p>
          <w:p w14:paraId="281571DC">
            <w:pPr>
              <w:pStyle w:val="182"/>
              <w:ind w:firstLine="480"/>
            </w:pPr>
            <w:r>
              <w:t>表4-1</w:t>
            </w:r>
            <w:r>
              <w:rPr>
                <w:rFonts w:hint="eastAsia"/>
              </w:rPr>
              <w:t>9</w:t>
            </w:r>
            <w:r>
              <w:t xml:space="preserve">           本项目固体废物产排情况一览表</w:t>
            </w:r>
          </w:p>
          <w:tbl>
            <w:tblPr>
              <w:tblStyle w:val="8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72"/>
              <w:gridCol w:w="815"/>
              <w:gridCol w:w="588"/>
              <w:gridCol w:w="1290"/>
              <w:gridCol w:w="1116"/>
              <w:gridCol w:w="590"/>
              <w:gridCol w:w="602"/>
              <w:gridCol w:w="1106"/>
              <w:gridCol w:w="588"/>
              <w:gridCol w:w="1166"/>
            </w:tblGrid>
            <w:tr w14:paraId="04DA67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92" w:hRule="atLeast"/>
                <w:jc w:val="center"/>
              </w:trPr>
              <w:tc>
                <w:tcPr>
                  <w:tcW w:w="972" w:type="dxa"/>
                  <w:tcBorders>
                    <w:bottom w:val="single" w:color="000000" w:sz="6" w:space="0"/>
                  </w:tcBorders>
                  <w:vAlign w:val="center"/>
                </w:tcPr>
                <w:p w14:paraId="3715EFD8">
                  <w:pPr>
                    <w:pStyle w:val="154"/>
                    <w:rPr>
                      <w:sz w:val="21"/>
                      <w:szCs w:val="21"/>
                    </w:rPr>
                  </w:pPr>
                  <w:r>
                    <w:rPr>
                      <w:sz w:val="21"/>
                      <w:szCs w:val="21"/>
                    </w:rPr>
                    <w:t>产生</w:t>
                  </w:r>
                </w:p>
                <w:p w14:paraId="036E635E">
                  <w:pPr>
                    <w:pStyle w:val="154"/>
                    <w:rPr>
                      <w:sz w:val="21"/>
                      <w:szCs w:val="21"/>
                    </w:rPr>
                  </w:pPr>
                  <w:r>
                    <w:rPr>
                      <w:sz w:val="21"/>
                      <w:szCs w:val="21"/>
                    </w:rPr>
                    <w:t>环节</w:t>
                  </w:r>
                </w:p>
              </w:tc>
              <w:tc>
                <w:tcPr>
                  <w:tcW w:w="815" w:type="dxa"/>
                  <w:vAlign w:val="center"/>
                </w:tcPr>
                <w:p w14:paraId="34FDCF9F">
                  <w:pPr>
                    <w:pStyle w:val="154"/>
                    <w:rPr>
                      <w:sz w:val="21"/>
                      <w:szCs w:val="21"/>
                    </w:rPr>
                  </w:pPr>
                  <w:r>
                    <w:rPr>
                      <w:sz w:val="21"/>
                      <w:szCs w:val="21"/>
                    </w:rPr>
                    <w:t>名称</w:t>
                  </w:r>
                </w:p>
              </w:tc>
              <w:tc>
                <w:tcPr>
                  <w:tcW w:w="588" w:type="dxa"/>
                  <w:vAlign w:val="center"/>
                </w:tcPr>
                <w:p w14:paraId="19B29E66">
                  <w:pPr>
                    <w:pStyle w:val="154"/>
                    <w:rPr>
                      <w:sz w:val="21"/>
                      <w:szCs w:val="21"/>
                    </w:rPr>
                  </w:pPr>
                  <w:r>
                    <w:rPr>
                      <w:sz w:val="21"/>
                      <w:szCs w:val="21"/>
                    </w:rPr>
                    <w:t>属性</w:t>
                  </w:r>
                </w:p>
              </w:tc>
              <w:tc>
                <w:tcPr>
                  <w:tcW w:w="1290" w:type="dxa"/>
                  <w:tcBorders>
                    <w:right w:val="single" w:color="auto" w:sz="6" w:space="0"/>
                  </w:tcBorders>
                  <w:vAlign w:val="center"/>
                </w:tcPr>
                <w:p w14:paraId="57B8B25D">
                  <w:pPr>
                    <w:pStyle w:val="154"/>
                    <w:rPr>
                      <w:sz w:val="21"/>
                      <w:szCs w:val="21"/>
                    </w:rPr>
                  </w:pPr>
                  <w:r>
                    <w:rPr>
                      <w:sz w:val="21"/>
                      <w:szCs w:val="21"/>
                    </w:rPr>
                    <w:t>代码</w:t>
                  </w:r>
                </w:p>
              </w:tc>
              <w:tc>
                <w:tcPr>
                  <w:tcW w:w="1116" w:type="dxa"/>
                  <w:tcBorders>
                    <w:left w:val="single" w:color="auto" w:sz="6" w:space="0"/>
                  </w:tcBorders>
                  <w:vAlign w:val="center"/>
                </w:tcPr>
                <w:p w14:paraId="235691DD">
                  <w:pPr>
                    <w:pStyle w:val="154"/>
                    <w:rPr>
                      <w:sz w:val="21"/>
                      <w:szCs w:val="21"/>
                    </w:rPr>
                  </w:pPr>
                  <w:r>
                    <w:rPr>
                      <w:sz w:val="21"/>
                      <w:szCs w:val="21"/>
                    </w:rPr>
                    <w:t>主要有毒有害物质名称</w:t>
                  </w:r>
                </w:p>
              </w:tc>
              <w:tc>
                <w:tcPr>
                  <w:tcW w:w="590" w:type="dxa"/>
                  <w:vAlign w:val="center"/>
                </w:tcPr>
                <w:p w14:paraId="307843DE">
                  <w:pPr>
                    <w:pStyle w:val="154"/>
                    <w:rPr>
                      <w:sz w:val="21"/>
                      <w:szCs w:val="21"/>
                    </w:rPr>
                  </w:pPr>
                  <w:r>
                    <w:rPr>
                      <w:sz w:val="21"/>
                      <w:szCs w:val="21"/>
                    </w:rPr>
                    <w:t>物理</w:t>
                  </w:r>
                </w:p>
                <w:p w14:paraId="39C65FCA">
                  <w:pPr>
                    <w:pStyle w:val="154"/>
                    <w:rPr>
                      <w:sz w:val="21"/>
                      <w:szCs w:val="21"/>
                    </w:rPr>
                  </w:pPr>
                  <w:r>
                    <w:rPr>
                      <w:sz w:val="21"/>
                      <w:szCs w:val="21"/>
                    </w:rPr>
                    <w:t>性状</w:t>
                  </w:r>
                </w:p>
              </w:tc>
              <w:tc>
                <w:tcPr>
                  <w:tcW w:w="602" w:type="dxa"/>
                  <w:vAlign w:val="center"/>
                </w:tcPr>
                <w:p w14:paraId="0051F7CB">
                  <w:pPr>
                    <w:pStyle w:val="154"/>
                    <w:rPr>
                      <w:sz w:val="21"/>
                      <w:szCs w:val="21"/>
                    </w:rPr>
                  </w:pPr>
                  <w:r>
                    <w:rPr>
                      <w:sz w:val="21"/>
                      <w:szCs w:val="21"/>
                    </w:rPr>
                    <w:t>环境危险特性</w:t>
                  </w:r>
                </w:p>
              </w:tc>
              <w:tc>
                <w:tcPr>
                  <w:tcW w:w="1106" w:type="dxa"/>
                  <w:vAlign w:val="center"/>
                </w:tcPr>
                <w:p w14:paraId="3E105BA3">
                  <w:pPr>
                    <w:pStyle w:val="154"/>
                    <w:rPr>
                      <w:sz w:val="21"/>
                      <w:szCs w:val="21"/>
                    </w:rPr>
                  </w:pPr>
                  <w:r>
                    <w:rPr>
                      <w:sz w:val="21"/>
                      <w:szCs w:val="21"/>
                    </w:rPr>
                    <w:t>产生量</w:t>
                  </w:r>
                </w:p>
              </w:tc>
              <w:tc>
                <w:tcPr>
                  <w:tcW w:w="588" w:type="dxa"/>
                  <w:tcBorders>
                    <w:bottom w:val="single" w:color="auto" w:sz="6" w:space="0"/>
                  </w:tcBorders>
                  <w:vAlign w:val="center"/>
                </w:tcPr>
                <w:p w14:paraId="20070581">
                  <w:pPr>
                    <w:pStyle w:val="154"/>
                    <w:rPr>
                      <w:sz w:val="21"/>
                      <w:szCs w:val="21"/>
                    </w:rPr>
                  </w:pPr>
                  <w:r>
                    <w:rPr>
                      <w:sz w:val="21"/>
                      <w:szCs w:val="21"/>
                    </w:rPr>
                    <w:t>贮存</w:t>
                  </w:r>
                </w:p>
                <w:p w14:paraId="15A0C411">
                  <w:pPr>
                    <w:pStyle w:val="154"/>
                    <w:rPr>
                      <w:sz w:val="21"/>
                      <w:szCs w:val="21"/>
                    </w:rPr>
                  </w:pPr>
                  <w:r>
                    <w:rPr>
                      <w:sz w:val="21"/>
                      <w:szCs w:val="21"/>
                    </w:rPr>
                    <w:t>方式</w:t>
                  </w:r>
                </w:p>
              </w:tc>
              <w:tc>
                <w:tcPr>
                  <w:tcW w:w="1166" w:type="dxa"/>
                  <w:tcBorders>
                    <w:bottom w:val="single" w:color="auto" w:sz="6" w:space="0"/>
                  </w:tcBorders>
                  <w:vAlign w:val="center"/>
                </w:tcPr>
                <w:p w14:paraId="7D6D6418">
                  <w:pPr>
                    <w:pStyle w:val="154"/>
                    <w:rPr>
                      <w:sz w:val="21"/>
                      <w:szCs w:val="21"/>
                    </w:rPr>
                  </w:pPr>
                  <w:r>
                    <w:rPr>
                      <w:sz w:val="21"/>
                      <w:szCs w:val="21"/>
                    </w:rPr>
                    <w:t>利用处置方式和去向</w:t>
                  </w:r>
                </w:p>
              </w:tc>
            </w:tr>
            <w:tr w14:paraId="4CA546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36" w:hRule="atLeast"/>
                <w:jc w:val="center"/>
              </w:trPr>
              <w:tc>
                <w:tcPr>
                  <w:tcW w:w="972" w:type="dxa"/>
                  <w:vMerge w:val="restart"/>
                  <w:tcBorders>
                    <w:top w:val="single" w:color="000000" w:sz="6" w:space="0"/>
                    <w:bottom w:val="single" w:color="000000" w:sz="6" w:space="0"/>
                  </w:tcBorders>
                  <w:vAlign w:val="center"/>
                </w:tcPr>
                <w:p w14:paraId="3AEB4831">
                  <w:pPr>
                    <w:pStyle w:val="154"/>
                    <w:rPr>
                      <w:sz w:val="21"/>
                      <w:szCs w:val="21"/>
                    </w:rPr>
                  </w:pPr>
                  <w:r>
                    <w:rPr>
                      <w:sz w:val="21"/>
                      <w:szCs w:val="21"/>
                    </w:rPr>
                    <w:t>原料拆包</w:t>
                  </w:r>
                </w:p>
              </w:tc>
              <w:tc>
                <w:tcPr>
                  <w:tcW w:w="815" w:type="dxa"/>
                  <w:tcBorders>
                    <w:bottom w:val="single" w:color="auto" w:sz="6" w:space="0"/>
                  </w:tcBorders>
                  <w:vAlign w:val="center"/>
                </w:tcPr>
                <w:p w14:paraId="3D4B6107">
                  <w:pPr>
                    <w:pStyle w:val="154"/>
                    <w:rPr>
                      <w:sz w:val="21"/>
                      <w:szCs w:val="21"/>
                    </w:rPr>
                  </w:pPr>
                  <w:r>
                    <w:rPr>
                      <w:sz w:val="21"/>
                      <w:szCs w:val="21"/>
                    </w:rPr>
                    <w:t>废包装材料</w:t>
                  </w:r>
                </w:p>
              </w:tc>
              <w:tc>
                <w:tcPr>
                  <w:tcW w:w="588" w:type="dxa"/>
                  <w:tcBorders>
                    <w:bottom w:val="single" w:color="auto" w:sz="6" w:space="0"/>
                  </w:tcBorders>
                  <w:vAlign w:val="center"/>
                </w:tcPr>
                <w:p w14:paraId="61A6B5F4">
                  <w:pPr>
                    <w:pStyle w:val="154"/>
                    <w:rPr>
                      <w:sz w:val="21"/>
                      <w:szCs w:val="21"/>
                    </w:rPr>
                  </w:pPr>
                  <w:r>
                    <w:rPr>
                      <w:sz w:val="21"/>
                      <w:szCs w:val="21"/>
                    </w:rPr>
                    <w:t>一般固废</w:t>
                  </w:r>
                </w:p>
              </w:tc>
              <w:tc>
                <w:tcPr>
                  <w:tcW w:w="1290" w:type="dxa"/>
                  <w:tcBorders>
                    <w:bottom w:val="single" w:color="auto" w:sz="6" w:space="0"/>
                    <w:right w:val="single" w:color="auto" w:sz="6" w:space="0"/>
                  </w:tcBorders>
                  <w:vAlign w:val="center"/>
                </w:tcPr>
                <w:p w14:paraId="4E4BAC67">
                  <w:pPr>
                    <w:pStyle w:val="154"/>
                    <w:rPr>
                      <w:sz w:val="21"/>
                      <w:szCs w:val="21"/>
                    </w:rPr>
                  </w:pPr>
                  <w:r>
                    <w:rPr>
                      <w:sz w:val="21"/>
                      <w:szCs w:val="21"/>
                    </w:rPr>
                    <w:t>900-003-S17</w:t>
                  </w:r>
                </w:p>
              </w:tc>
              <w:tc>
                <w:tcPr>
                  <w:tcW w:w="1116" w:type="dxa"/>
                  <w:tcBorders>
                    <w:left w:val="single" w:color="auto" w:sz="6" w:space="0"/>
                    <w:bottom w:val="single" w:color="auto" w:sz="6" w:space="0"/>
                  </w:tcBorders>
                  <w:vAlign w:val="center"/>
                </w:tcPr>
                <w:p w14:paraId="4D6DD10A">
                  <w:pPr>
                    <w:pStyle w:val="154"/>
                    <w:rPr>
                      <w:sz w:val="21"/>
                      <w:szCs w:val="21"/>
                    </w:rPr>
                  </w:pPr>
                  <w:r>
                    <w:rPr>
                      <w:sz w:val="21"/>
                      <w:szCs w:val="21"/>
                    </w:rPr>
                    <w:t>/</w:t>
                  </w:r>
                </w:p>
              </w:tc>
              <w:tc>
                <w:tcPr>
                  <w:tcW w:w="590" w:type="dxa"/>
                  <w:tcBorders>
                    <w:bottom w:val="single" w:color="auto" w:sz="6" w:space="0"/>
                  </w:tcBorders>
                  <w:vAlign w:val="center"/>
                </w:tcPr>
                <w:p w14:paraId="2DAECC9F">
                  <w:pPr>
                    <w:pStyle w:val="154"/>
                    <w:rPr>
                      <w:sz w:val="21"/>
                      <w:szCs w:val="21"/>
                    </w:rPr>
                  </w:pPr>
                  <w:r>
                    <w:rPr>
                      <w:sz w:val="21"/>
                      <w:szCs w:val="21"/>
                    </w:rPr>
                    <w:t>固态</w:t>
                  </w:r>
                </w:p>
              </w:tc>
              <w:tc>
                <w:tcPr>
                  <w:tcW w:w="602" w:type="dxa"/>
                  <w:tcBorders>
                    <w:bottom w:val="single" w:color="auto" w:sz="6" w:space="0"/>
                  </w:tcBorders>
                  <w:vAlign w:val="center"/>
                </w:tcPr>
                <w:p w14:paraId="4377D41A">
                  <w:pPr>
                    <w:pStyle w:val="154"/>
                    <w:rPr>
                      <w:sz w:val="21"/>
                      <w:szCs w:val="21"/>
                    </w:rPr>
                  </w:pPr>
                  <w:r>
                    <w:rPr>
                      <w:sz w:val="21"/>
                      <w:szCs w:val="21"/>
                    </w:rPr>
                    <w:t>/</w:t>
                  </w:r>
                </w:p>
              </w:tc>
              <w:tc>
                <w:tcPr>
                  <w:tcW w:w="1106" w:type="dxa"/>
                  <w:tcBorders>
                    <w:bottom w:val="single" w:color="auto" w:sz="6" w:space="0"/>
                  </w:tcBorders>
                  <w:vAlign w:val="center"/>
                </w:tcPr>
                <w:p w14:paraId="14280307">
                  <w:pPr>
                    <w:pStyle w:val="154"/>
                    <w:rPr>
                      <w:sz w:val="21"/>
                      <w:szCs w:val="21"/>
                    </w:rPr>
                  </w:pPr>
                  <w:r>
                    <w:rPr>
                      <w:sz w:val="21"/>
                      <w:szCs w:val="21"/>
                    </w:rPr>
                    <w:t>0.</w:t>
                  </w:r>
                  <w:r>
                    <w:rPr>
                      <w:rFonts w:hint="eastAsia"/>
                      <w:sz w:val="21"/>
                      <w:szCs w:val="21"/>
                    </w:rPr>
                    <w:t>688</w:t>
                  </w:r>
                  <w:r>
                    <w:rPr>
                      <w:sz w:val="21"/>
                      <w:szCs w:val="21"/>
                    </w:rPr>
                    <w:t>t/a</w:t>
                  </w:r>
                </w:p>
              </w:tc>
              <w:tc>
                <w:tcPr>
                  <w:tcW w:w="588" w:type="dxa"/>
                  <w:tcBorders>
                    <w:bottom w:val="single" w:color="auto" w:sz="6" w:space="0"/>
                  </w:tcBorders>
                  <w:vAlign w:val="center"/>
                </w:tcPr>
                <w:p w14:paraId="116A6773">
                  <w:pPr>
                    <w:pStyle w:val="154"/>
                    <w:rPr>
                      <w:sz w:val="21"/>
                      <w:szCs w:val="21"/>
                    </w:rPr>
                  </w:pPr>
                  <w:r>
                    <w:rPr>
                      <w:sz w:val="21"/>
                      <w:szCs w:val="21"/>
                    </w:rPr>
                    <w:t>/</w:t>
                  </w:r>
                </w:p>
              </w:tc>
              <w:tc>
                <w:tcPr>
                  <w:tcW w:w="1166" w:type="dxa"/>
                  <w:vMerge w:val="restart"/>
                  <w:tcBorders>
                    <w:top w:val="single" w:color="auto" w:sz="4" w:space="0"/>
                  </w:tcBorders>
                  <w:vAlign w:val="center"/>
                </w:tcPr>
                <w:p w14:paraId="5DF328EE">
                  <w:pPr>
                    <w:pStyle w:val="154"/>
                    <w:jc w:val="left"/>
                    <w:rPr>
                      <w:sz w:val="21"/>
                      <w:szCs w:val="21"/>
                    </w:rPr>
                  </w:pPr>
                  <w:r>
                    <w:rPr>
                      <w:sz w:val="21"/>
                      <w:szCs w:val="21"/>
                    </w:rPr>
                    <w:t>暂存于一般固废暂存区，定期外售回收单位。</w:t>
                  </w:r>
                </w:p>
              </w:tc>
            </w:tr>
            <w:tr w14:paraId="0F6A6B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082" w:hRule="atLeast"/>
                <w:jc w:val="center"/>
              </w:trPr>
              <w:tc>
                <w:tcPr>
                  <w:tcW w:w="972" w:type="dxa"/>
                  <w:vMerge w:val="continue"/>
                  <w:tcBorders>
                    <w:top w:val="single" w:color="000000" w:sz="6" w:space="0"/>
                    <w:bottom w:val="single" w:color="000000" w:sz="6" w:space="0"/>
                  </w:tcBorders>
                  <w:vAlign w:val="center"/>
                </w:tcPr>
                <w:p w14:paraId="696321BB">
                  <w:pPr>
                    <w:pStyle w:val="154"/>
                    <w:rPr>
                      <w:sz w:val="21"/>
                      <w:szCs w:val="21"/>
                    </w:rPr>
                  </w:pPr>
                </w:p>
              </w:tc>
              <w:tc>
                <w:tcPr>
                  <w:tcW w:w="815" w:type="dxa"/>
                  <w:tcBorders>
                    <w:top w:val="single" w:color="auto" w:sz="6" w:space="0"/>
                    <w:bottom w:val="single" w:color="000000" w:sz="6" w:space="0"/>
                  </w:tcBorders>
                  <w:vAlign w:val="center"/>
                </w:tcPr>
                <w:p w14:paraId="041DC6C4">
                  <w:pPr>
                    <w:pStyle w:val="154"/>
                    <w:spacing w:line="400" w:lineRule="exact"/>
                    <w:rPr>
                      <w:sz w:val="21"/>
                      <w:szCs w:val="21"/>
                    </w:rPr>
                  </w:pPr>
                  <w:r>
                    <w:rPr>
                      <w:rFonts w:hint="eastAsia"/>
                      <w:sz w:val="21"/>
                      <w:szCs w:val="21"/>
                    </w:rPr>
                    <w:t>废包装桶（A料、C料）</w:t>
                  </w:r>
                </w:p>
              </w:tc>
              <w:tc>
                <w:tcPr>
                  <w:tcW w:w="588" w:type="dxa"/>
                  <w:tcBorders>
                    <w:top w:val="single" w:color="auto" w:sz="6" w:space="0"/>
                    <w:bottom w:val="single" w:color="000000" w:sz="6" w:space="0"/>
                  </w:tcBorders>
                  <w:vAlign w:val="center"/>
                </w:tcPr>
                <w:p w14:paraId="040FD4CC">
                  <w:pPr>
                    <w:pStyle w:val="154"/>
                    <w:spacing w:line="400" w:lineRule="exact"/>
                    <w:rPr>
                      <w:sz w:val="21"/>
                      <w:szCs w:val="21"/>
                    </w:rPr>
                  </w:pPr>
                  <w:r>
                    <w:rPr>
                      <w:rFonts w:hint="eastAsia"/>
                      <w:sz w:val="21"/>
                      <w:szCs w:val="21"/>
                    </w:rPr>
                    <w:t>一般固废</w:t>
                  </w:r>
                </w:p>
              </w:tc>
              <w:tc>
                <w:tcPr>
                  <w:tcW w:w="1290" w:type="dxa"/>
                  <w:tcBorders>
                    <w:top w:val="single" w:color="auto" w:sz="6" w:space="0"/>
                    <w:bottom w:val="single" w:color="000000" w:sz="6" w:space="0"/>
                    <w:right w:val="single" w:color="auto" w:sz="6" w:space="0"/>
                  </w:tcBorders>
                  <w:vAlign w:val="center"/>
                </w:tcPr>
                <w:p w14:paraId="7BB82722">
                  <w:pPr>
                    <w:pStyle w:val="154"/>
                    <w:spacing w:line="400" w:lineRule="exact"/>
                    <w:rPr>
                      <w:bCs/>
                      <w:sz w:val="21"/>
                      <w:szCs w:val="21"/>
                    </w:rPr>
                  </w:pPr>
                  <w:r>
                    <w:rPr>
                      <w:rFonts w:hint="eastAsia"/>
                      <w:bCs/>
                      <w:sz w:val="21"/>
                      <w:szCs w:val="21"/>
                    </w:rPr>
                    <w:t>900-003-S17</w:t>
                  </w:r>
                </w:p>
              </w:tc>
              <w:tc>
                <w:tcPr>
                  <w:tcW w:w="1116" w:type="dxa"/>
                  <w:tcBorders>
                    <w:top w:val="single" w:color="auto" w:sz="6" w:space="0"/>
                    <w:left w:val="single" w:color="auto" w:sz="6" w:space="0"/>
                    <w:bottom w:val="single" w:color="000000" w:sz="6" w:space="0"/>
                  </w:tcBorders>
                  <w:vAlign w:val="center"/>
                </w:tcPr>
                <w:p w14:paraId="38ABA305">
                  <w:pPr>
                    <w:pStyle w:val="154"/>
                    <w:rPr>
                      <w:sz w:val="21"/>
                      <w:szCs w:val="21"/>
                    </w:rPr>
                  </w:pPr>
                  <w:r>
                    <w:rPr>
                      <w:rFonts w:hint="eastAsia"/>
                      <w:sz w:val="21"/>
                      <w:szCs w:val="21"/>
                    </w:rPr>
                    <w:t>/</w:t>
                  </w:r>
                </w:p>
              </w:tc>
              <w:tc>
                <w:tcPr>
                  <w:tcW w:w="590" w:type="dxa"/>
                  <w:tcBorders>
                    <w:top w:val="single" w:color="auto" w:sz="6" w:space="0"/>
                    <w:bottom w:val="single" w:color="000000" w:sz="6" w:space="0"/>
                  </w:tcBorders>
                  <w:vAlign w:val="center"/>
                </w:tcPr>
                <w:p w14:paraId="24C385FD">
                  <w:pPr>
                    <w:pStyle w:val="154"/>
                    <w:rPr>
                      <w:sz w:val="21"/>
                      <w:szCs w:val="21"/>
                    </w:rPr>
                  </w:pPr>
                  <w:r>
                    <w:rPr>
                      <w:rFonts w:hint="eastAsia"/>
                      <w:sz w:val="21"/>
                      <w:szCs w:val="21"/>
                    </w:rPr>
                    <w:t>固态</w:t>
                  </w:r>
                </w:p>
              </w:tc>
              <w:tc>
                <w:tcPr>
                  <w:tcW w:w="602" w:type="dxa"/>
                  <w:tcBorders>
                    <w:top w:val="single" w:color="auto" w:sz="6" w:space="0"/>
                    <w:bottom w:val="single" w:color="000000" w:sz="6" w:space="0"/>
                  </w:tcBorders>
                  <w:vAlign w:val="center"/>
                </w:tcPr>
                <w:p w14:paraId="53C52B3C">
                  <w:pPr>
                    <w:pStyle w:val="154"/>
                    <w:rPr>
                      <w:sz w:val="21"/>
                      <w:szCs w:val="21"/>
                    </w:rPr>
                  </w:pPr>
                </w:p>
              </w:tc>
              <w:tc>
                <w:tcPr>
                  <w:tcW w:w="1106" w:type="dxa"/>
                  <w:tcBorders>
                    <w:top w:val="single" w:color="auto" w:sz="6" w:space="0"/>
                    <w:bottom w:val="single" w:color="auto" w:sz="6" w:space="0"/>
                  </w:tcBorders>
                  <w:vAlign w:val="center"/>
                </w:tcPr>
                <w:p w14:paraId="6B6EAB1A">
                  <w:pPr>
                    <w:pStyle w:val="154"/>
                    <w:rPr>
                      <w:sz w:val="21"/>
                      <w:szCs w:val="21"/>
                    </w:rPr>
                  </w:pPr>
                  <w:r>
                    <w:rPr>
                      <w:rFonts w:hint="eastAsia"/>
                      <w:sz w:val="21"/>
                      <w:szCs w:val="21"/>
                    </w:rPr>
                    <w:t>2.55t/a</w:t>
                  </w:r>
                </w:p>
              </w:tc>
              <w:tc>
                <w:tcPr>
                  <w:tcW w:w="588" w:type="dxa"/>
                  <w:tcBorders>
                    <w:top w:val="single" w:color="auto" w:sz="6" w:space="0"/>
                    <w:bottom w:val="single" w:color="auto" w:sz="6" w:space="0"/>
                  </w:tcBorders>
                  <w:vAlign w:val="center"/>
                </w:tcPr>
                <w:p w14:paraId="3C76DFA6">
                  <w:pPr>
                    <w:pStyle w:val="154"/>
                    <w:rPr>
                      <w:sz w:val="21"/>
                      <w:szCs w:val="21"/>
                    </w:rPr>
                  </w:pPr>
                  <w:r>
                    <w:rPr>
                      <w:rFonts w:hint="eastAsia"/>
                      <w:sz w:val="21"/>
                      <w:szCs w:val="21"/>
                    </w:rPr>
                    <w:t>托盘</w:t>
                  </w:r>
                </w:p>
              </w:tc>
              <w:tc>
                <w:tcPr>
                  <w:tcW w:w="1166" w:type="dxa"/>
                  <w:vMerge w:val="continue"/>
                  <w:vAlign w:val="center"/>
                </w:tcPr>
                <w:p w14:paraId="60963875">
                  <w:pPr>
                    <w:pStyle w:val="154"/>
                    <w:jc w:val="left"/>
                    <w:rPr>
                      <w:sz w:val="21"/>
                      <w:szCs w:val="21"/>
                    </w:rPr>
                  </w:pPr>
                </w:p>
              </w:tc>
            </w:tr>
            <w:tr w14:paraId="2D1AE8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36" w:hRule="atLeast"/>
                <w:jc w:val="center"/>
              </w:trPr>
              <w:tc>
                <w:tcPr>
                  <w:tcW w:w="972" w:type="dxa"/>
                  <w:tcBorders>
                    <w:top w:val="single" w:color="000000" w:sz="6" w:space="0"/>
                  </w:tcBorders>
                  <w:vAlign w:val="center"/>
                </w:tcPr>
                <w:p w14:paraId="27E7A2D5">
                  <w:pPr>
                    <w:pStyle w:val="154"/>
                    <w:rPr>
                      <w:sz w:val="21"/>
                      <w:szCs w:val="21"/>
                    </w:rPr>
                  </w:pPr>
                  <w:r>
                    <w:rPr>
                      <w:rFonts w:hint="eastAsia"/>
                      <w:sz w:val="21"/>
                      <w:szCs w:val="21"/>
                    </w:rPr>
                    <w:t>聚氨酯生产线布鞋修边</w:t>
                  </w:r>
                </w:p>
              </w:tc>
              <w:tc>
                <w:tcPr>
                  <w:tcW w:w="815" w:type="dxa"/>
                  <w:tcBorders>
                    <w:top w:val="single" w:color="000000" w:sz="6" w:space="0"/>
                    <w:bottom w:val="single" w:color="000000" w:sz="6" w:space="0"/>
                  </w:tcBorders>
                  <w:vAlign w:val="center"/>
                </w:tcPr>
                <w:p w14:paraId="1CF7EB04">
                  <w:pPr>
                    <w:pStyle w:val="154"/>
                    <w:rPr>
                      <w:sz w:val="21"/>
                      <w:szCs w:val="21"/>
                    </w:rPr>
                  </w:pPr>
                  <w:r>
                    <w:rPr>
                      <w:rFonts w:hint="eastAsia"/>
                      <w:sz w:val="21"/>
                      <w:szCs w:val="21"/>
                    </w:rPr>
                    <w:t>废</w:t>
                  </w:r>
                  <w:r>
                    <w:rPr>
                      <w:sz w:val="21"/>
                      <w:szCs w:val="21"/>
                    </w:rPr>
                    <w:t>PU</w:t>
                  </w:r>
                  <w:r>
                    <w:rPr>
                      <w:rFonts w:hint="eastAsia"/>
                      <w:sz w:val="21"/>
                      <w:szCs w:val="21"/>
                    </w:rPr>
                    <w:t>边角料</w:t>
                  </w:r>
                </w:p>
              </w:tc>
              <w:tc>
                <w:tcPr>
                  <w:tcW w:w="588" w:type="dxa"/>
                  <w:tcBorders>
                    <w:top w:val="single" w:color="000000" w:sz="6" w:space="0"/>
                    <w:bottom w:val="single" w:color="000000" w:sz="6" w:space="0"/>
                  </w:tcBorders>
                  <w:vAlign w:val="center"/>
                </w:tcPr>
                <w:p w14:paraId="7257A84C">
                  <w:pPr>
                    <w:pStyle w:val="154"/>
                    <w:rPr>
                      <w:sz w:val="21"/>
                      <w:szCs w:val="21"/>
                    </w:rPr>
                  </w:pPr>
                  <w:r>
                    <w:rPr>
                      <w:rFonts w:hint="eastAsia"/>
                      <w:sz w:val="21"/>
                      <w:szCs w:val="21"/>
                    </w:rPr>
                    <w:t>一般固废</w:t>
                  </w:r>
                </w:p>
              </w:tc>
              <w:tc>
                <w:tcPr>
                  <w:tcW w:w="1290" w:type="dxa"/>
                  <w:tcBorders>
                    <w:top w:val="single" w:color="000000" w:sz="6" w:space="0"/>
                    <w:bottom w:val="single" w:color="000000" w:sz="6" w:space="0"/>
                    <w:right w:val="single" w:color="auto" w:sz="6" w:space="0"/>
                  </w:tcBorders>
                  <w:vAlign w:val="center"/>
                </w:tcPr>
                <w:p w14:paraId="61CAFE70">
                  <w:pPr>
                    <w:pStyle w:val="154"/>
                    <w:rPr>
                      <w:sz w:val="21"/>
                      <w:szCs w:val="21"/>
                    </w:rPr>
                  </w:pPr>
                  <w:r>
                    <w:rPr>
                      <w:rFonts w:hint="eastAsia"/>
                      <w:sz w:val="21"/>
                      <w:szCs w:val="21"/>
                    </w:rPr>
                    <w:t>900-007-S17</w:t>
                  </w:r>
                </w:p>
              </w:tc>
              <w:tc>
                <w:tcPr>
                  <w:tcW w:w="1116" w:type="dxa"/>
                  <w:tcBorders>
                    <w:top w:val="single" w:color="000000" w:sz="6" w:space="0"/>
                    <w:left w:val="single" w:color="auto" w:sz="6" w:space="0"/>
                    <w:bottom w:val="single" w:color="000000" w:sz="6" w:space="0"/>
                  </w:tcBorders>
                  <w:vAlign w:val="center"/>
                </w:tcPr>
                <w:p w14:paraId="4810CCDC">
                  <w:pPr>
                    <w:pStyle w:val="154"/>
                    <w:rPr>
                      <w:sz w:val="21"/>
                      <w:szCs w:val="21"/>
                    </w:rPr>
                  </w:pPr>
                  <w:r>
                    <w:rPr>
                      <w:sz w:val="21"/>
                      <w:szCs w:val="21"/>
                    </w:rPr>
                    <w:t>/</w:t>
                  </w:r>
                </w:p>
              </w:tc>
              <w:tc>
                <w:tcPr>
                  <w:tcW w:w="590" w:type="dxa"/>
                  <w:tcBorders>
                    <w:top w:val="single" w:color="000000" w:sz="6" w:space="0"/>
                    <w:bottom w:val="single" w:color="000000" w:sz="6" w:space="0"/>
                  </w:tcBorders>
                  <w:vAlign w:val="center"/>
                </w:tcPr>
                <w:p w14:paraId="217D41C7">
                  <w:pPr>
                    <w:pStyle w:val="154"/>
                    <w:rPr>
                      <w:sz w:val="21"/>
                      <w:szCs w:val="21"/>
                    </w:rPr>
                  </w:pPr>
                  <w:r>
                    <w:rPr>
                      <w:rFonts w:hint="eastAsia"/>
                      <w:sz w:val="21"/>
                      <w:szCs w:val="21"/>
                    </w:rPr>
                    <w:t>固态</w:t>
                  </w:r>
                </w:p>
              </w:tc>
              <w:tc>
                <w:tcPr>
                  <w:tcW w:w="602" w:type="dxa"/>
                  <w:tcBorders>
                    <w:top w:val="single" w:color="000000" w:sz="6" w:space="0"/>
                    <w:bottom w:val="single" w:color="000000" w:sz="6" w:space="0"/>
                  </w:tcBorders>
                  <w:vAlign w:val="center"/>
                </w:tcPr>
                <w:p w14:paraId="76EFB840">
                  <w:pPr>
                    <w:pStyle w:val="154"/>
                    <w:rPr>
                      <w:sz w:val="21"/>
                      <w:szCs w:val="21"/>
                    </w:rPr>
                  </w:pPr>
                  <w:r>
                    <w:rPr>
                      <w:sz w:val="21"/>
                      <w:szCs w:val="21"/>
                    </w:rPr>
                    <w:t>/</w:t>
                  </w:r>
                </w:p>
              </w:tc>
              <w:tc>
                <w:tcPr>
                  <w:tcW w:w="1106" w:type="dxa"/>
                  <w:tcBorders>
                    <w:bottom w:val="single" w:color="000000" w:sz="6" w:space="0"/>
                  </w:tcBorders>
                  <w:vAlign w:val="center"/>
                </w:tcPr>
                <w:p w14:paraId="7CB18A14">
                  <w:pPr>
                    <w:pStyle w:val="154"/>
                    <w:rPr>
                      <w:sz w:val="21"/>
                      <w:szCs w:val="21"/>
                    </w:rPr>
                  </w:pPr>
                  <w:r>
                    <w:rPr>
                      <w:rFonts w:hint="eastAsia"/>
                      <w:sz w:val="21"/>
                      <w:szCs w:val="21"/>
                    </w:rPr>
                    <w:t>1.5</w:t>
                  </w:r>
                  <w:r>
                    <w:rPr>
                      <w:sz w:val="21"/>
                      <w:szCs w:val="21"/>
                    </w:rPr>
                    <w:t>t/a</w:t>
                  </w:r>
                </w:p>
              </w:tc>
              <w:tc>
                <w:tcPr>
                  <w:tcW w:w="588" w:type="dxa"/>
                  <w:tcBorders>
                    <w:bottom w:val="single" w:color="000000" w:sz="6" w:space="0"/>
                  </w:tcBorders>
                  <w:vAlign w:val="center"/>
                </w:tcPr>
                <w:p w14:paraId="6BA44EAF">
                  <w:pPr>
                    <w:pStyle w:val="154"/>
                    <w:rPr>
                      <w:sz w:val="21"/>
                      <w:szCs w:val="21"/>
                    </w:rPr>
                  </w:pPr>
                  <w:r>
                    <w:rPr>
                      <w:rFonts w:hint="eastAsia"/>
                      <w:sz w:val="21"/>
                      <w:szCs w:val="21"/>
                    </w:rPr>
                    <w:t>/</w:t>
                  </w:r>
                </w:p>
              </w:tc>
              <w:tc>
                <w:tcPr>
                  <w:tcW w:w="1166" w:type="dxa"/>
                  <w:vMerge w:val="continue"/>
                  <w:vAlign w:val="center"/>
                </w:tcPr>
                <w:p w14:paraId="1998F6AC">
                  <w:pPr>
                    <w:pStyle w:val="154"/>
                    <w:jc w:val="left"/>
                    <w:rPr>
                      <w:sz w:val="21"/>
                      <w:szCs w:val="21"/>
                    </w:rPr>
                  </w:pPr>
                </w:p>
              </w:tc>
            </w:tr>
            <w:tr w14:paraId="1B3C69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72" w:type="dxa"/>
                  <w:vAlign w:val="center"/>
                </w:tcPr>
                <w:p w14:paraId="6EEB98B2">
                  <w:pPr>
                    <w:pStyle w:val="154"/>
                    <w:rPr>
                      <w:sz w:val="21"/>
                      <w:szCs w:val="21"/>
                    </w:rPr>
                  </w:pPr>
                  <w:r>
                    <w:rPr>
                      <w:rFonts w:hint="eastAsia"/>
                      <w:sz w:val="21"/>
                      <w:szCs w:val="21"/>
                    </w:rPr>
                    <w:t>鞋帮加工</w:t>
                  </w:r>
                </w:p>
              </w:tc>
              <w:tc>
                <w:tcPr>
                  <w:tcW w:w="815" w:type="dxa"/>
                  <w:vAlign w:val="center"/>
                </w:tcPr>
                <w:p w14:paraId="064F3C30">
                  <w:pPr>
                    <w:pStyle w:val="154"/>
                    <w:rPr>
                      <w:sz w:val="21"/>
                      <w:szCs w:val="21"/>
                    </w:rPr>
                  </w:pPr>
                  <w:r>
                    <w:rPr>
                      <w:rFonts w:hint="eastAsia"/>
                      <w:sz w:val="21"/>
                      <w:szCs w:val="21"/>
                    </w:rPr>
                    <w:t>废边角料</w:t>
                  </w:r>
                </w:p>
              </w:tc>
              <w:tc>
                <w:tcPr>
                  <w:tcW w:w="588" w:type="dxa"/>
                  <w:vAlign w:val="center"/>
                </w:tcPr>
                <w:p w14:paraId="525BBCDE">
                  <w:pPr>
                    <w:pStyle w:val="154"/>
                    <w:rPr>
                      <w:sz w:val="21"/>
                      <w:szCs w:val="21"/>
                    </w:rPr>
                  </w:pPr>
                  <w:r>
                    <w:rPr>
                      <w:sz w:val="21"/>
                      <w:szCs w:val="21"/>
                    </w:rPr>
                    <w:t>一般固废</w:t>
                  </w:r>
                </w:p>
              </w:tc>
              <w:tc>
                <w:tcPr>
                  <w:tcW w:w="1290" w:type="dxa"/>
                  <w:tcBorders>
                    <w:right w:val="single" w:color="auto" w:sz="6" w:space="0"/>
                  </w:tcBorders>
                  <w:vAlign w:val="center"/>
                </w:tcPr>
                <w:p w14:paraId="13415227">
                  <w:pPr>
                    <w:pStyle w:val="154"/>
                    <w:rPr>
                      <w:rFonts w:eastAsia="宋体" w:cs="Times New Roman"/>
                      <w:bCs/>
                      <w:sz w:val="21"/>
                      <w:szCs w:val="21"/>
                    </w:rPr>
                  </w:pPr>
                  <w:r>
                    <w:rPr>
                      <w:rFonts w:hint="eastAsia"/>
                      <w:sz w:val="21"/>
                      <w:szCs w:val="21"/>
                    </w:rPr>
                    <w:t>900-007-S17</w:t>
                  </w:r>
                </w:p>
              </w:tc>
              <w:tc>
                <w:tcPr>
                  <w:tcW w:w="1116" w:type="dxa"/>
                  <w:tcBorders>
                    <w:left w:val="single" w:color="auto" w:sz="6" w:space="0"/>
                  </w:tcBorders>
                  <w:vAlign w:val="center"/>
                </w:tcPr>
                <w:p w14:paraId="55EBCF81">
                  <w:pPr>
                    <w:pStyle w:val="154"/>
                    <w:rPr>
                      <w:sz w:val="21"/>
                      <w:szCs w:val="21"/>
                    </w:rPr>
                  </w:pPr>
                  <w:r>
                    <w:rPr>
                      <w:rFonts w:hint="eastAsia"/>
                      <w:sz w:val="21"/>
                      <w:szCs w:val="21"/>
                    </w:rPr>
                    <w:t>/</w:t>
                  </w:r>
                </w:p>
              </w:tc>
              <w:tc>
                <w:tcPr>
                  <w:tcW w:w="590" w:type="dxa"/>
                  <w:vAlign w:val="center"/>
                </w:tcPr>
                <w:p w14:paraId="4B0A45D7">
                  <w:pPr>
                    <w:pStyle w:val="154"/>
                    <w:rPr>
                      <w:sz w:val="21"/>
                      <w:szCs w:val="21"/>
                    </w:rPr>
                  </w:pPr>
                  <w:r>
                    <w:rPr>
                      <w:sz w:val="21"/>
                      <w:szCs w:val="21"/>
                    </w:rPr>
                    <w:t>固态</w:t>
                  </w:r>
                </w:p>
              </w:tc>
              <w:tc>
                <w:tcPr>
                  <w:tcW w:w="602" w:type="dxa"/>
                  <w:vAlign w:val="center"/>
                </w:tcPr>
                <w:p w14:paraId="2956BC5E">
                  <w:pPr>
                    <w:pStyle w:val="154"/>
                    <w:rPr>
                      <w:sz w:val="21"/>
                      <w:szCs w:val="21"/>
                    </w:rPr>
                  </w:pPr>
                  <w:r>
                    <w:rPr>
                      <w:rFonts w:hint="eastAsia"/>
                      <w:sz w:val="21"/>
                      <w:szCs w:val="21"/>
                    </w:rPr>
                    <w:t>/</w:t>
                  </w:r>
                </w:p>
              </w:tc>
              <w:tc>
                <w:tcPr>
                  <w:tcW w:w="1106" w:type="dxa"/>
                  <w:vAlign w:val="center"/>
                </w:tcPr>
                <w:p w14:paraId="3DBFB0D7">
                  <w:pPr>
                    <w:pStyle w:val="154"/>
                    <w:rPr>
                      <w:sz w:val="21"/>
                      <w:szCs w:val="21"/>
                    </w:rPr>
                  </w:pPr>
                  <w:r>
                    <w:rPr>
                      <w:rFonts w:hint="eastAsia"/>
                      <w:sz w:val="21"/>
                      <w:szCs w:val="21"/>
                    </w:rPr>
                    <w:t>1.0t/a</w:t>
                  </w:r>
                </w:p>
              </w:tc>
              <w:tc>
                <w:tcPr>
                  <w:tcW w:w="588" w:type="dxa"/>
                  <w:vAlign w:val="center"/>
                </w:tcPr>
                <w:p w14:paraId="74DED30E">
                  <w:pPr>
                    <w:pStyle w:val="154"/>
                    <w:rPr>
                      <w:sz w:val="21"/>
                      <w:szCs w:val="21"/>
                    </w:rPr>
                  </w:pPr>
                  <w:r>
                    <w:rPr>
                      <w:rFonts w:hint="eastAsia"/>
                      <w:sz w:val="21"/>
                      <w:szCs w:val="21"/>
                    </w:rPr>
                    <w:t>/</w:t>
                  </w:r>
                </w:p>
              </w:tc>
              <w:tc>
                <w:tcPr>
                  <w:tcW w:w="1166" w:type="dxa"/>
                  <w:vMerge w:val="continue"/>
                  <w:vAlign w:val="center"/>
                </w:tcPr>
                <w:p w14:paraId="2C57F7AF">
                  <w:pPr>
                    <w:pStyle w:val="154"/>
                    <w:jc w:val="left"/>
                    <w:rPr>
                      <w:sz w:val="21"/>
                      <w:szCs w:val="21"/>
                    </w:rPr>
                  </w:pPr>
                </w:p>
              </w:tc>
            </w:tr>
            <w:tr w14:paraId="71CC38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7" w:hRule="atLeast"/>
                <w:jc w:val="center"/>
              </w:trPr>
              <w:tc>
                <w:tcPr>
                  <w:tcW w:w="972" w:type="dxa"/>
                  <w:vAlign w:val="center"/>
                </w:tcPr>
                <w:p w14:paraId="657EE516">
                  <w:pPr>
                    <w:pStyle w:val="154"/>
                    <w:rPr>
                      <w:sz w:val="21"/>
                      <w:szCs w:val="21"/>
                    </w:rPr>
                  </w:pPr>
                  <w:r>
                    <w:rPr>
                      <w:rFonts w:hint="eastAsia"/>
                      <w:sz w:val="21"/>
                      <w:szCs w:val="21"/>
                    </w:rPr>
                    <w:t>注塑生产线粉尘治理</w:t>
                  </w:r>
                </w:p>
              </w:tc>
              <w:tc>
                <w:tcPr>
                  <w:tcW w:w="815" w:type="dxa"/>
                  <w:vAlign w:val="center"/>
                </w:tcPr>
                <w:p w14:paraId="69436ADA">
                  <w:pPr>
                    <w:pStyle w:val="154"/>
                    <w:rPr>
                      <w:sz w:val="21"/>
                      <w:szCs w:val="21"/>
                    </w:rPr>
                  </w:pPr>
                  <w:r>
                    <w:rPr>
                      <w:rFonts w:hint="eastAsia"/>
                      <w:sz w:val="21"/>
                      <w:szCs w:val="21"/>
                    </w:rPr>
                    <w:t>废滤袋</w:t>
                  </w:r>
                </w:p>
              </w:tc>
              <w:tc>
                <w:tcPr>
                  <w:tcW w:w="588" w:type="dxa"/>
                  <w:vAlign w:val="center"/>
                </w:tcPr>
                <w:p w14:paraId="6707B9D3">
                  <w:pPr>
                    <w:pStyle w:val="154"/>
                    <w:rPr>
                      <w:sz w:val="21"/>
                      <w:szCs w:val="21"/>
                    </w:rPr>
                  </w:pPr>
                  <w:r>
                    <w:rPr>
                      <w:sz w:val="21"/>
                      <w:szCs w:val="21"/>
                    </w:rPr>
                    <w:t>一般固废</w:t>
                  </w:r>
                </w:p>
              </w:tc>
              <w:tc>
                <w:tcPr>
                  <w:tcW w:w="1290" w:type="dxa"/>
                  <w:tcBorders>
                    <w:right w:val="single" w:color="auto" w:sz="6" w:space="0"/>
                  </w:tcBorders>
                  <w:vAlign w:val="center"/>
                </w:tcPr>
                <w:p w14:paraId="303C86AA">
                  <w:pPr>
                    <w:pStyle w:val="154"/>
                    <w:rPr>
                      <w:sz w:val="21"/>
                      <w:szCs w:val="21"/>
                    </w:rPr>
                  </w:pPr>
                  <w:r>
                    <w:rPr>
                      <w:rFonts w:eastAsia="宋体" w:cs="Times New Roman"/>
                      <w:bCs/>
                      <w:sz w:val="21"/>
                      <w:szCs w:val="21"/>
                    </w:rPr>
                    <w:t>900-009-S59</w:t>
                  </w:r>
                </w:p>
              </w:tc>
              <w:tc>
                <w:tcPr>
                  <w:tcW w:w="1116" w:type="dxa"/>
                  <w:tcBorders>
                    <w:left w:val="single" w:color="auto" w:sz="6" w:space="0"/>
                  </w:tcBorders>
                  <w:vAlign w:val="center"/>
                </w:tcPr>
                <w:p w14:paraId="0242F39F">
                  <w:pPr>
                    <w:pStyle w:val="154"/>
                    <w:rPr>
                      <w:sz w:val="21"/>
                      <w:szCs w:val="21"/>
                    </w:rPr>
                  </w:pPr>
                  <w:r>
                    <w:rPr>
                      <w:rFonts w:hint="eastAsia"/>
                      <w:sz w:val="21"/>
                      <w:szCs w:val="21"/>
                    </w:rPr>
                    <w:t>/</w:t>
                  </w:r>
                </w:p>
              </w:tc>
              <w:tc>
                <w:tcPr>
                  <w:tcW w:w="590" w:type="dxa"/>
                  <w:vAlign w:val="center"/>
                </w:tcPr>
                <w:p w14:paraId="69C60665">
                  <w:pPr>
                    <w:pStyle w:val="154"/>
                    <w:rPr>
                      <w:sz w:val="21"/>
                      <w:szCs w:val="21"/>
                    </w:rPr>
                  </w:pPr>
                  <w:r>
                    <w:rPr>
                      <w:sz w:val="21"/>
                      <w:szCs w:val="21"/>
                    </w:rPr>
                    <w:t>固态</w:t>
                  </w:r>
                </w:p>
              </w:tc>
              <w:tc>
                <w:tcPr>
                  <w:tcW w:w="602" w:type="dxa"/>
                  <w:vAlign w:val="center"/>
                </w:tcPr>
                <w:p w14:paraId="6E8CCFBE">
                  <w:pPr>
                    <w:pStyle w:val="154"/>
                    <w:rPr>
                      <w:sz w:val="21"/>
                      <w:szCs w:val="21"/>
                    </w:rPr>
                  </w:pPr>
                  <w:r>
                    <w:rPr>
                      <w:sz w:val="21"/>
                      <w:szCs w:val="21"/>
                    </w:rPr>
                    <w:t>/</w:t>
                  </w:r>
                </w:p>
              </w:tc>
              <w:tc>
                <w:tcPr>
                  <w:tcW w:w="1106" w:type="dxa"/>
                  <w:vAlign w:val="center"/>
                </w:tcPr>
                <w:p w14:paraId="2645D2A0">
                  <w:pPr>
                    <w:pStyle w:val="154"/>
                    <w:rPr>
                      <w:sz w:val="21"/>
                      <w:szCs w:val="21"/>
                    </w:rPr>
                  </w:pPr>
                  <w:r>
                    <w:rPr>
                      <w:rFonts w:hint="eastAsia"/>
                      <w:sz w:val="21"/>
                      <w:szCs w:val="21"/>
                    </w:rPr>
                    <w:t>0.1t/a</w:t>
                  </w:r>
                </w:p>
              </w:tc>
              <w:tc>
                <w:tcPr>
                  <w:tcW w:w="588" w:type="dxa"/>
                  <w:vAlign w:val="center"/>
                </w:tcPr>
                <w:p w14:paraId="511588F1">
                  <w:pPr>
                    <w:pStyle w:val="154"/>
                    <w:rPr>
                      <w:sz w:val="21"/>
                      <w:szCs w:val="21"/>
                    </w:rPr>
                  </w:pPr>
                  <w:r>
                    <w:rPr>
                      <w:rFonts w:hint="eastAsia"/>
                      <w:sz w:val="21"/>
                      <w:szCs w:val="21"/>
                    </w:rPr>
                    <w:t>/</w:t>
                  </w:r>
                </w:p>
              </w:tc>
              <w:tc>
                <w:tcPr>
                  <w:tcW w:w="1166" w:type="dxa"/>
                  <w:vMerge w:val="continue"/>
                  <w:vAlign w:val="center"/>
                </w:tcPr>
                <w:p w14:paraId="717AF7B6">
                  <w:pPr>
                    <w:pStyle w:val="154"/>
                    <w:jc w:val="left"/>
                    <w:rPr>
                      <w:sz w:val="21"/>
                      <w:szCs w:val="21"/>
                    </w:rPr>
                  </w:pPr>
                </w:p>
              </w:tc>
            </w:tr>
            <w:tr w14:paraId="7D2E7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26" w:hRule="atLeast"/>
                <w:jc w:val="center"/>
              </w:trPr>
              <w:tc>
                <w:tcPr>
                  <w:tcW w:w="972" w:type="dxa"/>
                  <w:vAlign w:val="center"/>
                </w:tcPr>
                <w:p w14:paraId="21770F9A">
                  <w:pPr>
                    <w:pStyle w:val="154"/>
                    <w:rPr>
                      <w:sz w:val="21"/>
                      <w:szCs w:val="21"/>
                    </w:rPr>
                  </w:pPr>
                  <w:r>
                    <w:rPr>
                      <w:sz w:val="21"/>
                      <w:szCs w:val="21"/>
                    </w:rPr>
                    <w:t>办公生活</w:t>
                  </w:r>
                </w:p>
              </w:tc>
              <w:tc>
                <w:tcPr>
                  <w:tcW w:w="815" w:type="dxa"/>
                  <w:vAlign w:val="center"/>
                </w:tcPr>
                <w:p w14:paraId="20195184">
                  <w:pPr>
                    <w:pStyle w:val="154"/>
                    <w:rPr>
                      <w:sz w:val="21"/>
                      <w:szCs w:val="21"/>
                    </w:rPr>
                  </w:pPr>
                  <w:r>
                    <w:rPr>
                      <w:sz w:val="21"/>
                      <w:szCs w:val="21"/>
                    </w:rPr>
                    <w:t>生活垃圾</w:t>
                  </w:r>
                </w:p>
              </w:tc>
              <w:tc>
                <w:tcPr>
                  <w:tcW w:w="588" w:type="dxa"/>
                  <w:vAlign w:val="center"/>
                </w:tcPr>
                <w:p w14:paraId="646C6B2B">
                  <w:pPr>
                    <w:pStyle w:val="154"/>
                    <w:rPr>
                      <w:sz w:val="21"/>
                      <w:szCs w:val="21"/>
                    </w:rPr>
                  </w:pPr>
                  <w:r>
                    <w:rPr>
                      <w:sz w:val="21"/>
                      <w:szCs w:val="21"/>
                    </w:rPr>
                    <w:t>一般固废</w:t>
                  </w:r>
                </w:p>
              </w:tc>
              <w:tc>
                <w:tcPr>
                  <w:tcW w:w="1290" w:type="dxa"/>
                  <w:tcBorders>
                    <w:right w:val="single" w:color="auto" w:sz="6" w:space="0"/>
                  </w:tcBorders>
                  <w:vAlign w:val="center"/>
                </w:tcPr>
                <w:p w14:paraId="522A0C39">
                  <w:pPr>
                    <w:pStyle w:val="154"/>
                    <w:rPr>
                      <w:sz w:val="21"/>
                      <w:szCs w:val="21"/>
                    </w:rPr>
                  </w:pPr>
                  <w:r>
                    <w:rPr>
                      <w:sz w:val="21"/>
                      <w:szCs w:val="21"/>
                    </w:rPr>
                    <w:t>900-</w:t>
                  </w:r>
                  <w:r>
                    <w:rPr>
                      <w:rFonts w:hint="eastAsia"/>
                      <w:sz w:val="21"/>
                      <w:szCs w:val="21"/>
                    </w:rPr>
                    <w:t>099-S64</w:t>
                  </w:r>
                </w:p>
              </w:tc>
              <w:tc>
                <w:tcPr>
                  <w:tcW w:w="1116" w:type="dxa"/>
                  <w:tcBorders>
                    <w:left w:val="single" w:color="auto" w:sz="6" w:space="0"/>
                  </w:tcBorders>
                  <w:vAlign w:val="center"/>
                </w:tcPr>
                <w:p w14:paraId="3BD77E21">
                  <w:pPr>
                    <w:pStyle w:val="154"/>
                    <w:rPr>
                      <w:sz w:val="21"/>
                      <w:szCs w:val="21"/>
                    </w:rPr>
                  </w:pPr>
                  <w:r>
                    <w:rPr>
                      <w:sz w:val="21"/>
                      <w:szCs w:val="21"/>
                    </w:rPr>
                    <w:t>/</w:t>
                  </w:r>
                </w:p>
              </w:tc>
              <w:tc>
                <w:tcPr>
                  <w:tcW w:w="590" w:type="dxa"/>
                  <w:vAlign w:val="center"/>
                </w:tcPr>
                <w:p w14:paraId="529C0F6C">
                  <w:pPr>
                    <w:pStyle w:val="154"/>
                    <w:rPr>
                      <w:sz w:val="21"/>
                      <w:szCs w:val="21"/>
                    </w:rPr>
                  </w:pPr>
                  <w:r>
                    <w:rPr>
                      <w:sz w:val="21"/>
                      <w:szCs w:val="21"/>
                    </w:rPr>
                    <w:t>固态</w:t>
                  </w:r>
                </w:p>
              </w:tc>
              <w:tc>
                <w:tcPr>
                  <w:tcW w:w="602" w:type="dxa"/>
                  <w:vAlign w:val="center"/>
                </w:tcPr>
                <w:p w14:paraId="52F7FF12">
                  <w:pPr>
                    <w:pStyle w:val="154"/>
                    <w:rPr>
                      <w:sz w:val="21"/>
                      <w:szCs w:val="21"/>
                    </w:rPr>
                  </w:pPr>
                  <w:r>
                    <w:rPr>
                      <w:sz w:val="21"/>
                      <w:szCs w:val="21"/>
                    </w:rPr>
                    <w:t>/</w:t>
                  </w:r>
                </w:p>
              </w:tc>
              <w:tc>
                <w:tcPr>
                  <w:tcW w:w="1106" w:type="dxa"/>
                  <w:vAlign w:val="center"/>
                </w:tcPr>
                <w:p w14:paraId="00CB9378">
                  <w:pPr>
                    <w:pStyle w:val="154"/>
                    <w:rPr>
                      <w:sz w:val="21"/>
                      <w:szCs w:val="21"/>
                    </w:rPr>
                  </w:pPr>
                  <w:r>
                    <w:rPr>
                      <w:sz w:val="21"/>
                      <w:szCs w:val="21"/>
                    </w:rPr>
                    <w:t>3.0t/a</w:t>
                  </w:r>
                </w:p>
              </w:tc>
              <w:tc>
                <w:tcPr>
                  <w:tcW w:w="588" w:type="dxa"/>
                  <w:vAlign w:val="center"/>
                </w:tcPr>
                <w:p w14:paraId="30BB99E2">
                  <w:pPr>
                    <w:pStyle w:val="154"/>
                    <w:rPr>
                      <w:sz w:val="21"/>
                      <w:szCs w:val="21"/>
                    </w:rPr>
                  </w:pPr>
                  <w:r>
                    <w:rPr>
                      <w:sz w:val="21"/>
                      <w:szCs w:val="21"/>
                    </w:rPr>
                    <w:t>/</w:t>
                  </w:r>
                </w:p>
              </w:tc>
              <w:tc>
                <w:tcPr>
                  <w:tcW w:w="1166" w:type="dxa"/>
                  <w:vAlign w:val="center"/>
                </w:tcPr>
                <w:p w14:paraId="75FAAEE6">
                  <w:pPr>
                    <w:pStyle w:val="154"/>
                    <w:jc w:val="left"/>
                    <w:rPr>
                      <w:sz w:val="21"/>
                      <w:szCs w:val="21"/>
                    </w:rPr>
                  </w:pPr>
                  <w:r>
                    <w:rPr>
                      <w:sz w:val="21"/>
                      <w:szCs w:val="21"/>
                    </w:rPr>
                    <w:t>集中收集后交由环卫部门统一清运。</w:t>
                  </w:r>
                </w:p>
              </w:tc>
            </w:tr>
            <w:tr w14:paraId="0D6EBD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72" w:type="dxa"/>
                  <w:vAlign w:val="center"/>
                </w:tcPr>
                <w:p w14:paraId="1EA06120">
                  <w:pPr>
                    <w:pStyle w:val="154"/>
                    <w:rPr>
                      <w:b/>
                      <w:sz w:val="21"/>
                      <w:szCs w:val="21"/>
                      <w:u w:val="single"/>
                    </w:rPr>
                  </w:pPr>
                  <w:r>
                    <w:rPr>
                      <w:b/>
                      <w:sz w:val="21"/>
                      <w:szCs w:val="21"/>
                      <w:u w:val="single"/>
                    </w:rPr>
                    <w:t>有机废气治理</w:t>
                  </w:r>
                </w:p>
              </w:tc>
              <w:tc>
                <w:tcPr>
                  <w:tcW w:w="815" w:type="dxa"/>
                  <w:vAlign w:val="center"/>
                </w:tcPr>
                <w:p w14:paraId="0ED5A4C3">
                  <w:pPr>
                    <w:pStyle w:val="154"/>
                    <w:rPr>
                      <w:b/>
                      <w:sz w:val="21"/>
                      <w:szCs w:val="21"/>
                      <w:u w:val="single"/>
                    </w:rPr>
                  </w:pPr>
                  <w:r>
                    <w:rPr>
                      <w:b/>
                      <w:sz w:val="21"/>
                      <w:szCs w:val="21"/>
                      <w:u w:val="single"/>
                    </w:rPr>
                    <w:t>废活性炭</w:t>
                  </w:r>
                </w:p>
              </w:tc>
              <w:tc>
                <w:tcPr>
                  <w:tcW w:w="588" w:type="dxa"/>
                  <w:vAlign w:val="center"/>
                </w:tcPr>
                <w:p w14:paraId="07D2A8A4">
                  <w:pPr>
                    <w:pStyle w:val="154"/>
                    <w:rPr>
                      <w:b/>
                      <w:sz w:val="21"/>
                      <w:szCs w:val="21"/>
                      <w:u w:val="single"/>
                    </w:rPr>
                  </w:pPr>
                  <w:r>
                    <w:rPr>
                      <w:b/>
                      <w:sz w:val="21"/>
                      <w:szCs w:val="21"/>
                      <w:u w:val="single"/>
                    </w:rPr>
                    <w:t>危险废物</w:t>
                  </w:r>
                </w:p>
              </w:tc>
              <w:tc>
                <w:tcPr>
                  <w:tcW w:w="1290" w:type="dxa"/>
                  <w:tcBorders>
                    <w:right w:val="single" w:color="auto" w:sz="6" w:space="0"/>
                  </w:tcBorders>
                  <w:vAlign w:val="center"/>
                </w:tcPr>
                <w:p w14:paraId="6A91826E">
                  <w:pPr>
                    <w:pStyle w:val="154"/>
                    <w:rPr>
                      <w:b/>
                      <w:sz w:val="21"/>
                      <w:szCs w:val="21"/>
                      <w:u w:val="single"/>
                    </w:rPr>
                  </w:pPr>
                  <w:r>
                    <w:rPr>
                      <w:b/>
                      <w:sz w:val="21"/>
                      <w:szCs w:val="21"/>
                      <w:u w:val="single"/>
                    </w:rPr>
                    <w:t>900-039-49</w:t>
                  </w:r>
                </w:p>
              </w:tc>
              <w:tc>
                <w:tcPr>
                  <w:tcW w:w="1116" w:type="dxa"/>
                  <w:tcBorders>
                    <w:left w:val="single" w:color="auto" w:sz="6" w:space="0"/>
                  </w:tcBorders>
                  <w:vAlign w:val="center"/>
                </w:tcPr>
                <w:p w14:paraId="2B5B6AB2">
                  <w:pPr>
                    <w:pStyle w:val="154"/>
                    <w:rPr>
                      <w:b/>
                      <w:sz w:val="21"/>
                      <w:szCs w:val="21"/>
                      <w:u w:val="single"/>
                    </w:rPr>
                  </w:pPr>
                  <w:r>
                    <w:rPr>
                      <w:b/>
                      <w:sz w:val="21"/>
                      <w:szCs w:val="21"/>
                      <w:u w:val="single"/>
                    </w:rPr>
                    <w:t>有机废气</w:t>
                  </w:r>
                </w:p>
              </w:tc>
              <w:tc>
                <w:tcPr>
                  <w:tcW w:w="590" w:type="dxa"/>
                  <w:vAlign w:val="center"/>
                </w:tcPr>
                <w:p w14:paraId="577EC5C7">
                  <w:pPr>
                    <w:pStyle w:val="154"/>
                    <w:rPr>
                      <w:b/>
                      <w:sz w:val="21"/>
                      <w:szCs w:val="21"/>
                      <w:u w:val="single"/>
                    </w:rPr>
                  </w:pPr>
                  <w:r>
                    <w:rPr>
                      <w:b/>
                      <w:sz w:val="21"/>
                      <w:szCs w:val="21"/>
                      <w:u w:val="single"/>
                    </w:rPr>
                    <w:t>固态</w:t>
                  </w:r>
                </w:p>
              </w:tc>
              <w:tc>
                <w:tcPr>
                  <w:tcW w:w="602" w:type="dxa"/>
                  <w:vAlign w:val="center"/>
                </w:tcPr>
                <w:p w14:paraId="0CB200E5">
                  <w:pPr>
                    <w:pStyle w:val="154"/>
                    <w:rPr>
                      <w:b/>
                      <w:sz w:val="21"/>
                      <w:szCs w:val="21"/>
                      <w:u w:val="single"/>
                    </w:rPr>
                  </w:pPr>
                  <w:r>
                    <w:rPr>
                      <w:b/>
                      <w:sz w:val="21"/>
                      <w:szCs w:val="21"/>
                      <w:u w:val="single"/>
                    </w:rPr>
                    <w:t>T</w:t>
                  </w:r>
                </w:p>
              </w:tc>
              <w:tc>
                <w:tcPr>
                  <w:tcW w:w="1106" w:type="dxa"/>
                  <w:vAlign w:val="center"/>
                </w:tcPr>
                <w:p w14:paraId="13E99C7D">
                  <w:pPr>
                    <w:pStyle w:val="154"/>
                    <w:rPr>
                      <w:b/>
                      <w:sz w:val="21"/>
                      <w:szCs w:val="21"/>
                      <w:u w:val="single"/>
                    </w:rPr>
                  </w:pPr>
                  <w:r>
                    <w:rPr>
                      <w:rFonts w:hint="eastAsia"/>
                      <w:b/>
                      <w:sz w:val="21"/>
                      <w:szCs w:val="21"/>
                      <w:u w:val="single"/>
                    </w:rPr>
                    <w:t>3.81</w:t>
                  </w:r>
                  <w:r>
                    <w:rPr>
                      <w:b/>
                      <w:sz w:val="21"/>
                      <w:szCs w:val="21"/>
                      <w:u w:val="single"/>
                    </w:rPr>
                    <w:t>t/a</w:t>
                  </w:r>
                </w:p>
              </w:tc>
              <w:tc>
                <w:tcPr>
                  <w:tcW w:w="588" w:type="dxa"/>
                  <w:vAlign w:val="center"/>
                </w:tcPr>
                <w:p w14:paraId="1C69942B">
                  <w:pPr>
                    <w:pStyle w:val="154"/>
                    <w:rPr>
                      <w:b/>
                      <w:sz w:val="21"/>
                      <w:szCs w:val="21"/>
                      <w:u w:val="single"/>
                    </w:rPr>
                  </w:pPr>
                  <w:r>
                    <w:rPr>
                      <w:b/>
                      <w:sz w:val="21"/>
                      <w:szCs w:val="21"/>
                      <w:u w:val="single"/>
                    </w:rPr>
                    <w:t>袋装</w:t>
                  </w:r>
                </w:p>
              </w:tc>
              <w:tc>
                <w:tcPr>
                  <w:tcW w:w="1166" w:type="dxa"/>
                  <w:vMerge w:val="restart"/>
                  <w:vAlign w:val="center"/>
                </w:tcPr>
                <w:p w14:paraId="5BFED738">
                  <w:pPr>
                    <w:pStyle w:val="154"/>
                    <w:jc w:val="left"/>
                    <w:rPr>
                      <w:sz w:val="21"/>
                      <w:szCs w:val="21"/>
                    </w:rPr>
                  </w:pPr>
                  <w:r>
                    <w:rPr>
                      <w:sz w:val="21"/>
                      <w:szCs w:val="21"/>
                    </w:rPr>
                    <w:t>收集后暂存于危废暂存间，定期交由有资质单位处理。</w:t>
                  </w:r>
                </w:p>
              </w:tc>
            </w:tr>
            <w:tr w14:paraId="09EB9B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72" w:type="dxa"/>
                  <w:vAlign w:val="center"/>
                </w:tcPr>
                <w:p w14:paraId="468D938A">
                  <w:pPr>
                    <w:pStyle w:val="154"/>
                    <w:rPr>
                      <w:sz w:val="21"/>
                      <w:szCs w:val="21"/>
                    </w:rPr>
                  </w:pPr>
                  <w:r>
                    <w:rPr>
                      <w:rFonts w:hint="eastAsia"/>
                      <w:sz w:val="21"/>
                      <w:szCs w:val="21"/>
                    </w:rPr>
                    <w:t>原料拆包</w:t>
                  </w:r>
                </w:p>
              </w:tc>
              <w:tc>
                <w:tcPr>
                  <w:tcW w:w="815" w:type="dxa"/>
                  <w:vAlign w:val="center"/>
                </w:tcPr>
                <w:p w14:paraId="179721A1">
                  <w:pPr>
                    <w:pStyle w:val="154"/>
                    <w:rPr>
                      <w:sz w:val="21"/>
                      <w:szCs w:val="21"/>
                    </w:rPr>
                  </w:pPr>
                  <w:r>
                    <w:rPr>
                      <w:rFonts w:hint="eastAsia"/>
                      <w:sz w:val="21"/>
                      <w:szCs w:val="21"/>
                    </w:rPr>
                    <w:t>废包装桶（B料、色浆等）</w:t>
                  </w:r>
                </w:p>
              </w:tc>
              <w:tc>
                <w:tcPr>
                  <w:tcW w:w="588" w:type="dxa"/>
                  <w:vAlign w:val="center"/>
                </w:tcPr>
                <w:p w14:paraId="68CF4433">
                  <w:pPr>
                    <w:pStyle w:val="154"/>
                    <w:rPr>
                      <w:sz w:val="21"/>
                      <w:szCs w:val="21"/>
                    </w:rPr>
                  </w:pPr>
                  <w:r>
                    <w:rPr>
                      <w:rFonts w:hint="eastAsia"/>
                      <w:sz w:val="21"/>
                      <w:szCs w:val="21"/>
                    </w:rPr>
                    <w:t>危险废物</w:t>
                  </w:r>
                </w:p>
              </w:tc>
              <w:tc>
                <w:tcPr>
                  <w:tcW w:w="1290" w:type="dxa"/>
                  <w:tcBorders>
                    <w:right w:val="single" w:color="auto" w:sz="6" w:space="0"/>
                  </w:tcBorders>
                  <w:vAlign w:val="center"/>
                </w:tcPr>
                <w:p w14:paraId="7A3F9F3E">
                  <w:pPr>
                    <w:pStyle w:val="154"/>
                    <w:rPr>
                      <w:sz w:val="21"/>
                      <w:szCs w:val="21"/>
                    </w:rPr>
                  </w:pPr>
                  <w:r>
                    <w:rPr>
                      <w:sz w:val="21"/>
                      <w:szCs w:val="21"/>
                    </w:rPr>
                    <w:t>900-041-49</w:t>
                  </w:r>
                </w:p>
              </w:tc>
              <w:tc>
                <w:tcPr>
                  <w:tcW w:w="1116" w:type="dxa"/>
                  <w:tcBorders>
                    <w:left w:val="single" w:color="auto" w:sz="6" w:space="0"/>
                  </w:tcBorders>
                  <w:vAlign w:val="center"/>
                </w:tcPr>
                <w:p w14:paraId="41F56FED">
                  <w:pPr>
                    <w:pStyle w:val="154"/>
                    <w:rPr>
                      <w:sz w:val="21"/>
                      <w:szCs w:val="21"/>
                    </w:rPr>
                  </w:pPr>
                  <w:r>
                    <w:rPr>
                      <w:rFonts w:hint="eastAsia"/>
                      <w:sz w:val="21"/>
                      <w:szCs w:val="21"/>
                    </w:rPr>
                    <w:t>聚氨酯B料、色浆、脱模剂、清洗剂、等</w:t>
                  </w:r>
                </w:p>
              </w:tc>
              <w:tc>
                <w:tcPr>
                  <w:tcW w:w="590" w:type="dxa"/>
                  <w:vAlign w:val="center"/>
                </w:tcPr>
                <w:p w14:paraId="207C5BA2">
                  <w:pPr>
                    <w:pStyle w:val="154"/>
                    <w:rPr>
                      <w:sz w:val="21"/>
                      <w:szCs w:val="21"/>
                    </w:rPr>
                  </w:pPr>
                  <w:r>
                    <w:rPr>
                      <w:rFonts w:hint="eastAsia"/>
                      <w:sz w:val="21"/>
                      <w:szCs w:val="21"/>
                    </w:rPr>
                    <w:t>固态</w:t>
                  </w:r>
                </w:p>
              </w:tc>
              <w:tc>
                <w:tcPr>
                  <w:tcW w:w="602" w:type="dxa"/>
                  <w:vAlign w:val="center"/>
                </w:tcPr>
                <w:p w14:paraId="35FFDA2F">
                  <w:pPr>
                    <w:pStyle w:val="154"/>
                    <w:rPr>
                      <w:sz w:val="21"/>
                      <w:szCs w:val="21"/>
                    </w:rPr>
                  </w:pPr>
                  <w:r>
                    <w:rPr>
                      <w:sz w:val="21"/>
                      <w:szCs w:val="21"/>
                    </w:rPr>
                    <w:t>T/In</w:t>
                  </w:r>
                </w:p>
              </w:tc>
              <w:tc>
                <w:tcPr>
                  <w:tcW w:w="1106" w:type="dxa"/>
                  <w:vAlign w:val="center"/>
                </w:tcPr>
                <w:p w14:paraId="2AA3D5B9">
                  <w:pPr>
                    <w:pStyle w:val="154"/>
                    <w:rPr>
                      <w:sz w:val="21"/>
                      <w:szCs w:val="21"/>
                    </w:rPr>
                  </w:pPr>
                  <w:r>
                    <w:rPr>
                      <w:rFonts w:hint="eastAsia"/>
                      <w:sz w:val="21"/>
                      <w:szCs w:val="21"/>
                    </w:rPr>
                    <w:t>2.69</w:t>
                  </w:r>
                  <w:r>
                    <w:rPr>
                      <w:sz w:val="21"/>
                      <w:szCs w:val="21"/>
                    </w:rPr>
                    <w:t>t/a</w:t>
                  </w:r>
                </w:p>
              </w:tc>
              <w:tc>
                <w:tcPr>
                  <w:tcW w:w="588" w:type="dxa"/>
                  <w:vAlign w:val="center"/>
                </w:tcPr>
                <w:p w14:paraId="5A247DA1">
                  <w:pPr>
                    <w:pStyle w:val="154"/>
                    <w:rPr>
                      <w:sz w:val="21"/>
                      <w:szCs w:val="21"/>
                    </w:rPr>
                  </w:pPr>
                  <w:r>
                    <w:rPr>
                      <w:rFonts w:hint="eastAsia"/>
                      <w:sz w:val="21"/>
                      <w:szCs w:val="21"/>
                    </w:rPr>
                    <w:t>托盘</w:t>
                  </w:r>
                </w:p>
              </w:tc>
              <w:tc>
                <w:tcPr>
                  <w:tcW w:w="1166" w:type="dxa"/>
                  <w:vMerge w:val="continue"/>
                  <w:vAlign w:val="center"/>
                </w:tcPr>
                <w:p w14:paraId="0C733280">
                  <w:pPr>
                    <w:pStyle w:val="154"/>
                    <w:jc w:val="left"/>
                  </w:pPr>
                </w:p>
              </w:tc>
            </w:tr>
            <w:tr w14:paraId="0CE016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72" w:type="dxa"/>
                  <w:vAlign w:val="center"/>
                </w:tcPr>
                <w:p w14:paraId="6A207840">
                  <w:pPr>
                    <w:pStyle w:val="154"/>
                    <w:rPr>
                      <w:sz w:val="21"/>
                      <w:szCs w:val="21"/>
                    </w:rPr>
                  </w:pPr>
                  <w:r>
                    <w:rPr>
                      <w:rFonts w:hint="eastAsia"/>
                      <w:sz w:val="21"/>
                      <w:szCs w:val="21"/>
                    </w:rPr>
                    <w:t>聚氨酯生产线浇注头清洗、设备维修</w:t>
                  </w:r>
                </w:p>
              </w:tc>
              <w:tc>
                <w:tcPr>
                  <w:tcW w:w="815" w:type="dxa"/>
                  <w:vAlign w:val="center"/>
                </w:tcPr>
                <w:p w14:paraId="1ED664E0">
                  <w:pPr>
                    <w:pStyle w:val="154"/>
                    <w:rPr>
                      <w:sz w:val="21"/>
                      <w:szCs w:val="21"/>
                    </w:rPr>
                  </w:pPr>
                  <w:r>
                    <w:rPr>
                      <w:rFonts w:hint="eastAsia"/>
                      <w:sz w:val="21"/>
                      <w:szCs w:val="21"/>
                    </w:rPr>
                    <w:t>废抹布、手套</w:t>
                  </w:r>
                </w:p>
              </w:tc>
              <w:tc>
                <w:tcPr>
                  <w:tcW w:w="588" w:type="dxa"/>
                  <w:vAlign w:val="center"/>
                </w:tcPr>
                <w:p w14:paraId="2D9C5FD8">
                  <w:pPr>
                    <w:pStyle w:val="154"/>
                    <w:rPr>
                      <w:sz w:val="21"/>
                      <w:szCs w:val="21"/>
                    </w:rPr>
                  </w:pPr>
                  <w:r>
                    <w:rPr>
                      <w:rFonts w:hint="eastAsia"/>
                      <w:sz w:val="21"/>
                      <w:szCs w:val="21"/>
                    </w:rPr>
                    <w:t>危险废物</w:t>
                  </w:r>
                </w:p>
              </w:tc>
              <w:tc>
                <w:tcPr>
                  <w:tcW w:w="1290" w:type="dxa"/>
                  <w:tcBorders>
                    <w:right w:val="single" w:color="auto" w:sz="6" w:space="0"/>
                  </w:tcBorders>
                  <w:vAlign w:val="center"/>
                </w:tcPr>
                <w:p w14:paraId="7EC52D41">
                  <w:pPr>
                    <w:pStyle w:val="154"/>
                    <w:rPr>
                      <w:sz w:val="21"/>
                      <w:szCs w:val="21"/>
                    </w:rPr>
                  </w:pPr>
                  <w:r>
                    <w:rPr>
                      <w:sz w:val="21"/>
                      <w:szCs w:val="21"/>
                    </w:rPr>
                    <w:t>900-041-49</w:t>
                  </w:r>
                </w:p>
              </w:tc>
              <w:tc>
                <w:tcPr>
                  <w:tcW w:w="1116" w:type="dxa"/>
                  <w:tcBorders>
                    <w:left w:val="single" w:color="auto" w:sz="6" w:space="0"/>
                  </w:tcBorders>
                  <w:vAlign w:val="center"/>
                </w:tcPr>
                <w:p w14:paraId="44B0653D">
                  <w:pPr>
                    <w:pStyle w:val="154"/>
                    <w:rPr>
                      <w:sz w:val="21"/>
                      <w:szCs w:val="21"/>
                    </w:rPr>
                  </w:pPr>
                  <w:r>
                    <w:rPr>
                      <w:rFonts w:hint="eastAsia"/>
                      <w:sz w:val="21"/>
                      <w:szCs w:val="21"/>
                    </w:rPr>
                    <w:t>有机溶剂</w:t>
                  </w:r>
                </w:p>
              </w:tc>
              <w:tc>
                <w:tcPr>
                  <w:tcW w:w="590" w:type="dxa"/>
                  <w:vAlign w:val="center"/>
                </w:tcPr>
                <w:p w14:paraId="2E8A8702">
                  <w:pPr>
                    <w:pStyle w:val="154"/>
                    <w:rPr>
                      <w:sz w:val="21"/>
                      <w:szCs w:val="21"/>
                    </w:rPr>
                  </w:pPr>
                  <w:r>
                    <w:rPr>
                      <w:rFonts w:hint="eastAsia"/>
                      <w:sz w:val="21"/>
                      <w:szCs w:val="21"/>
                    </w:rPr>
                    <w:t>固态</w:t>
                  </w:r>
                </w:p>
              </w:tc>
              <w:tc>
                <w:tcPr>
                  <w:tcW w:w="602" w:type="dxa"/>
                  <w:vAlign w:val="center"/>
                </w:tcPr>
                <w:p w14:paraId="00906774">
                  <w:pPr>
                    <w:pStyle w:val="154"/>
                    <w:rPr>
                      <w:sz w:val="21"/>
                      <w:szCs w:val="21"/>
                    </w:rPr>
                  </w:pPr>
                  <w:r>
                    <w:rPr>
                      <w:rFonts w:hint="eastAsia"/>
                      <w:sz w:val="21"/>
                      <w:szCs w:val="21"/>
                    </w:rPr>
                    <w:t>/</w:t>
                  </w:r>
                </w:p>
              </w:tc>
              <w:tc>
                <w:tcPr>
                  <w:tcW w:w="1106" w:type="dxa"/>
                  <w:vAlign w:val="center"/>
                </w:tcPr>
                <w:p w14:paraId="0303FD36">
                  <w:pPr>
                    <w:pStyle w:val="154"/>
                    <w:rPr>
                      <w:sz w:val="21"/>
                      <w:szCs w:val="21"/>
                    </w:rPr>
                  </w:pPr>
                  <w:r>
                    <w:rPr>
                      <w:sz w:val="21"/>
                      <w:szCs w:val="21"/>
                    </w:rPr>
                    <w:t>0.</w:t>
                  </w:r>
                  <w:r>
                    <w:rPr>
                      <w:rFonts w:hint="eastAsia"/>
                      <w:sz w:val="21"/>
                      <w:szCs w:val="21"/>
                    </w:rPr>
                    <w:t>06</w:t>
                  </w:r>
                  <w:r>
                    <w:rPr>
                      <w:sz w:val="21"/>
                      <w:szCs w:val="21"/>
                    </w:rPr>
                    <w:t>t/a</w:t>
                  </w:r>
                </w:p>
              </w:tc>
              <w:tc>
                <w:tcPr>
                  <w:tcW w:w="588" w:type="dxa"/>
                  <w:vAlign w:val="center"/>
                </w:tcPr>
                <w:p w14:paraId="5DB6037C">
                  <w:pPr>
                    <w:pStyle w:val="154"/>
                    <w:rPr>
                      <w:sz w:val="21"/>
                      <w:szCs w:val="21"/>
                    </w:rPr>
                  </w:pPr>
                  <w:r>
                    <w:rPr>
                      <w:rFonts w:hint="eastAsia"/>
                      <w:sz w:val="21"/>
                      <w:szCs w:val="21"/>
                    </w:rPr>
                    <w:t>袋装</w:t>
                  </w:r>
                </w:p>
              </w:tc>
              <w:tc>
                <w:tcPr>
                  <w:tcW w:w="1166" w:type="dxa"/>
                  <w:vMerge w:val="continue"/>
                  <w:vAlign w:val="center"/>
                </w:tcPr>
                <w:p w14:paraId="13A4EC1F">
                  <w:pPr>
                    <w:pStyle w:val="154"/>
                  </w:pPr>
                </w:p>
              </w:tc>
            </w:tr>
            <w:tr w14:paraId="3108B5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972" w:type="dxa"/>
                  <w:vMerge w:val="restart"/>
                  <w:vAlign w:val="center"/>
                </w:tcPr>
                <w:p w14:paraId="7385D536">
                  <w:pPr>
                    <w:pStyle w:val="154"/>
                    <w:rPr>
                      <w:sz w:val="21"/>
                      <w:szCs w:val="21"/>
                    </w:rPr>
                  </w:pPr>
                  <w:r>
                    <w:rPr>
                      <w:sz w:val="21"/>
                      <w:szCs w:val="21"/>
                    </w:rPr>
                    <w:t>设备维修</w:t>
                  </w:r>
                </w:p>
              </w:tc>
              <w:tc>
                <w:tcPr>
                  <w:tcW w:w="815" w:type="dxa"/>
                  <w:vAlign w:val="center"/>
                </w:tcPr>
                <w:p w14:paraId="7E262404">
                  <w:pPr>
                    <w:pStyle w:val="154"/>
                    <w:rPr>
                      <w:sz w:val="21"/>
                      <w:szCs w:val="21"/>
                    </w:rPr>
                  </w:pPr>
                  <w:r>
                    <w:rPr>
                      <w:sz w:val="21"/>
                      <w:szCs w:val="21"/>
                    </w:rPr>
                    <w:t>废润滑油</w:t>
                  </w:r>
                </w:p>
              </w:tc>
              <w:tc>
                <w:tcPr>
                  <w:tcW w:w="588" w:type="dxa"/>
                  <w:vAlign w:val="center"/>
                </w:tcPr>
                <w:p w14:paraId="7BC369E6">
                  <w:pPr>
                    <w:pStyle w:val="154"/>
                    <w:rPr>
                      <w:sz w:val="21"/>
                      <w:szCs w:val="21"/>
                    </w:rPr>
                  </w:pPr>
                  <w:r>
                    <w:rPr>
                      <w:sz w:val="21"/>
                      <w:szCs w:val="21"/>
                    </w:rPr>
                    <w:t>危险废物</w:t>
                  </w:r>
                </w:p>
              </w:tc>
              <w:tc>
                <w:tcPr>
                  <w:tcW w:w="1290" w:type="dxa"/>
                  <w:tcBorders>
                    <w:right w:val="single" w:color="auto" w:sz="6" w:space="0"/>
                  </w:tcBorders>
                  <w:vAlign w:val="center"/>
                </w:tcPr>
                <w:p w14:paraId="40B0A892">
                  <w:pPr>
                    <w:pStyle w:val="154"/>
                    <w:rPr>
                      <w:sz w:val="21"/>
                      <w:szCs w:val="21"/>
                    </w:rPr>
                  </w:pPr>
                  <w:r>
                    <w:rPr>
                      <w:sz w:val="21"/>
                      <w:szCs w:val="21"/>
                    </w:rPr>
                    <w:t>900-217-08</w:t>
                  </w:r>
                </w:p>
              </w:tc>
              <w:tc>
                <w:tcPr>
                  <w:tcW w:w="1116" w:type="dxa"/>
                  <w:tcBorders>
                    <w:left w:val="single" w:color="auto" w:sz="6" w:space="0"/>
                  </w:tcBorders>
                  <w:vAlign w:val="center"/>
                </w:tcPr>
                <w:p w14:paraId="37DCA09A">
                  <w:pPr>
                    <w:pStyle w:val="154"/>
                    <w:rPr>
                      <w:sz w:val="21"/>
                      <w:szCs w:val="21"/>
                    </w:rPr>
                  </w:pPr>
                  <w:r>
                    <w:rPr>
                      <w:sz w:val="21"/>
                      <w:szCs w:val="21"/>
                    </w:rPr>
                    <w:t>废润滑油</w:t>
                  </w:r>
                </w:p>
              </w:tc>
              <w:tc>
                <w:tcPr>
                  <w:tcW w:w="590" w:type="dxa"/>
                  <w:vAlign w:val="center"/>
                </w:tcPr>
                <w:p w14:paraId="7B1C749D">
                  <w:pPr>
                    <w:pStyle w:val="154"/>
                    <w:rPr>
                      <w:sz w:val="21"/>
                      <w:szCs w:val="21"/>
                    </w:rPr>
                  </w:pPr>
                  <w:r>
                    <w:rPr>
                      <w:sz w:val="21"/>
                      <w:szCs w:val="21"/>
                    </w:rPr>
                    <w:t>液态</w:t>
                  </w:r>
                </w:p>
              </w:tc>
              <w:tc>
                <w:tcPr>
                  <w:tcW w:w="602" w:type="dxa"/>
                  <w:vAlign w:val="center"/>
                </w:tcPr>
                <w:p w14:paraId="31C316A4">
                  <w:pPr>
                    <w:pStyle w:val="154"/>
                    <w:rPr>
                      <w:sz w:val="21"/>
                      <w:szCs w:val="21"/>
                    </w:rPr>
                  </w:pPr>
                  <w:r>
                    <w:rPr>
                      <w:sz w:val="21"/>
                      <w:szCs w:val="21"/>
                    </w:rPr>
                    <w:t>T，I</w:t>
                  </w:r>
                </w:p>
              </w:tc>
              <w:tc>
                <w:tcPr>
                  <w:tcW w:w="1106" w:type="dxa"/>
                  <w:vAlign w:val="center"/>
                </w:tcPr>
                <w:p w14:paraId="57901703">
                  <w:pPr>
                    <w:pStyle w:val="154"/>
                    <w:rPr>
                      <w:sz w:val="21"/>
                      <w:szCs w:val="21"/>
                    </w:rPr>
                  </w:pPr>
                  <w:r>
                    <w:rPr>
                      <w:sz w:val="21"/>
                      <w:szCs w:val="21"/>
                    </w:rPr>
                    <w:t>0.0</w:t>
                  </w:r>
                  <w:r>
                    <w:rPr>
                      <w:rFonts w:hint="eastAsia"/>
                      <w:sz w:val="21"/>
                      <w:szCs w:val="21"/>
                    </w:rPr>
                    <w:t>6</w:t>
                  </w:r>
                  <w:r>
                    <w:rPr>
                      <w:sz w:val="21"/>
                      <w:szCs w:val="21"/>
                    </w:rPr>
                    <w:t>t/a</w:t>
                  </w:r>
                </w:p>
              </w:tc>
              <w:tc>
                <w:tcPr>
                  <w:tcW w:w="588" w:type="dxa"/>
                  <w:vAlign w:val="center"/>
                </w:tcPr>
                <w:p w14:paraId="06DD2D15">
                  <w:pPr>
                    <w:pStyle w:val="154"/>
                    <w:rPr>
                      <w:sz w:val="21"/>
                      <w:szCs w:val="21"/>
                    </w:rPr>
                  </w:pPr>
                  <w:r>
                    <w:rPr>
                      <w:sz w:val="21"/>
                      <w:szCs w:val="21"/>
                    </w:rPr>
                    <w:t>桶装</w:t>
                  </w:r>
                </w:p>
              </w:tc>
              <w:tc>
                <w:tcPr>
                  <w:tcW w:w="1166" w:type="dxa"/>
                  <w:vMerge w:val="continue"/>
                  <w:vAlign w:val="center"/>
                </w:tcPr>
                <w:p w14:paraId="57B6CAE3">
                  <w:pPr>
                    <w:pStyle w:val="154"/>
                  </w:pPr>
                </w:p>
              </w:tc>
            </w:tr>
            <w:tr w14:paraId="393C97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66" w:hRule="atLeast"/>
                <w:jc w:val="center"/>
              </w:trPr>
              <w:tc>
                <w:tcPr>
                  <w:tcW w:w="972" w:type="dxa"/>
                  <w:vMerge w:val="continue"/>
                  <w:vAlign w:val="center"/>
                </w:tcPr>
                <w:p w14:paraId="113B60FA">
                  <w:pPr>
                    <w:pStyle w:val="154"/>
                    <w:rPr>
                      <w:sz w:val="21"/>
                      <w:szCs w:val="21"/>
                    </w:rPr>
                  </w:pPr>
                </w:p>
              </w:tc>
              <w:tc>
                <w:tcPr>
                  <w:tcW w:w="815" w:type="dxa"/>
                  <w:vAlign w:val="center"/>
                </w:tcPr>
                <w:p w14:paraId="71428757">
                  <w:pPr>
                    <w:pStyle w:val="154"/>
                    <w:rPr>
                      <w:sz w:val="21"/>
                      <w:szCs w:val="21"/>
                    </w:rPr>
                  </w:pPr>
                  <w:r>
                    <w:rPr>
                      <w:sz w:val="21"/>
                      <w:szCs w:val="21"/>
                    </w:rPr>
                    <w:t>废液压油</w:t>
                  </w:r>
                </w:p>
              </w:tc>
              <w:tc>
                <w:tcPr>
                  <w:tcW w:w="588" w:type="dxa"/>
                  <w:vAlign w:val="center"/>
                </w:tcPr>
                <w:p w14:paraId="01E03C6C">
                  <w:pPr>
                    <w:pStyle w:val="154"/>
                    <w:rPr>
                      <w:sz w:val="21"/>
                      <w:szCs w:val="21"/>
                    </w:rPr>
                  </w:pPr>
                  <w:r>
                    <w:rPr>
                      <w:sz w:val="21"/>
                      <w:szCs w:val="21"/>
                    </w:rPr>
                    <w:t>危险废物</w:t>
                  </w:r>
                </w:p>
              </w:tc>
              <w:tc>
                <w:tcPr>
                  <w:tcW w:w="1290" w:type="dxa"/>
                  <w:tcBorders>
                    <w:right w:val="single" w:color="auto" w:sz="6" w:space="0"/>
                  </w:tcBorders>
                  <w:vAlign w:val="center"/>
                </w:tcPr>
                <w:p w14:paraId="3184C74E">
                  <w:pPr>
                    <w:pStyle w:val="154"/>
                    <w:rPr>
                      <w:sz w:val="21"/>
                      <w:szCs w:val="21"/>
                    </w:rPr>
                  </w:pPr>
                  <w:r>
                    <w:rPr>
                      <w:sz w:val="21"/>
                      <w:szCs w:val="21"/>
                    </w:rPr>
                    <w:t>900-218-08</w:t>
                  </w:r>
                </w:p>
              </w:tc>
              <w:tc>
                <w:tcPr>
                  <w:tcW w:w="1116" w:type="dxa"/>
                  <w:tcBorders>
                    <w:left w:val="single" w:color="auto" w:sz="6" w:space="0"/>
                  </w:tcBorders>
                  <w:vAlign w:val="center"/>
                </w:tcPr>
                <w:p w14:paraId="71C7BFCF">
                  <w:pPr>
                    <w:pStyle w:val="154"/>
                    <w:rPr>
                      <w:sz w:val="21"/>
                      <w:szCs w:val="21"/>
                    </w:rPr>
                  </w:pPr>
                  <w:r>
                    <w:rPr>
                      <w:sz w:val="21"/>
                      <w:szCs w:val="21"/>
                    </w:rPr>
                    <w:t>废液压油</w:t>
                  </w:r>
                </w:p>
              </w:tc>
              <w:tc>
                <w:tcPr>
                  <w:tcW w:w="590" w:type="dxa"/>
                  <w:vAlign w:val="center"/>
                </w:tcPr>
                <w:p w14:paraId="5B7E1536">
                  <w:pPr>
                    <w:pStyle w:val="154"/>
                    <w:rPr>
                      <w:sz w:val="21"/>
                      <w:szCs w:val="21"/>
                    </w:rPr>
                  </w:pPr>
                  <w:r>
                    <w:rPr>
                      <w:sz w:val="21"/>
                      <w:szCs w:val="21"/>
                    </w:rPr>
                    <w:t>液态</w:t>
                  </w:r>
                </w:p>
              </w:tc>
              <w:tc>
                <w:tcPr>
                  <w:tcW w:w="602" w:type="dxa"/>
                  <w:vAlign w:val="center"/>
                </w:tcPr>
                <w:p w14:paraId="6F23E8A5">
                  <w:pPr>
                    <w:pStyle w:val="154"/>
                    <w:rPr>
                      <w:sz w:val="21"/>
                      <w:szCs w:val="21"/>
                    </w:rPr>
                  </w:pPr>
                  <w:r>
                    <w:rPr>
                      <w:sz w:val="21"/>
                      <w:szCs w:val="21"/>
                    </w:rPr>
                    <w:t>T，I</w:t>
                  </w:r>
                </w:p>
              </w:tc>
              <w:tc>
                <w:tcPr>
                  <w:tcW w:w="1106" w:type="dxa"/>
                  <w:vAlign w:val="center"/>
                </w:tcPr>
                <w:p w14:paraId="3E8215DF">
                  <w:pPr>
                    <w:pStyle w:val="154"/>
                    <w:rPr>
                      <w:sz w:val="21"/>
                      <w:szCs w:val="21"/>
                    </w:rPr>
                  </w:pPr>
                  <w:r>
                    <w:rPr>
                      <w:sz w:val="21"/>
                      <w:szCs w:val="21"/>
                    </w:rPr>
                    <w:t>0.0</w:t>
                  </w:r>
                  <w:r>
                    <w:rPr>
                      <w:rFonts w:hint="eastAsia"/>
                      <w:sz w:val="21"/>
                      <w:szCs w:val="21"/>
                    </w:rPr>
                    <w:t>5</w:t>
                  </w:r>
                  <w:r>
                    <w:rPr>
                      <w:sz w:val="21"/>
                      <w:szCs w:val="21"/>
                    </w:rPr>
                    <w:t>t/a</w:t>
                  </w:r>
                </w:p>
              </w:tc>
              <w:tc>
                <w:tcPr>
                  <w:tcW w:w="588" w:type="dxa"/>
                  <w:vAlign w:val="center"/>
                </w:tcPr>
                <w:p w14:paraId="1C5A8512">
                  <w:pPr>
                    <w:pStyle w:val="154"/>
                    <w:rPr>
                      <w:sz w:val="21"/>
                      <w:szCs w:val="21"/>
                    </w:rPr>
                  </w:pPr>
                  <w:r>
                    <w:rPr>
                      <w:sz w:val="21"/>
                      <w:szCs w:val="21"/>
                    </w:rPr>
                    <w:t>桶装</w:t>
                  </w:r>
                </w:p>
              </w:tc>
              <w:tc>
                <w:tcPr>
                  <w:tcW w:w="1166" w:type="dxa"/>
                  <w:vMerge w:val="continue"/>
                  <w:vAlign w:val="center"/>
                </w:tcPr>
                <w:p w14:paraId="7C11A168">
                  <w:pPr>
                    <w:pStyle w:val="154"/>
                  </w:pPr>
                </w:p>
              </w:tc>
            </w:tr>
          </w:tbl>
          <w:p w14:paraId="5B8A2DCA">
            <w:pPr>
              <w:pStyle w:val="179"/>
            </w:pPr>
            <w:r>
              <w:t>4.2 环境管理要求</w:t>
            </w:r>
          </w:p>
          <w:p w14:paraId="1BEA4087">
            <w:pPr>
              <w:pStyle w:val="156"/>
              <w:ind w:firstLine="480"/>
              <w:rPr>
                <w:rFonts w:eastAsia="宋体" w:cs="Times New Roman"/>
              </w:rPr>
            </w:pPr>
            <w:r>
              <w:rPr>
                <w:rFonts w:eastAsia="宋体" w:cs="Times New Roman"/>
              </w:rPr>
              <w:t>（1）一般固废</w:t>
            </w:r>
          </w:p>
          <w:p w14:paraId="22A75CC6">
            <w:pPr>
              <w:pStyle w:val="156"/>
              <w:ind w:firstLine="480"/>
              <w:rPr>
                <w:rFonts w:eastAsia="宋体" w:cs="Times New Roman"/>
              </w:rPr>
            </w:pPr>
            <w:r>
              <w:rPr>
                <w:rFonts w:eastAsia="宋体" w:cs="Times New Roman"/>
              </w:rPr>
              <w:t>废包装材料</w:t>
            </w:r>
            <w:r>
              <w:rPr>
                <w:rFonts w:hint="eastAsia" w:eastAsia="宋体"/>
              </w:rPr>
              <w:t>、废包装桶、废</w:t>
            </w:r>
            <w:r>
              <w:rPr>
                <w:rFonts w:eastAsia="宋体"/>
              </w:rPr>
              <w:t>PU</w:t>
            </w:r>
            <w:r>
              <w:rPr>
                <w:rFonts w:hint="eastAsia" w:eastAsia="宋体"/>
              </w:rPr>
              <w:t>边角料</w:t>
            </w:r>
            <w:r>
              <w:rPr>
                <w:rFonts w:eastAsia="宋体" w:cs="Times New Roman"/>
              </w:rPr>
              <w:t>：车间内设置一般固废暂存区，收集后外售给回收单位。</w:t>
            </w:r>
          </w:p>
          <w:p w14:paraId="7530C029">
            <w:pPr>
              <w:pStyle w:val="156"/>
              <w:ind w:firstLine="480"/>
              <w:rPr>
                <w:rFonts w:eastAsia="宋体" w:cs="Times New Roman"/>
              </w:rPr>
            </w:pPr>
            <w:r>
              <w:rPr>
                <w:rFonts w:hint="eastAsia" w:eastAsia="宋体"/>
              </w:rPr>
              <w:t>废滤袋、</w:t>
            </w:r>
            <w:r>
              <w:rPr>
                <w:rFonts w:eastAsia="宋体" w:cs="Times New Roman"/>
              </w:rPr>
              <w:t>生活垃圾：设置生活垃圾收集桶，每天收集后，交由环保部门统一清运。</w:t>
            </w:r>
          </w:p>
          <w:p w14:paraId="33FF23F0">
            <w:pPr>
              <w:pStyle w:val="156"/>
              <w:ind w:firstLine="480"/>
              <w:rPr>
                <w:rFonts w:eastAsia="宋体" w:cs="Times New Roman"/>
              </w:rPr>
            </w:pPr>
            <w:r>
              <w:rPr>
                <w:rFonts w:eastAsia="宋体" w:cs="Times New Roman"/>
              </w:rPr>
              <w:t>（2）危险废物</w:t>
            </w:r>
          </w:p>
          <w:p w14:paraId="3382C84F">
            <w:pPr>
              <w:pStyle w:val="156"/>
              <w:ind w:firstLine="480"/>
              <w:rPr>
                <w:rFonts w:eastAsia="宋体" w:cs="Times New Roman"/>
              </w:rPr>
            </w:pPr>
            <w:r>
              <w:rPr>
                <w:rFonts w:eastAsia="宋体" w:cs="Times New Roman"/>
              </w:rPr>
              <w:t>在厂区</w:t>
            </w:r>
            <w:r>
              <w:rPr>
                <w:rFonts w:hint="eastAsia" w:eastAsia="宋体" w:cs="Times New Roman"/>
              </w:rPr>
              <w:t>东</w:t>
            </w:r>
            <w:r>
              <w:rPr>
                <w:rFonts w:eastAsia="宋体" w:cs="Times New Roman"/>
              </w:rPr>
              <w:t>侧一楼设置一个危废暂存</w:t>
            </w:r>
            <w:r>
              <w:t>间（</w:t>
            </w:r>
            <w:r>
              <w:rPr>
                <w:rFonts w:hint="eastAsia"/>
              </w:rPr>
              <w:t>10</w:t>
            </w:r>
            <w:r>
              <w:t>m</w:t>
            </w:r>
            <w:r>
              <w:rPr>
                <w:vertAlign w:val="superscript"/>
              </w:rPr>
              <w:t>2</w:t>
            </w:r>
            <w:r>
              <w:t>），危</w:t>
            </w:r>
            <w:r>
              <w:rPr>
                <w:rFonts w:eastAsia="宋体" w:cs="Times New Roman"/>
              </w:rPr>
              <w:t>险废物分类收集，暂存于危废暂存间内，并定期由具有危险废物处理资质的单位处理，危险废物在厂区内暂存时间应不超过一年。建立严格管理制度，做好台账记录，定期对危险废物贮存容器及危废间进行检查；危险废物的转运严格按照有关规定，实现联单制度。</w:t>
            </w:r>
          </w:p>
          <w:p w14:paraId="13B1B17C">
            <w:pPr>
              <w:pStyle w:val="156"/>
              <w:ind w:firstLine="480"/>
              <w:rPr>
                <w:rFonts w:eastAsia="宋体" w:cs="Times New Roman"/>
              </w:rPr>
            </w:pPr>
            <w:r>
              <w:rPr>
                <w:rFonts w:eastAsia="宋体" w:cs="Times New Roman"/>
              </w:rPr>
              <w:t>危废暂存间为封闭间，具备防风、防雨、防晒、防漏、防渗、防腐功能，且本次环评要求危废贮存区严格按照《危险废物贮存污染控制标准》（GB18597-2023）的要求进行建设，地面硬化防渗，四周设置围堰（围堰高20cm），装载危险废物的容器必须定期检查，确保完好无损，防止容器破损造成二次污染，并设置明显的警示标志。</w:t>
            </w:r>
          </w:p>
          <w:p w14:paraId="60C80F79">
            <w:pPr>
              <w:pStyle w:val="182"/>
              <w:ind w:firstLine="480"/>
            </w:pPr>
            <w:r>
              <w:t>表4-</w:t>
            </w:r>
            <w:r>
              <w:rPr>
                <w:rFonts w:hint="eastAsia"/>
              </w:rPr>
              <w:t>20</w:t>
            </w:r>
            <w:r>
              <w:t xml:space="preserve">     建设项目危险废物贮存场所（设施）基本情况表</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37"/>
              <w:gridCol w:w="1732"/>
              <w:gridCol w:w="751"/>
              <w:gridCol w:w="1202"/>
              <w:gridCol w:w="600"/>
              <w:gridCol w:w="738"/>
              <w:gridCol w:w="1166"/>
              <w:gridCol w:w="718"/>
              <w:gridCol w:w="789"/>
            </w:tblGrid>
            <w:tr w14:paraId="443B3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37" w:type="dxa"/>
                  <w:vAlign w:val="center"/>
                </w:tcPr>
                <w:p w14:paraId="273AB148">
                  <w:pPr>
                    <w:pStyle w:val="154"/>
                    <w:rPr>
                      <w:sz w:val="21"/>
                      <w:szCs w:val="21"/>
                    </w:rPr>
                  </w:pPr>
                  <w:r>
                    <w:rPr>
                      <w:sz w:val="21"/>
                      <w:szCs w:val="21"/>
                    </w:rPr>
                    <w:t>贮存场所(设施)名称</w:t>
                  </w:r>
                </w:p>
              </w:tc>
              <w:tc>
                <w:tcPr>
                  <w:tcW w:w="1732" w:type="dxa"/>
                  <w:vAlign w:val="center"/>
                </w:tcPr>
                <w:p w14:paraId="5D5F8670">
                  <w:pPr>
                    <w:pStyle w:val="154"/>
                    <w:rPr>
                      <w:sz w:val="21"/>
                      <w:szCs w:val="21"/>
                    </w:rPr>
                  </w:pPr>
                  <w:r>
                    <w:rPr>
                      <w:sz w:val="21"/>
                      <w:szCs w:val="21"/>
                    </w:rPr>
                    <w:t>危险废物名称</w:t>
                  </w:r>
                </w:p>
              </w:tc>
              <w:tc>
                <w:tcPr>
                  <w:tcW w:w="751" w:type="dxa"/>
                  <w:vAlign w:val="center"/>
                </w:tcPr>
                <w:p w14:paraId="7F5F9277">
                  <w:pPr>
                    <w:pStyle w:val="154"/>
                    <w:rPr>
                      <w:sz w:val="21"/>
                      <w:szCs w:val="21"/>
                    </w:rPr>
                  </w:pPr>
                  <w:r>
                    <w:rPr>
                      <w:sz w:val="21"/>
                      <w:szCs w:val="21"/>
                    </w:rPr>
                    <w:t>危险废物类别</w:t>
                  </w:r>
                </w:p>
              </w:tc>
              <w:tc>
                <w:tcPr>
                  <w:tcW w:w="1202" w:type="dxa"/>
                  <w:vAlign w:val="center"/>
                </w:tcPr>
                <w:p w14:paraId="67D7A92E">
                  <w:pPr>
                    <w:pStyle w:val="154"/>
                    <w:rPr>
                      <w:sz w:val="21"/>
                      <w:szCs w:val="21"/>
                    </w:rPr>
                  </w:pPr>
                  <w:r>
                    <w:rPr>
                      <w:sz w:val="21"/>
                      <w:szCs w:val="21"/>
                    </w:rPr>
                    <w:t>危险废物</w:t>
                  </w:r>
                  <w:r>
                    <w:rPr>
                      <w:sz w:val="21"/>
                      <w:szCs w:val="21"/>
                    </w:rPr>
                    <w:br w:type="textWrapping"/>
                  </w:r>
                  <w:r>
                    <w:rPr>
                      <w:sz w:val="21"/>
                      <w:szCs w:val="21"/>
                    </w:rPr>
                    <w:t>代码</w:t>
                  </w:r>
                </w:p>
              </w:tc>
              <w:tc>
                <w:tcPr>
                  <w:tcW w:w="600" w:type="dxa"/>
                  <w:vAlign w:val="center"/>
                </w:tcPr>
                <w:p w14:paraId="43FAF9EE">
                  <w:pPr>
                    <w:pStyle w:val="154"/>
                    <w:rPr>
                      <w:sz w:val="21"/>
                      <w:szCs w:val="21"/>
                    </w:rPr>
                  </w:pPr>
                  <w:r>
                    <w:rPr>
                      <w:sz w:val="21"/>
                      <w:szCs w:val="21"/>
                    </w:rPr>
                    <w:t>位置</w:t>
                  </w:r>
                </w:p>
              </w:tc>
              <w:tc>
                <w:tcPr>
                  <w:tcW w:w="738" w:type="dxa"/>
                  <w:vAlign w:val="center"/>
                </w:tcPr>
                <w:p w14:paraId="3DAE0584">
                  <w:pPr>
                    <w:pStyle w:val="154"/>
                    <w:rPr>
                      <w:sz w:val="21"/>
                      <w:szCs w:val="21"/>
                    </w:rPr>
                  </w:pPr>
                  <w:r>
                    <w:rPr>
                      <w:sz w:val="21"/>
                      <w:szCs w:val="21"/>
                    </w:rPr>
                    <w:t>占地</w:t>
                  </w:r>
                  <w:r>
                    <w:rPr>
                      <w:sz w:val="21"/>
                      <w:szCs w:val="21"/>
                    </w:rPr>
                    <w:br w:type="textWrapping"/>
                  </w:r>
                  <w:r>
                    <w:rPr>
                      <w:sz w:val="21"/>
                      <w:szCs w:val="21"/>
                    </w:rPr>
                    <w:t>面积</w:t>
                  </w:r>
                </w:p>
              </w:tc>
              <w:tc>
                <w:tcPr>
                  <w:tcW w:w="1166" w:type="dxa"/>
                  <w:vAlign w:val="center"/>
                </w:tcPr>
                <w:p w14:paraId="1A7A99DF">
                  <w:pPr>
                    <w:pStyle w:val="154"/>
                    <w:rPr>
                      <w:sz w:val="21"/>
                      <w:szCs w:val="21"/>
                    </w:rPr>
                  </w:pPr>
                  <w:r>
                    <w:rPr>
                      <w:sz w:val="21"/>
                      <w:szCs w:val="21"/>
                    </w:rPr>
                    <w:t>贮存方式</w:t>
                  </w:r>
                </w:p>
              </w:tc>
              <w:tc>
                <w:tcPr>
                  <w:tcW w:w="718" w:type="dxa"/>
                  <w:vAlign w:val="center"/>
                </w:tcPr>
                <w:p w14:paraId="66A2FD4C">
                  <w:pPr>
                    <w:pStyle w:val="154"/>
                    <w:rPr>
                      <w:sz w:val="21"/>
                      <w:szCs w:val="21"/>
                    </w:rPr>
                  </w:pPr>
                  <w:r>
                    <w:rPr>
                      <w:sz w:val="21"/>
                      <w:szCs w:val="21"/>
                    </w:rPr>
                    <w:t>贮存</w:t>
                  </w:r>
                  <w:r>
                    <w:rPr>
                      <w:sz w:val="21"/>
                      <w:szCs w:val="21"/>
                    </w:rPr>
                    <w:br w:type="textWrapping"/>
                  </w:r>
                  <w:r>
                    <w:rPr>
                      <w:sz w:val="21"/>
                      <w:szCs w:val="21"/>
                    </w:rPr>
                    <w:t>能力</w:t>
                  </w:r>
                </w:p>
              </w:tc>
              <w:tc>
                <w:tcPr>
                  <w:tcW w:w="789" w:type="dxa"/>
                  <w:vAlign w:val="center"/>
                </w:tcPr>
                <w:p w14:paraId="10A72597">
                  <w:pPr>
                    <w:pStyle w:val="154"/>
                    <w:rPr>
                      <w:sz w:val="21"/>
                      <w:szCs w:val="21"/>
                    </w:rPr>
                  </w:pPr>
                  <w:r>
                    <w:rPr>
                      <w:sz w:val="21"/>
                      <w:szCs w:val="21"/>
                    </w:rPr>
                    <w:t>贮存</w:t>
                  </w:r>
                  <w:r>
                    <w:rPr>
                      <w:sz w:val="21"/>
                      <w:szCs w:val="21"/>
                    </w:rPr>
                    <w:br w:type="textWrapping"/>
                  </w:r>
                  <w:r>
                    <w:rPr>
                      <w:sz w:val="21"/>
                      <w:szCs w:val="21"/>
                    </w:rPr>
                    <w:t>周期</w:t>
                  </w:r>
                </w:p>
              </w:tc>
            </w:tr>
            <w:tr w14:paraId="28A12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137" w:type="dxa"/>
                  <w:vMerge w:val="restart"/>
                  <w:vAlign w:val="center"/>
                </w:tcPr>
                <w:p w14:paraId="3E84127B">
                  <w:pPr>
                    <w:pStyle w:val="154"/>
                    <w:rPr>
                      <w:sz w:val="21"/>
                      <w:szCs w:val="21"/>
                    </w:rPr>
                  </w:pPr>
                  <w:r>
                    <w:rPr>
                      <w:sz w:val="21"/>
                      <w:szCs w:val="21"/>
                    </w:rPr>
                    <w:t>危废间</w:t>
                  </w:r>
                </w:p>
              </w:tc>
              <w:tc>
                <w:tcPr>
                  <w:tcW w:w="1732" w:type="dxa"/>
                  <w:vAlign w:val="center"/>
                </w:tcPr>
                <w:p w14:paraId="79AE4FBB">
                  <w:pPr>
                    <w:pStyle w:val="154"/>
                    <w:rPr>
                      <w:sz w:val="21"/>
                      <w:szCs w:val="21"/>
                    </w:rPr>
                  </w:pPr>
                  <w:r>
                    <w:rPr>
                      <w:rFonts w:hint="eastAsia"/>
                      <w:sz w:val="21"/>
                      <w:szCs w:val="21"/>
                    </w:rPr>
                    <w:t>废包装桶</w:t>
                  </w:r>
                </w:p>
                <w:p w14:paraId="645925A9">
                  <w:pPr>
                    <w:pStyle w:val="154"/>
                    <w:rPr>
                      <w:sz w:val="21"/>
                      <w:szCs w:val="21"/>
                    </w:rPr>
                  </w:pPr>
                  <w:r>
                    <w:rPr>
                      <w:rFonts w:hint="eastAsia"/>
                      <w:sz w:val="21"/>
                      <w:szCs w:val="21"/>
                    </w:rPr>
                    <w:t>（B料、色浆等）</w:t>
                  </w:r>
                </w:p>
              </w:tc>
              <w:tc>
                <w:tcPr>
                  <w:tcW w:w="751" w:type="dxa"/>
                  <w:vAlign w:val="center"/>
                </w:tcPr>
                <w:p w14:paraId="1AC42478">
                  <w:pPr>
                    <w:pStyle w:val="154"/>
                    <w:rPr>
                      <w:sz w:val="21"/>
                      <w:szCs w:val="21"/>
                    </w:rPr>
                  </w:pPr>
                  <w:r>
                    <w:rPr>
                      <w:sz w:val="21"/>
                      <w:szCs w:val="21"/>
                    </w:rPr>
                    <w:t>HW49</w:t>
                  </w:r>
                </w:p>
              </w:tc>
              <w:tc>
                <w:tcPr>
                  <w:tcW w:w="1202" w:type="dxa"/>
                  <w:vAlign w:val="center"/>
                </w:tcPr>
                <w:p w14:paraId="573B26FB">
                  <w:pPr>
                    <w:pStyle w:val="154"/>
                    <w:rPr>
                      <w:sz w:val="21"/>
                      <w:szCs w:val="21"/>
                    </w:rPr>
                  </w:pPr>
                  <w:r>
                    <w:rPr>
                      <w:sz w:val="21"/>
                      <w:szCs w:val="21"/>
                    </w:rPr>
                    <w:t>900-041-49</w:t>
                  </w:r>
                </w:p>
              </w:tc>
              <w:tc>
                <w:tcPr>
                  <w:tcW w:w="600" w:type="dxa"/>
                  <w:vMerge w:val="restart"/>
                  <w:vAlign w:val="center"/>
                </w:tcPr>
                <w:p w14:paraId="3C6E572A">
                  <w:pPr>
                    <w:pStyle w:val="154"/>
                    <w:rPr>
                      <w:sz w:val="21"/>
                      <w:szCs w:val="21"/>
                    </w:rPr>
                  </w:pPr>
                  <w:r>
                    <w:rPr>
                      <w:rFonts w:hint="eastAsia"/>
                      <w:sz w:val="21"/>
                      <w:szCs w:val="21"/>
                    </w:rPr>
                    <w:t>厂区东北侧</w:t>
                  </w:r>
                </w:p>
              </w:tc>
              <w:tc>
                <w:tcPr>
                  <w:tcW w:w="738" w:type="dxa"/>
                  <w:vAlign w:val="center"/>
                </w:tcPr>
                <w:p w14:paraId="3FC0F23B">
                  <w:pPr>
                    <w:pStyle w:val="154"/>
                    <w:rPr>
                      <w:sz w:val="21"/>
                      <w:szCs w:val="21"/>
                    </w:rPr>
                  </w:pPr>
                  <w:r>
                    <w:rPr>
                      <w:rFonts w:hint="eastAsia"/>
                      <w:sz w:val="21"/>
                      <w:szCs w:val="21"/>
                    </w:rPr>
                    <w:t>2.0</w:t>
                  </w:r>
                  <w:r>
                    <w:rPr>
                      <w:sz w:val="21"/>
                      <w:szCs w:val="21"/>
                    </w:rPr>
                    <w:t>m</w:t>
                  </w:r>
                  <w:r>
                    <w:rPr>
                      <w:sz w:val="21"/>
                      <w:szCs w:val="21"/>
                      <w:vertAlign w:val="superscript"/>
                    </w:rPr>
                    <w:t>2</w:t>
                  </w:r>
                </w:p>
              </w:tc>
              <w:tc>
                <w:tcPr>
                  <w:tcW w:w="1166" w:type="dxa"/>
                  <w:vAlign w:val="center"/>
                </w:tcPr>
                <w:p w14:paraId="36166621">
                  <w:pPr>
                    <w:pStyle w:val="154"/>
                    <w:rPr>
                      <w:sz w:val="21"/>
                      <w:szCs w:val="21"/>
                    </w:rPr>
                  </w:pPr>
                  <w:r>
                    <w:rPr>
                      <w:rFonts w:hint="eastAsia"/>
                      <w:sz w:val="21"/>
                      <w:szCs w:val="21"/>
                    </w:rPr>
                    <w:t>不锈钢托盘</w:t>
                  </w:r>
                </w:p>
              </w:tc>
              <w:tc>
                <w:tcPr>
                  <w:tcW w:w="718" w:type="dxa"/>
                  <w:vAlign w:val="center"/>
                </w:tcPr>
                <w:p w14:paraId="25309B90">
                  <w:pPr>
                    <w:pStyle w:val="154"/>
                    <w:rPr>
                      <w:sz w:val="21"/>
                      <w:szCs w:val="21"/>
                    </w:rPr>
                  </w:pPr>
                  <w:r>
                    <w:rPr>
                      <w:rFonts w:hint="eastAsia"/>
                      <w:sz w:val="21"/>
                      <w:szCs w:val="21"/>
                    </w:rPr>
                    <w:t>0.2</w:t>
                  </w:r>
                  <w:r>
                    <w:rPr>
                      <w:sz w:val="21"/>
                      <w:szCs w:val="21"/>
                    </w:rPr>
                    <w:t>t</w:t>
                  </w:r>
                </w:p>
              </w:tc>
              <w:tc>
                <w:tcPr>
                  <w:tcW w:w="789" w:type="dxa"/>
                  <w:vAlign w:val="center"/>
                </w:tcPr>
                <w:p w14:paraId="50ADD424">
                  <w:pPr>
                    <w:pStyle w:val="154"/>
                    <w:rPr>
                      <w:sz w:val="21"/>
                      <w:szCs w:val="21"/>
                    </w:rPr>
                  </w:pPr>
                  <w:r>
                    <w:rPr>
                      <w:sz w:val="21"/>
                      <w:szCs w:val="21"/>
                    </w:rPr>
                    <w:t>1</w:t>
                  </w:r>
                  <w:r>
                    <w:rPr>
                      <w:rFonts w:hint="eastAsia"/>
                      <w:sz w:val="21"/>
                      <w:szCs w:val="21"/>
                    </w:rPr>
                    <w:t>个月</w:t>
                  </w:r>
                </w:p>
              </w:tc>
            </w:tr>
            <w:tr w14:paraId="5C18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137" w:type="dxa"/>
                  <w:vMerge w:val="continue"/>
                  <w:vAlign w:val="center"/>
                </w:tcPr>
                <w:p w14:paraId="179928D3">
                  <w:pPr>
                    <w:pStyle w:val="154"/>
                    <w:rPr>
                      <w:sz w:val="21"/>
                      <w:szCs w:val="21"/>
                    </w:rPr>
                  </w:pPr>
                </w:p>
              </w:tc>
              <w:tc>
                <w:tcPr>
                  <w:tcW w:w="1732" w:type="dxa"/>
                  <w:vAlign w:val="center"/>
                </w:tcPr>
                <w:p w14:paraId="6EFDBE35">
                  <w:pPr>
                    <w:pStyle w:val="154"/>
                    <w:rPr>
                      <w:sz w:val="21"/>
                      <w:szCs w:val="21"/>
                    </w:rPr>
                  </w:pPr>
                  <w:r>
                    <w:rPr>
                      <w:rFonts w:hint="eastAsia"/>
                      <w:sz w:val="21"/>
                      <w:szCs w:val="21"/>
                    </w:rPr>
                    <w:t>废抹布、手套</w:t>
                  </w:r>
                </w:p>
              </w:tc>
              <w:tc>
                <w:tcPr>
                  <w:tcW w:w="751" w:type="dxa"/>
                  <w:vAlign w:val="center"/>
                </w:tcPr>
                <w:p w14:paraId="7521C0B6">
                  <w:pPr>
                    <w:pStyle w:val="154"/>
                    <w:rPr>
                      <w:sz w:val="21"/>
                      <w:szCs w:val="21"/>
                    </w:rPr>
                  </w:pPr>
                  <w:r>
                    <w:rPr>
                      <w:sz w:val="21"/>
                      <w:szCs w:val="21"/>
                    </w:rPr>
                    <w:t>HW49</w:t>
                  </w:r>
                </w:p>
              </w:tc>
              <w:tc>
                <w:tcPr>
                  <w:tcW w:w="1202" w:type="dxa"/>
                  <w:vAlign w:val="center"/>
                </w:tcPr>
                <w:p w14:paraId="29E23BDE">
                  <w:pPr>
                    <w:pStyle w:val="154"/>
                    <w:rPr>
                      <w:sz w:val="21"/>
                      <w:szCs w:val="21"/>
                    </w:rPr>
                  </w:pPr>
                  <w:r>
                    <w:rPr>
                      <w:sz w:val="21"/>
                      <w:szCs w:val="21"/>
                    </w:rPr>
                    <w:t>900-041-49</w:t>
                  </w:r>
                </w:p>
              </w:tc>
              <w:tc>
                <w:tcPr>
                  <w:tcW w:w="600" w:type="dxa"/>
                  <w:vMerge w:val="continue"/>
                  <w:vAlign w:val="center"/>
                </w:tcPr>
                <w:p w14:paraId="3B947343">
                  <w:pPr>
                    <w:pStyle w:val="154"/>
                    <w:rPr>
                      <w:sz w:val="21"/>
                      <w:szCs w:val="21"/>
                    </w:rPr>
                  </w:pPr>
                </w:p>
              </w:tc>
              <w:tc>
                <w:tcPr>
                  <w:tcW w:w="738" w:type="dxa"/>
                  <w:vAlign w:val="center"/>
                </w:tcPr>
                <w:p w14:paraId="60CD6E2D">
                  <w:pPr>
                    <w:pStyle w:val="154"/>
                    <w:rPr>
                      <w:sz w:val="21"/>
                      <w:szCs w:val="21"/>
                    </w:rPr>
                  </w:pPr>
                  <w:r>
                    <w:rPr>
                      <w:rFonts w:hint="eastAsia"/>
                      <w:sz w:val="21"/>
                      <w:szCs w:val="21"/>
                    </w:rPr>
                    <w:t>0.4</w:t>
                  </w:r>
                  <w:r>
                    <w:rPr>
                      <w:sz w:val="21"/>
                      <w:szCs w:val="21"/>
                    </w:rPr>
                    <w:t>m</w:t>
                  </w:r>
                  <w:r>
                    <w:rPr>
                      <w:sz w:val="21"/>
                      <w:szCs w:val="21"/>
                      <w:vertAlign w:val="superscript"/>
                    </w:rPr>
                    <w:t>2</w:t>
                  </w:r>
                </w:p>
              </w:tc>
              <w:tc>
                <w:tcPr>
                  <w:tcW w:w="1166" w:type="dxa"/>
                  <w:vAlign w:val="center"/>
                </w:tcPr>
                <w:p w14:paraId="0E20BD10">
                  <w:pPr>
                    <w:pStyle w:val="154"/>
                    <w:rPr>
                      <w:sz w:val="21"/>
                      <w:szCs w:val="21"/>
                    </w:rPr>
                  </w:pPr>
                  <w:r>
                    <w:rPr>
                      <w:rFonts w:hint="eastAsia"/>
                      <w:sz w:val="21"/>
                      <w:szCs w:val="21"/>
                    </w:rPr>
                    <w:t>不锈钢托盘</w:t>
                  </w:r>
                </w:p>
              </w:tc>
              <w:tc>
                <w:tcPr>
                  <w:tcW w:w="718" w:type="dxa"/>
                  <w:vAlign w:val="center"/>
                </w:tcPr>
                <w:p w14:paraId="4F20F81E">
                  <w:pPr>
                    <w:pStyle w:val="154"/>
                    <w:rPr>
                      <w:sz w:val="21"/>
                      <w:szCs w:val="21"/>
                    </w:rPr>
                  </w:pPr>
                  <w:r>
                    <w:rPr>
                      <w:rFonts w:hint="eastAsia"/>
                      <w:sz w:val="21"/>
                      <w:szCs w:val="21"/>
                    </w:rPr>
                    <w:t>0.1t</w:t>
                  </w:r>
                </w:p>
              </w:tc>
              <w:tc>
                <w:tcPr>
                  <w:tcW w:w="789" w:type="dxa"/>
                  <w:vAlign w:val="center"/>
                </w:tcPr>
                <w:p w14:paraId="5DFB8822">
                  <w:pPr>
                    <w:pStyle w:val="154"/>
                    <w:rPr>
                      <w:sz w:val="21"/>
                      <w:szCs w:val="21"/>
                    </w:rPr>
                  </w:pPr>
                  <w:r>
                    <w:rPr>
                      <w:rFonts w:hint="eastAsia"/>
                      <w:sz w:val="21"/>
                      <w:szCs w:val="21"/>
                    </w:rPr>
                    <w:t>4个月</w:t>
                  </w:r>
                </w:p>
              </w:tc>
            </w:tr>
            <w:tr w14:paraId="2CE9E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137" w:type="dxa"/>
                  <w:vMerge w:val="continue"/>
                  <w:vAlign w:val="center"/>
                </w:tcPr>
                <w:p w14:paraId="1DC838E9">
                  <w:pPr>
                    <w:pStyle w:val="154"/>
                    <w:rPr>
                      <w:sz w:val="21"/>
                      <w:szCs w:val="21"/>
                    </w:rPr>
                  </w:pPr>
                </w:p>
              </w:tc>
              <w:tc>
                <w:tcPr>
                  <w:tcW w:w="1732" w:type="dxa"/>
                  <w:vAlign w:val="center"/>
                </w:tcPr>
                <w:p w14:paraId="63039601">
                  <w:pPr>
                    <w:pStyle w:val="154"/>
                    <w:rPr>
                      <w:sz w:val="21"/>
                      <w:szCs w:val="21"/>
                    </w:rPr>
                  </w:pPr>
                  <w:r>
                    <w:rPr>
                      <w:sz w:val="21"/>
                      <w:szCs w:val="21"/>
                    </w:rPr>
                    <w:t>废活性炭</w:t>
                  </w:r>
                </w:p>
              </w:tc>
              <w:tc>
                <w:tcPr>
                  <w:tcW w:w="751" w:type="dxa"/>
                  <w:vAlign w:val="center"/>
                </w:tcPr>
                <w:p w14:paraId="7B7A8999">
                  <w:pPr>
                    <w:pStyle w:val="154"/>
                    <w:rPr>
                      <w:sz w:val="21"/>
                      <w:szCs w:val="21"/>
                    </w:rPr>
                  </w:pPr>
                  <w:r>
                    <w:rPr>
                      <w:sz w:val="21"/>
                      <w:szCs w:val="21"/>
                    </w:rPr>
                    <w:t>HW49</w:t>
                  </w:r>
                </w:p>
              </w:tc>
              <w:tc>
                <w:tcPr>
                  <w:tcW w:w="1202" w:type="dxa"/>
                  <w:vAlign w:val="center"/>
                </w:tcPr>
                <w:p w14:paraId="50347A6F">
                  <w:pPr>
                    <w:pStyle w:val="154"/>
                    <w:rPr>
                      <w:sz w:val="21"/>
                      <w:szCs w:val="21"/>
                    </w:rPr>
                  </w:pPr>
                  <w:r>
                    <w:rPr>
                      <w:sz w:val="21"/>
                      <w:szCs w:val="21"/>
                    </w:rPr>
                    <w:t>900-039-49</w:t>
                  </w:r>
                </w:p>
              </w:tc>
              <w:tc>
                <w:tcPr>
                  <w:tcW w:w="600" w:type="dxa"/>
                  <w:vMerge w:val="continue"/>
                  <w:vAlign w:val="center"/>
                </w:tcPr>
                <w:p w14:paraId="275658B1">
                  <w:pPr>
                    <w:pStyle w:val="154"/>
                    <w:rPr>
                      <w:sz w:val="21"/>
                      <w:szCs w:val="21"/>
                    </w:rPr>
                  </w:pPr>
                </w:p>
              </w:tc>
              <w:tc>
                <w:tcPr>
                  <w:tcW w:w="738" w:type="dxa"/>
                  <w:vAlign w:val="center"/>
                </w:tcPr>
                <w:p w14:paraId="3238CF15">
                  <w:pPr>
                    <w:pStyle w:val="154"/>
                    <w:rPr>
                      <w:sz w:val="21"/>
                      <w:szCs w:val="21"/>
                    </w:rPr>
                  </w:pPr>
                  <w:r>
                    <w:rPr>
                      <w:rFonts w:hint="eastAsia"/>
                      <w:sz w:val="21"/>
                      <w:szCs w:val="21"/>
                    </w:rPr>
                    <w:t>3.0</w:t>
                  </w:r>
                  <w:r>
                    <w:rPr>
                      <w:sz w:val="21"/>
                      <w:szCs w:val="21"/>
                    </w:rPr>
                    <w:t>m</w:t>
                  </w:r>
                  <w:r>
                    <w:rPr>
                      <w:sz w:val="21"/>
                      <w:szCs w:val="21"/>
                      <w:vertAlign w:val="superscript"/>
                    </w:rPr>
                    <w:t>2</w:t>
                  </w:r>
                </w:p>
              </w:tc>
              <w:tc>
                <w:tcPr>
                  <w:tcW w:w="1166" w:type="dxa"/>
                  <w:vAlign w:val="center"/>
                </w:tcPr>
                <w:p w14:paraId="25B3DC1B">
                  <w:pPr>
                    <w:pStyle w:val="154"/>
                    <w:rPr>
                      <w:sz w:val="21"/>
                      <w:szCs w:val="21"/>
                    </w:rPr>
                  </w:pPr>
                  <w:r>
                    <w:rPr>
                      <w:sz w:val="21"/>
                      <w:szCs w:val="21"/>
                    </w:rPr>
                    <w:t>塑料袋密封包装，不锈钢拖盘</w:t>
                  </w:r>
                </w:p>
              </w:tc>
              <w:tc>
                <w:tcPr>
                  <w:tcW w:w="718" w:type="dxa"/>
                  <w:vAlign w:val="center"/>
                </w:tcPr>
                <w:p w14:paraId="740656CB">
                  <w:pPr>
                    <w:pStyle w:val="154"/>
                    <w:rPr>
                      <w:sz w:val="21"/>
                      <w:szCs w:val="21"/>
                    </w:rPr>
                  </w:pPr>
                  <w:r>
                    <w:rPr>
                      <w:rFonts w:hint="eastAsia"/>
                      <w:sz w:val="21"/>
                      <w:szCs w:val="21"/>
                    </w:rPr>
                    <w:t>1</w:t>
                  </w:r>
                  <w:r>
                    <w:rPr>
                      <w:sz w:val="21"/>
                      <w:szCs w:val="21"/>
                    </w:rPr>
                    <w:t>.0t</w:t>
                  </w:r>
                </w:p>
              </w:tc>
              <w:tc>
                <w:tcPr>
                  <w:tcW w:w="789" w:type="dxa"/>
                  <w:vAlign w:val="center"/>
                </w:tcPr>
                <w:p w14:paraId="0118F417">
                  <w:pPr>
                    <w:pStyle w:val="154"/>
                    <w:rPr>
                      <w:sz w:val="21"/>
                      <w:szCs w:val="21"/>
                    </w:rPr>
                  </w:pPr>
                  <w:r>
                    <w:rPr>
                      <w:rFonts w:hint="eastAsia"/>
                      <w:sz w:val="21"/>
                      <w:szCs w:val="21"/>
                    </w:rPr>
                    <w:t>4</w:t>
                  </w:r>
                  <w:r>
                    <w:rPr>
                      <w:sz w:val="21"/>
                      <w:szCs w:val="21"/>
                    </w:rPr>
                    <w:t>个月</w:t>
                  </w:r>
                </w:p>
              </w:tc>
            </w:tr>
            <w:tr w14:paraId="51FBA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137" w:type="dxa"/>
                  <w:vMerge w:val="continue"/>
                  <w:vAlign w:val="center"/>
                </w:tcPr>
                <w:p w14:paraId="779633F5">
                  <w:pPr>
                    <w:pStyle w:val="154"/>
                    <w:rPr>
                      <w:sz w:val="21"/>
                      <w:szCs w:val="21"/>
                    </w:rPr>
                  </w:pPr>
                </w:p>
              </w:tc>
              <w:tc>
                <w:tcPr>
                  <w:tcW w:w="1732" w:type="dxa"/>
                  <w:vAlign w:val="center"/>
                </w:tcPr>
                <w:p w14:paraId="53828DD1">
                  <w:pPr>
                    <w:pStyle w:val="154"/>
                    <w:rPr>
                      <w:sz w:val="21"/>
                      <w:szCs w:val="21"/>
                    </w:rPr>
                  </w:pPr>
                  <w:r>
                    <w:rPr>
                      <w:sz w:val="21"/>
                      <w:szCs w:val="21"/>
                    </w:rPr>
                    <w:t>废液压油</w:t>
                  </w:r>
                </w:p>
              </w:tc>
              <w:tc>
                <w:tcPr>
                  <w:tcW w:w="751" w:type="dxa"/>
                  <w:vAlign w:val="center"/>
                </w:tcPr>
                <w:p w14:paraId="7558B436">
                  <w:pPr>
                    <w:pStyle w:val="154"/>
                    <w:rPr>
                      <w:sz w:val="21"/>
                      <w:szCs w:val="21"/>
                    </w:rPr>
                  </w:pPr>
                  <w:r>
                    <w:rPr>
                      <w:sz w:val="21"/>
                      <w:szCs w:val="21"/>
                    </w:rPr>
                    <w:t>HW08</w:t>
                  </w:r>
                </w:p>
              </w:tc>
              <w:tc>
                <w:tcPr>
                  <w:tcW w:w="1202" w:type="dxa"/>
                  <w:vAlign w:val="center"/>
                </w:tcPr>
                <w:p w14:paraId="654E35DA">
                  <w:pPr>
                    <w:pStyle w:val="154"/>
                    <w:rPr>
                      <w:sz w:val="21"/>
                      <w:szCs w:val="21"/>
                    </w:rPr>
                  </w:pPr>
                  <w:r>
                    <w:rPr>
                      <w:sz w:val="21"/>
                      <w:szCs w:val="21"/>
                    </w:rPr>
                    <w:t>900-218-08</w:t>
                  </w:r>
                </w:p>
              </w:tc>
              <w:tc>
                <w:tcPr>
                  <w:tcW w:w="600" w:type="dxa"/>
                  <w:vMerge w:val="continue"/>
                  <w:vAlign w:val="center"/>
                </w:tcPr>
                <w:p w14:paraId="38E47B71">
                  <w:pPr>
                    <w:pStyle w:val="154"/>
                    <w:rPr>
                      <w:sz w:val="21"/>
                      <w:szCs w:val="21"/>
                    </w:rPr>
                  </w:pPr>
                </w:p>
              </w:tc>
              <w:tc>
                <w:tcPr>
                  <w:tcW w:w="738" w:type="dxa"/>
                  <w:vAlign w:val="center"/>
                </w:tcPr>
                <w:p w14:paraId="512386AB">
                  <w:pPr>
                    <w:pStyle w:val="154"/>
                    <w:rPr>
                      <w:sz w:val="21"/>
                      <w:szCs w:val="21"/>
                    </w:rPr>
                  </w:pPr>
                  <w:r>
                    <w:rPr>
                      <w:sz w:val="21"/>
                      <w:szCs w:val="21"/>
                    </w:rPr>
                    <w:t>0.</w:t>
                  </w:r>
                  <w:r>
                    <w:rPr>
                      <w:rFonts w:hint="eastAsia"/>
                      <w:sz w:val="21"/>
                      <w:szCs w:val="21"/>
                    </w:rPr>
                    <w:t>2</w:t>
                  </w:r>
                  <w:r>
                    <w:rPr>
                      <w:sz w:val="21"/>
                      <w:szCs w:val="21"/>
                    </w:rPr>
                    <w:t>m</w:t>
                  </w:r>
                  <w:r>
                    <w:rPr>
                      <w:sz w:val="21"/>
                      <w:szCs w:val="21"/>
                      <w:vertAlign w:val="superscript"/>
                    </w:rPr>
                    <w:t>2</w:t>
                  </w:r>
                </w:p>
              </w:tc>
              <w:tc>
                <w:tcPr>
                  <w:tcW w:w="1166" w:type="dxa"/>
                  <w:vAlign w:val="center"/>
                </w:tcPr>
                <w:p w14:paraId="050F9933">
                  <w:pPr>
                    <w:pStyle w:val="154"/>
                    <w:rPr>
                      <w:sz w:val="21"/>
                      <w:szCs w:val="21"/>
                    </w:rPr>
                  </w:pPr>
                  <w:r>
                    <w:rPr>
                      <w:sz w:val="21"/>
                      <w:szCs w:val="21"/>
                    </w:rPr>
                    <w:t>桶装</w:t>
                  </w:r>
                </w:p>
              </w:tc>
              <w:tc>
                <w:tcPr>
                  <w:tcW w:w="718" w:type="dxa"/>
                  <w:vAlign w:val="center"/>
                </w:tcPr>
                <w:p w14:paraId="25B6006F">
                  <w:pPr>
                    <w:pStyle w:val="154"/>
                    <w:rPr>
                      <w:sz w:val="21"/>
                      <w:szCs w:val="21"/>
                    </w:rPr>
                  </w:pPr>
                  <w:r>
                    <w:rPr>
                      <w:sz w:val="21"/>
                      <w:szCs w:val="21"/>
                    </w:rPr>
                    <w:t>0.1t</w:t>
                  </w:r>
                </w:p>
              </w:tc>
              <w:tc>
                <w:tcPr>
                  <w:tcW w:w="789" w:type="dxa"/>
                </w:tcPr>
                <w:p w14:paraId="71A79CEC">
                  <w:pPr>
                    <w:pStyle w:val="154"/>
                    <w:rPr>
                      <w:sz w:val="21"/>
                      <w:szCs w:val="21"/>
                    </w:rPr>
                  </w:pPr>
                  <w:r>
                    <w:rPr>
                      <w:sz w:val="21"/>
                      <w:szCs w:val="21"/>
                    </w:rPr>
                    <w:t>1年</w:t>
                  </w:r>
                </w:p>
              </w:tc>
            </w:tr>
            <w:tr w14:paraId="7957C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1137" w:type="dxa"/>
                  <w:vMerge w:val="continue"/>
                  <w:vAlign w:val="center"/>
                </w:tcPr>
                <w:p w14:paraId="76D2C81A">
                  <w:pPr>
                    <w:pStyle w:val="154"/>
                    <w:rPr>
                      <w:sz w:val="21"/>
                      <w:szCs w:val="21"/>
                    </w:rPr>
                  </w:pPr>
                </w:p>
              </w:tc>
              <w:tc>
                <w:tcPr>
                  <w:tcW w:w="1732" w:type="dxa"/>
                  <w:vAlign w:val="center"/>
                </w:tcPr>
                <w:p w14:paraId="1C13C6FA">
                  <w:pPr>
                    <w:pStyle w:val="154"/>
                    <w:rPr>
                      <w:sz w:val="21"/>
                      <w:szCs w:val="21"/>
                    </w:rPr>
                  </w:pPr>
                  <w:r>
                    <w:rPr>
                      <w:sz w:val="21"/>
                      <w:szCs w:val="21"/>
                    </w:rPr>
                    <w:t>废润滑油</w:t>
                  </w:r>
                </w:p>
              </w:tc>
              <w:tc>
                <w:tcPr>
                  <w:tcW w:w="751" w:type="dxa"/>
                  <w:vAlign w:val="center"/>
                </w:tcPr>
                <w:p w14:paraId="0F2B19A5">
                  <w:pPr>
                    <w:pStyle w:val="154"/>
                    <w:rPr>
                      <w:sz w:val="21"/>
                      <w:szCs w:val="21"/>
                    </w:rPr>
                  </w:pPr>
                  <w:r>
                    <w:rPr>
                      <w:sz w:val="21"/>
                      <w:szCs w:val="21"/>
                    </w:rPr>
                    <w:t>HW08</w:t>
                  </w:r>
                </w:p>
              </w:tc>
              <w:tc>
                <w:tcPr>
                  <w:tcW w:w="1202" w:type="dxa"/>
                  <w:vAlign w:val="center"/>
                </w:tcPr>
                <w:p w14:paraId="5095BB06">
                  <w:pPr>
                    <w:pStyle w:val="154"/>
                    <w:rPr>
                      <w:sz w:val="21"/>
                      <w:szCs w:val="21"/>
                    </w:rPr>
                  </w:pPr>
                  <w:r>
                    <w:rPr>
                      <w:sz w:val="21"/>
                      <w:szCs w:val="21"/>
                    </w:rPr>
                    <w:t>900-217-08</w:t>
                  </w:r>
                </w:p>
              </w:tc>
              <w:tc>
                <w:tcPr>
                  <w:tcW w:w="600" w:type="dxa"/>
                  <w:vMerge w:val="continue"/>
                  <w:vAlign w:val="center"/>
                </w:tcPr>
                <w:p w14:paraId="0B48FBBE">
                  <w:pPr>
                    <w:pStyle w:val="154"/>
                    <w:rPr>
                      <w:sz w:val="21"/>
                      <w:szCs w:val="21"/>
                    </w:rPr>
                  </w:pPr>
                </w:p>
              </w:tc>
              <w:tc>
                <w:tcPr>
                  <w:tcW w:w="738" w:type="dxa"/>
                  <w:vAlign w:val="center"/>
                </w:tcPr>
                <w:p w14:paraId="6CA4CAFC">
                  <w:pPr>
                    <w:pStyle w:val="154"/>
                    <w:rPr>
                      <w:sz w:val="21"/>
                      <w:szCs w:val="21"/>
                    </w:rPr>
                  </w:pPr>
                  <w:r>
                    <w:rPr>
                      <w:sz w:val="21"/>
                      <w:szCs w:val="21"/>
                    </w:rPr>
                    <w:t>0.</w:t>
                  </w:r>
                  <w:r>
                    <w:rPr>
                      <w:rFonts w:hint="eastAsia"/>
                      <w:sz w:val="21"/>
                      <w:szCs w:val="21"/>
                    </w:rPr>
                    <w:t>4</w:t>
                  </w:r>
                  <w:r>
                    <w:rPr>
                      <w:sz w:val="21"/>
                      <w:szCs w:val="21"/>
                    </w:rPr>
                    <w:t>m</w:t>
                  </w:r>
                  <w:r>
                    <w:rPr>
                      <w:sz w:val="21"/>
                      <w:szCs w:val="21"/>
                      <w:vertAlign w:val="superscript"/>
                    </w:rPr>
                    <w:t>2</w:t>
                  </w:r>
                </w:p>
              </w:tc>
              <w:tc>
                <w:tcPr>
                  <w:tcW w:w="1166" w:type="dxa"/>
                  <w:vAlign w:val="center"/>
                </w:tcPr>
                <w:p w14:paraId="1F527E2D">
                  <w:pPr>
                    <w:pStyle w:val="154"/>
                    <w:rPr>
                      <w:sz w:val="21"/>
                      <w:szCs w:val="21"/>
                    </w:rPr>
                  </w:pPr>
                  <w:r>
                    <w:rPr>
                      <w:sz w:val="21"/>
                      <w:szCs w:val="21"/>
                    </w:rPr>
                    <w:t>桶装</w:t>
                  </w:r>
                </w:p>
              </w:tc>
              <w:tc>
                <w:tcPr>
                  <w:tcW w:w="718" w:type="dxa"/>
                  <w:vAlign w:val="center"/>
                </w:tcPr>
                <w:p w14:paraId="25DA8AB7">
                  <w:pPr>
                    <w:pStyle w:val="154"/>
                    <w:rPr>
                      <w:sz w:val="21"/>
                      <w:szCs w:val="21"/>
                    </w:rPr>
                  </w:pPr>
                  <w:r>
                    <w:rPr>
                      <w:sz w:val="21"/>
                      <w:szCs w:val="21"/>
                    </w:rPr>
                    <w:t>0.1t</w:t>
                  </w:r>
                </w:p>
              </w:tc>
              <w:tc>
                <w:tcPr>
                  <w:tcW w:w="789" w:type="dxa"/>
                </w:tcPr>
                <w:p w14:paraId="4074E22E">
                  <w:pPr>
                    <w:pStyle w:val="154"/>
                    <w:rPr>
                      <w:sz w:val="21"/>
                      <w:szCs w:val="21"/>
                    </w:rPr>
                  </w:pPr>
                  <w:r>
                    <w:rPr>
                      <w:sz w:val="21"/>
                      <w:szCs w:val="21"/>
                    </w:rPr>
                    <w:t>1年</w:t>
                  </w:r>
                </w:p>
              </w:tc>
            </w:tr>
          </w:tbl>
          <w:p w14:paraId="48A91E18">
            <w:pPr>
              <w:pStyle w:val="157"/>
            </w:pPr>
            <w:r>
              <w:t>5、地下水、土壤</w:t>
            </w:r>
          </w:p>
          <w:p w14:paraId="7BC5B8A7">
            <w:pPr>
              <w:pStyle w:val="179"/>
            </w:pPr>
            <w:r>
              <w:t>5.1 污染途径</w:t>
            </w:r>
          </w:p>
          <w:p w14:paraId="0F1674B5">
            <w:pPr>
              <w:pStyle w:val="156"/>
              <w:ind w:firstLine="480"/>
              <w:rPr>
                <w:rFonts w:eastAsia="宋体" w:cs="Times New Roman"/>
              </w:rPr>
            </w:pPr>
            <w:r>
              <w:rPr>
                <w:rFonts w:eastAsia="宋体" w:cs="Times New Roman"/>
              </w:rPr>
              <w:t>本项目出现的污染途径主要考虑非正常工况下，危废暂存间内物质出现渗漏，液体物料渗漏而使污染物污染地下水和土壤，具体如下：</w:t>
            </w:r>
          </w:p>
          <w:p w14:paraId="4A9E8D20">
            <w:pPr>
              <w:pStyle w:val="179"/>
            </w:pPr>
            <w:r>
              <w:t>5.2 防控措施</w:t>
            </w:r>
          </w:p>
          <w:p w14:paraId="736BE419">
            <w:pPr>
              <w:pStyle w:val="156"/>
              <w:ind w:firstLine="480"/>
              <w:rPr>
                <w:rFonts w:eastAsia="宋体" w:cs="Times New Roman"/>
              </w:rPr>
            </w:pPr>
            <w:r>
              <w:rPr>
                <w:rFonts w:eastAsia="宋体" w:cs="Times New Roman"/>
              </w:rPr>
              <w:t>（1）分区防控</w:t>
            </w:r>
          </w:p>
          <w:p w14:paraId="0367169F">
            <w:pPr>
              <w:pStyle w:val="156"/>
              <w:ind w:firstLine="480"/>
              <w:rPr>
                <w:rFonts w:eastAsia="宋体" w:cs="Times New Roman"/>
              </w:rPr>
            </w:pPr>
            <w:r>
              <w:rPr>
                <w:rFonts w:eastAsia="宋体" w:cs="Times New Roman"/>
              </w:rPr>
              <w:t>根据厂区可能泄漏至地面区域污染物的性质和生产单元的位置及构筑方式，将本项目生间车间划分为重点污染防治区</w:t>
            </w:r>
            <w:r>
              <w:rPr>
                <w:rFonts w:hint="eastAsia" w:eastAsia="宋体" w:cs="Times New Roman"/>
              </w:rPr>
              <w:t>、</w:t>
            </w:r>
            <w:r>
              <w:rPr>
                <w:rFonts w:eastAsia="宋体" w:cs="Times New Roman"/>
              </w:rPr>
              <w:t>一般污染防治区</w:t>
            </w:r>
            <w:r>
              <w:rPr>
                <w:rFonts w:hint="eastAsia" w:eastAsia="宋体" w:cs="Times New Roman"/>
              </w:rPr>
              <w:t>和简单防渗区</w:t>
            </w:r>
            <w:r>
              <w:rPr>
                <w:rFonts w:eastAsia="宋体" w:cs="Times New Roman"/>
              </w:rPr>
              <w:t>。具体见下表4-</w:t>
            </w:r>
            <w:r>
              <w:rPr>
                <w:rFonts w:hint="eastAsia" w:eastAsia="宋体" w:cs="Times New Roman"/>
              </w:rPr>
              <w:t>21</w:t>
            </w:r>
            <w:r>
              <w:rPr>
                <w:rFonts w:eastAsia="宋体" w:cs="Times New Roman"/>
              </w:rPr>
              <w:t>和附图</w:t>
            </w:r>
            <w:r>
              <w:rPr>
                <w:rFonts w:hint="eastAsia" w:eastAsia="宋体" w:cs="Times New Roman"/>
              </w:rPr>
              <w:t>5</w:t>
            </w:r>
            <w:r>
              <w:rPr>
                <w:rFonts w:eastAsia="宋体" w:cs="Times New Roman"/>
              </w:rPr>
              <w:t>。</w:t>
            </w:r>
          </w:p>
          <w:p w14:paraId="367C8079">
            <w:pPr>
              <w:pStyle w:val="182"/>
              <w:ind w:firstLine="480"/>
            </w:pPr>
            <w:r>
              <w:t>表4-</w:t>
            </w:r>
            <w:r>
              <w:rPr>
                <w:rFonts w:hint="eastAsia"/>
              </w:rPr>
              <w:t>21</w:t>
            </w:r>
            <w:r>
              <w:t xml:space="preserve">                 污染防渗分区</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00"/>
              <w:gridCol w:w="2521"/>
              <w:gridCol w:w="5012"/>
            </w:tblGrid>
            <w:tr w14:paraId="78F353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300" w:type="dxa"/>
                </w:tcPr>
                <w:p w14:paraId="2FBEB922">
                  <w:pPr>
                    <w:pStyle w:val="154"/>
                    <w:rPr>
                      <w:sz w:val="21"/>
                      <w:szCs w:val="21"/>
                    </w:rPr>
                  </w:pPr>
                  <w:r>
                    <w:rPr>
                      <w:sz w:val="21"/>
                      <w:szCs w:val="21"/>
                    </w:rPr>
                    <w:t>防渗区域</w:t>
                  </w:r>
                </w:p>
              </w:tc>
              <w:tc>
                <w:tcPr>
                  <w:tcW w:w="2521" w:type="dxa"/>
                </w:tcPr>
                <w:p w14:paraId="6965C113">
                  <w:pPr>
                    <w:pStyle w:val="154"/>
                    <w:rPr>
                      <w:sz w:val="21"/>
                      <w:szCs w:val="21"/>
                    </w:rPr>
                  </w:pPr>
                  <w:r>
                    <w:rPr>
                      <w:sz w:val="21"/>
                      <w:szCs w:val="21"/>
                    </w:rPr>
                    <w:t>位置</w:t>
                  </w:r>
                </w:p>
              </w:tc>
              <w:tc>
                <w:tcPr>
                  <w:tcW w:w="5012" w:type="dxa"/>
                </w:tcPr>
                <w:p w14:paraId="293EC104">
                  <w:pPr>
                    <w:pStyle w:val="154"/>
                    <w:rPr>
                      <w:sz w:val="21"/>
                      <w:szCs w:val="21"/>
                    </w:rPr>
                  </w:pPr>
                  <w:r>
                    <w:rPr>
                      <w:sz w:val="21"/>
                      <w:szCs w:val="21"/>
                    </w:rPr>
                    <w:t>污染防渗技术要求</w:t>
                  </w:r>
                </w:p>
              </w:tc>
            </w:tr>
            <w:tr w14:paraId="468C1B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300" w:type="dxa"/>
                  <w:vAlign w:val="center"/>
                </w:tcPr>
                <w:p w14:paraId="75888C6A">
                  <w:pPr>
                    <w:pStyle w:val="154"/>
                    <w:rPr>
                      <w:sz w:val="21"/>
                      <w:szCs w:val="21"/>
                    </w:rPr>
                  </w:pPr>
                  <w:r>
                    <w:rPr>
                      <w:sz w:val="21"/>
                      <w:szCs w:val="21"/>
                    </w:rPr>
                    <w:t>重点防渗区</w:t>
                  </w:r>
                </w:p>
              </w:tc>
              <w:tc>
                <w:tcPr>
                  <w:tcW w:w="2521" w:type="dxa"/>
                  <w:vAlign w:val="center"/>
                </w:tcPr>
                <w:p w14:paraId="1934B751">
                  <w:pPr>
                    <w:pStyle w:val="154"/>
                    <w:rPr>
                      <w:sz w:val="21"/>
                      <w:szCs w:val="21"/>
                    </w:rPr>
                  </w:pPr>
                  <w:r>
                    <w:rPr>
                      <w:rFonts w:hint="eastAsia"/>
                      <w:sz w:val="21"/>
                      <w:szCs w:val="21"/>
                    </w:rPr>
                    <w:t>液体原料库、</w:t>
                  </w:r>
                  <w:r>
                    <w:rPr>
                      <w:sz w:val="21"/>
                      <w:szCs w:val="21"/>
                    </w:rPr>
                    <w:t>危废间</w:t>
                  </w:r>
                </w:p>
              </w:tc>
              <w:tc>
                <w:tcPr>
                  <w:tcW w:w="5012" w:type="dxa"/>
                </w:tcPr>
                <w:p w14:paraId="24A824B9">
                  <w:pPr>
                    <w:pStyle w:val="154"/>
                    <w:rPr>
                      <w:sz w:val="21"/>
                      <w:szCs w:val="21"/>
                    </w:rPr>
                  </w:pPr>
                  <w:r>
                    <w:rPr>
                      <w:sz w:val="21"/>
                      <w:szCs w:val="21"/>
                    </w:rPr>
                    <w:t>等效黏土防渗层Mb≥6.0m，K≤1×10</w:t>
                  </w:r>
                  <w:r>
                    <w:rPr>
                      <w:sz w:val="21"/>
                      <w:szCs w:val="21"/>
                      <w:vertAlign w:val="superscript"/>
                    </w:rPr>
                    <w:t>-7</w:t>
                  </w:r>
                  <w:r>
                    <w:rPr>
                      <w:sz w:val="21"/>
                      <w:szCs w:val="21"/>
                    </w:rPr>
                    <w:t>cm/s，或参考GB18598执行</w:t>
                  </w:r>
                </w:p>
              </w:tc>
            </w:tr>
            <w:tr w14:paraId="6A3A2E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300" w:type="dxa"/>
                  <w:vAlign w:val="center"/>
                </w:tcPr>
                <w:p w14:paraId="6BA120F8">
                  <w:pPr>
                    <w:pStyle w:val="154"/>
                    <w:rPr>
                      <w:sz w:val="21"/>
                      <w:szCs w:val="21"/>
                    </w:rPr>
                  </w:pPr>
                  <w:r>
                    <w:rPr>
                      <w:sz w:val="21"/>
                      <w:szCs w:val="21"/>
                    </w:rPr>
                    <w:t>一般防渗区</w:t>
                  </w:r>
                </w:p>
              </w:tc>
              <w:tc>
                <w:tcPr>
                  <w:tcW w:w="2521" w:type="dxa"/>
                  <w:vAlign w:val="center"/>
                </w:tcPr>
                <w:p w14:paraId="51177348">
                  <w:pPr>
                    <w:pStyle w:val="154"/>
                    <w:rPr>
                      <w:sz w:val="21"/>
                      <w:szCs w:val="21"/>
                    </w:rPr>
                  </w:pPr>
                  <w:r>
                    <w:rPr>
                      <w:rFonts w:hint="eastAsia"/>
                      <w:sz w:val="21"/>
                      <w:szCs w:val="21"/>
                    </w:rPr>
                    <w:t>除简单防渗区、重点防渗区以外的其他区域</w:t>
                  </w:r>
                </w:p>
              </w:tc>
              <w:tc>
                <w:tcPr>
                  <w:tcW w:w="5012" w:type="dxa"/>
                </w:tcPr>
                <w:p w14:paraId="22CB0A12">
                  <w:pPr>
                    <w:pStyle w:val="154"/>
                    <w:rPr>
                      <w:sz w:val="21"/>
                      <w:szCs w:val="21"/>
                    </w:rPr>
                  </w:pPr>
                  <w:r>
                    <w:rPr>
                      <w:sz w:val="21"/>
                      <w:szCs w:val="21"/>
                    </w:rPr>
                    <w:t>等效黏土防渗层Mb≥1.5m，K≤1×10</w:t>
                  </w:r>
                  <w:r>
                    <w:rPr>
                      <w:sz w:val="21"/>
                      <w:szCs w:val="21"/>
                      <w:vertAlign w:val="superscript"/>
                    </w:rPr>
                    <w:t>-7</w:t>
                  </w:r>
                  <w:r>
                    <w:rPr>
                      <w:sz w:val="21"/>
                      <w:szCs w:val="21"/>
                    </w:rPr>
                    <w:t>cm/s，或参考GB16689执行</w:t>
                  </w:r>
                </w:p>
              </w:tc>
            </w:tr>
            <w:tr w14:paraId="376870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300" w:type="dxa"/>
                  <w:vAlign w:val="center"/>
                </w:tcPr>
                <w:p w14:paraId="32D7012A">
                  <w:pPr>
                    <w:pStyle w:val="154"/>
                    <w:rPr>
                      <w:sz w:val="21"/>
                      <w:szCs w:val="21"/>
                    </w:rPr>
                  </w:pPr>
                  <w:r>
                    <w:rPr>
                      <w:rFonts w:hint="eastAsia"/>
                      <w:sz w:val="21"/>
                      <w:szCs w:val="21"/>
                    </w:rPr>
                    <w:t>简单防渗区</w:t>
                  </w:r>
                </w:p>
              </w:tc>
              <w:tc>
                <w:tcPr>
                  <w:tcW w:w="2521" w:type="dxa"/>
                  <w:vAlign w:val="center"/>
                </w:tcPr>
                <w:p w14:paraId="21724BF0">
                  <w:pPr>
                    <w:pStyle w:val="154"/>
                    <w:rPr>
                      <w:sz w:val="21"/>
                      <w:szCs w:val="21"/>
                    </w:rPr>
                  </w:pPr>
                  <w:r>
                    <w:rPr>
                      <w:rFonts w:hint="eastAsia"/>
                      <w:sz w:val="21"/>
                      <w:szCs w:val="21"/>
                    </w:rPr>
                    <w:t>办公楼</w:t>
                  </w:r>
                </w:p>
              </w:tc>
              <w:tc>
                <w:tcPr>
                  <w:tcW w:w="5012" w:type="dxa"/>
                  <w:vAlign w:val="center"/>
                </w:tcPr>
                <w:p w14:paraId="0AEFC722">
                  <w:pPr>
                    <w:pStyle w:val="154"/>
                    <w:rPr>
                      <w:sz w:val="21"/>
                      <w:szCs w:val="21"/>
                    </w:rPr>
                  </w:pPr>
                  <w:r>
                    <w:rPr>
                      <w:rFonts w:hint="eastAsia"/>
                      <w:sz w:val="21"/>
                      <w:szCs w:val="21"/>
                    </w:rPr>
                    <w:t>水泥防渗</w:t>
                  </w:r>
                </w:p>
              </w:tc>
            </w:tr>
          </w:tbl>
          <w:p w14:paraId="255F99C7">
            <w:pPr>
              <w:pStyle w:val="156"/>
              <w:ind w:firstLine="480"/>
              <w:rPr>
                <w:rFonts w:eastAsia="宋体" w:cs="Times New Roman"/>
              </w:rPr>
            </w:pPr>
            <w:r>
              <w:rPr>
                <w:rFonts w:eastAsia="宋体" w:cs="Times New Roman"/>
              </w:rPr>
              <w:t>（2）防渗方案</w:t>
            </w:r>
          </w:p>
          <w:p w14:paraId="604296E4">
            <w:pPr>
              <w:pStyle w:val="182"/>
              <w:ind w:firstLine="480"/>
            </w:pPr>
            <w:r>
              <w:t>表4-</w:t>
            </w:r>
            <w:r>
              <w:rPr>
                <w:rFonts w:hint="eastAsia"/>
              </w:rPr>
              <w:t>22</w:t>
            </w:r>
            <w:r>
              <w:t xml:space="preserve">                 本项目污染防渗方案</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00"/>
              <w:gridCol w:w="2268"/>
              <w:gridCol w:w="5265"/>
            </w:tblGrid>
            <w:tr w14:paraId="6C826D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300" w:type="dxa"/>
                </w:tcPr>
                <w:p w14:paraId="35CDA523">
                  <w:pPr>
                    <w:pStyle w:val="154"/>
                    <w:rPr>
                      <w:sz w:val="21"/>
                      <w:szCs w:val="21"/>
                    </w:rPr>
                  </w:pPr>
                  <w:r>
                    <w:rPr>
                      <w:sz w:val="21"/>
                      <w:szCs w:val="21"/>
                    </w:rPr>
                    <w:t>防渗区域</w:t>
                  </w:r>
                </w:p>
              </w:tc>
              <w:tc>
                <w:tcPr>
                  <w:tcW w:w="2268" w:type="dxa"/>
                </w:tcPr>
                <w:p w14:paraId="4386AF01">
                  <w:pPr>
                    <w:pStyle w:val="154"/>
                    <w:rPr>
                      <w:sz w:val="21"/>
                      <w:szCs w:val="21"/>
                    </w:rPr>
                  </w:pPr>
                  <w:r>
                    <w:rPr>
                      <w:sz w:val="21"/>
                      <w:szCs w:val="21"/>
                    </w:rPr>
                    <w:t>位置</w:t>
                  </w:r>
                </w:p>
              </w:tc>
              <w:tc>
                <w:tcPr>
                  <w:tcW w:w="5265" w:type="dxa"/>
                </w:tcPr>
                <w:p w14:paraId="791C9F33">
                  <w:pPr>
                    <w:pStyle w:val="154"/>
                    <w:rPr>
                      <w:sz w:val="21"/>
                      <w:szCs w:val="21"/>
                    </w:rPr>
                  </w:pPr>
                  <w:r>
                    <w:rPr>
                      <w:sz w:val="21"/>
                      <w:szCs w:val="21"/>
                    </w:rPr>
                    <w:t>防渗方案</w:t>
                  </w:r>
                </w:p>
              </w:tc>
            </w:tr>
            <w:tr w14:paraId="313499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300" w:type="dxa"/>
                  <w:vAlign w:val="center"/>
                </w:tcPr>
                <w:p w14:paraId="5AD161CE">
                  <w:pPr>
                    <w:pStyle w:val="154"/>
                    <w:rPr>
                      <w:sz w:val="21"/>
                      <w:szCs w:val="21"/>
                    </w:rPr>
                  </w:pPr>
                  <w:r>
                    <w:rPr>
                      <w:sz w:val="21"/>
                      <w:szCs w:val="21"/>
                    </w:rPr>
                    <w:t>重点防渗区</w:t>
                  </w:r>
                </w:p>
              </w:tc>
              <w:tc>
                <w:tcPr>
                  <w:tcW w:w="2268" w:type="dxa"/>
                  <w:vAlign w:val="center"/>
                </w:tcPr>
                <w:p w14:paraId="2B320CB9">
                  <w:pPr>
                    <w:pStyle w:val="154"/>
                    <w:rPr>
                      <w:sz w:val="21"/>
                      <w:szCs w:val="21"/>
                    </w:rPr>
                  </w:pPr>
                  <w:r>
                    <w:rPr>
                      <w:rFonts w:hint="eastAsia"/>
                      <w:sz w:val="21"/>
                      <w:szCs w:val="21"/>
                    </w:rPr>
                    <w:t>液体原料库、</w:t>
                  </w:r>
                  <w:r>
                    <w:rPr>
                      <w:sz w:val="21"/>
                      <w:szCs w:val="21"/>
                    </w:rPr>
                    <w:t>危废间</w:t>
                  </w:r>
                </w:p>
              </w:tc>
              <w:tc>
                <w:tcPr>
                  <w:tcW w:w="5265" w:type="dxa"/>
                </w:tcPr>
                <w:p w14:paraId="4AEFCF9F">
                  <w:pPr>
                    <w:pStyle w:val="154"/>
                    <w:jc w:val="both"/>
                    <w:rPr>
                      <w:sz w:val="21"/>
                      <w:szCs w:val="21"/>
                    </w:rPr>
                  </w:pPr>
                  <w:r>
                    <w:rPr>
                      <w:sz w:val="21"/>
                      <w:szCs w:val="21"/>
                    </w:rPr>
                    <w:t>现有混凝土地面上，铺设2.0mm厚高密度聚乙烯（HDPE）防渗膜层；四周设置30cm高围堰，设置2.0mm厚高密度聚乙烯（HDPE）防渗膜层。若采用其它防渗方案应满足重点污染区防渗标准：等效黏土防渗层Mb≥6.0m，K≤1×10</w:t>
                  </w:r>
                  <w:r>
                    <w:rPr>
                      <w:sz w:val="21"/>
                      <w:szCs w:val="21"/>
                      <w:vertAlign w:val="superscript"/>
                    </w:rPr>
                    <w:t>-7</w:t>
                  </w:r>
                  <w:r>
                    <w:rPr>
                      <w:sz w:val="21"/>
                      <w:szCs w:val="21"/>
                    </w:rPr>
                    <w:t>cm/s，或参考GB18598执行。</w:t>
                  </w:r>
                </w:p>
              </w:tc>
            </w:tr>
            <w:tr w14:paraId="0E73F8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300" w:type="dxa"/>
                  <w:vAlign w:val="center"/>
                </w:tcPr>
                <w:p w14:paraId="55842BE6">
                  <w:pPr>
                    <w:pStyle w:val="154"/>
                    <w:rPr>
                      <w:sz w:val="21"/>
                      <w:szCs w:val="21"/>
                    </w:rPr>
                  </w:pPr>
                  <w:r>
                    <w:rPr>
                      <w:sz w:val="21"/>
                      <w:szCs w:val="21"/>
                    </w:rPr>
                    <w:t>一般防渗区</w:t>
                  </w:r>
                </w:p>
              </w:tc>
              <w:tc>
                <w:tcPr>
                  <w:tcW w:w="2268" w:type="dxa"/>
                  <w:vAlign w:val="center"/>
                </w:tcPr>
                <w:p w14:paraId="2B9FD512">
                  <w:pPr>
                    <w:pStyle w:val="154"/>
                    <w:rPr>
                      <w:sz w:val="21"/>
                      <w:szCs w:val="21"/>
                    </w:rPr>
                  </w:pPr>
                  <w:r>
                    <w:rPr>
                      <w:rFonts w:hint="eastAsia"/>
                      <w:sz w:val="21"/>
                      <w:szCs w:val="21"/>
                    </w:rPr>
                    <w:t>除简单防渗区、重点防渗区以外的其他区域</w:t>
                  </w:r>
                </w:p>
              </w:tc>
              <w:tc>
                <w:tcPr>
                  <w:tcW w:w="5265" w:type="dxa"/>
                </w:tcPr>
                <w:p w14:paraId="2DA0D756">
                  <w:pPr>
                    <w:pStyle w:val="154"/>
                    <w:jc w:val="left"/>
                    <w:rPr>
                      <w:sz w:val="21"/>
                      <w:szCs w:val="21"/>
                    </w:rPr>
                  </w:pPr>
                  <w:r>
                    <w:rPr>
                      <w:sz w:val="21"/>
                      <w:szCs w:val="21"/>
                    </w:rPr>
                    <w:t>采用混凝土防渗，防渗性能等效黏土防渗层Mb≥1.5m，K≤1×10</w:t>
                  </w:r>
                  <w:r>
                    <w:rPr>
                      <w:sz w:val="21"/>
                      <w:szCs w:val="21"/>
                      <w:vertAlign w:val="superscript"/>
                    </w:rPr>
                    <w:t>-7</w:t>
                  </w:r>
                  <w:r>
                    <w:rPr>
                      <w:sz w:val="21"/>
                      <w:szCs w:val="21"/>
                    </w:rPr>
                    <w:t>cm/s，或参考GB16689执行。</w:t>
                  </w:r>
                </w:p>
              </w:tc>
            </w:tr>
            <w:tr w14:paraId="5A35CE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300" w:type="dxa"/>
                  <w:vAlign w:val="center"/>
                </w:tcPr>
                <w:p w14:paraId="13FDC642">
                  <w:pPr>
                    <w:pStyle w:val="154"/>
                    <w:rPr>
                      <w:sz w:val="21"/>
                      <w:szCs w:val="21"/>
                    </w:rPr>
                  </w:pPr>
                  <w:r>
                    <w:rPr>
                      <w:rFonts w:hint="eastAsia"/>
                      <w:sz w:val="21"/>
                      <w:szCs w:val="21"/>
                    </w:rPr>
                    <w:t>简单防渗区</w:t>
                  </w:r>
                </w:p>
              </w:tc>
              <w:tc>
                <w:tcPr>
                  <w:tcW w:w="2268" w:type="dxa"/>
                  <w:vAlign w:val="center"/>
                </w:tcPr>
                <w:p w14:paraId="2A606A18">
                  <w:pPr>
                    <w:pStyle w:val="154"/>
                    <w:rPr>
                      <w:sz w:val="21"/>
                      <w:szCs w:val="21"/>
                    </w:rPr>
                  </w:pPr>
                  <w:r>
                    <w:rPr>
                      <w:rFonts w:hint="eastAsia"/>
                      <w:sz w:val="21"/>
                      <w:szCs w:val="21"/>
                    </w:rPr>
                    <w:t>办公区</w:t>
                  </w:r>
                </w:p>
              </w:tc>
              <w:tc>
                <w:tcPr>
                  <w:tcW w:w="5265" w:type="dxa"/>
                  <w:vAlign w:val="center"/>
                </w:tcPr>
                <w:p w14:paraId="727CDFAE">
                  <w:pPr>
                    <w:pStyle w:val="154"/>
                    <w:rPr>
                      <w:sz w:val="21"/>
                      <w:szCs w:val="21"/>
                    </w:rPr>
                  </w:pPr>
                  <w:r>
                    <w:rPr>
                      <w:rFonts w:hint="eastAsia"/>
                      <w:sz w:val="21"/>
                      <w:szCs w:val="21"/>
                    </w:rPr>
                    <w:t>水泥防渗</w:t>
                  </w:r>
                </w:p>
              </w:tc>
            </w:tr>
          </w:tbl>
          <w:p w14:paraId="01DC00CA">
            <w:pPr>
              <w:pStyle w:val="157"/>
            </w:pPr>
            <w:r>
              <w:t>6、环境风险</w:t>
            </w:r>
          </w:p>
          <w:p w14:paraId="19211A41">
            <w:pPr>
              <w:pStyle w:val="156"/>
              <w:ind w:firstLine="480"/>
              <w:rPr>
                <w:rFonts w:eastAsia="宋体" w:cs="Times New Roman"/>
              </w:rPr>
            </w:pPr>
            <w:r>
              <w:rPr>
                <w:rFonts w:eastAsia="宋体" w:cs="Times New Roman"/>
              </w:rPr>
              <w:t>本项目运营期间风险物质为危险废物暂存间内储存的聚氨酯</w:t>
            </w:r>
            <w:r>
              <w:rPr>
                <w:rFonts w:hint="eastAsia" w:eastAsia="宋体" w:cs="Times New Roman"/>
              </w:rPr>
              <w:t>B料，</w:t>
            </w:r>
            <w:r>
              <w:rPr>
                <w:rFonts w:eastAsia="宋体" w:cs="Times New Roman"/>
              </w:rPr>
              <w:t>废润滑油、废液压油</w:t>
            </w:r>
            <w:r>
              <w:rPr>
                <w:rFonts w:hint="eastAsia" w:eastAsia="宋体" w:cs="Times New Roman"/>
              </w:rPr>
              <w:t>、二丁酯</w:t>
            </w:r>
            <w:r>
              <w:rPr>
                <w:rFonts w:eastAsia="宋体" w:cs="Times New Roman"/>
              </w:rPr>
              <w:t>等。</w:t>
            </w:r>
          </w:p>
          <w:p w14:paraId="70D521F3">
            <w:pPr>
              <w:pStyle w:val="179"/>
            </w:pPr>
            <w:r>
              <w:t>6.1 风险源分布</w:t>
            </w:r>
          </w:p>
          <w:p w14:paraId="3C85B40F">
            <w:pPr>
              <w:pStyle w:val="156"/>
              <w:ind w:firstLine="480"/>
              <w:rPr>
                <w:rFonts w:eastAsia="宋体" w:cs="Times New Roman"/>
              </w:rPr>
            </w:pPr>
            <w:r>
              <w:rPr>
                <w:rFonts w:eastAsia="宋体" w:cs="Times New Roman"/>
              </w:rPr>
              <w:t>本项目涉及的</w:t>
            </w:r>
            <w:bookmarkStart w:id="4" w:name="校核位置"/>
            <w:bookmarkEnd w:id="4"/>
            <w:r>
              <w:rPr>
                <w:rFonts w:eastAsia="宋体" w:cs="Times New Roman"/>
              </w:rPr>
              <w:t>危险物质数量及分布情况见下表。</w:t>
            </w:r>
          </w:p>
          <w:p w14:paraId="388D5896">
            <w:pPr>
              <w:pStyle w:val="182"/>
              <w:spacing w:line="480" w:lineRule="auto"/>
              <w:ind w:firstLine="480"/>
            </w:pPr>
            <w:r>
              <w:t>表4-</w:t>
            </w:r>
            <w:r>
              <w:rPr>
                <w:rFonts w:hint="eastAsia"/>
              </w:rPr>
              <w:t>23</w:t>
            </w:r>
            <w:r>
              <w:t xml:space="preserve">              危险物质数量及分布情况表</w:t>
            </w:r>
          </w:p>
          <w:tbl>
            <w:tblPr>
              <w:tblStyle w:val="8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71"/>
              <w:gridCol w:w="1572"/>
              <w:gridCol w:w="1798"/>
              <w:gridCol w:w="992"/>
              <w:gridCol w:w="993"/>
              <w:gridCol w:w="1907"/>
            </w:tblGrid>
            <w:tr w14:paraId="7BAB4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43" w:type="dxa"/>
                  <w:gridSpan w:val="2"/>
                  <w:vAlign w:val="center"/>
                </w:tcPr>
                <w:p w14:paraId="0166C4D8">
                  <w:pPr>
                    <w:pStyle w:val="154"/>
                    <w:rPr>
                      <w:sz w:val="21"/>
                      <w:szCs w:val="21"/>
                    </w:rPr>
                  </w:pPr>
                  <w:r>
                    <w:rPr>
                      <w:sz w:val="21"/>
                      <w:szCs w:val="21"/>
                    </w:rPr>
                    <w:t>名称</w:t>
                  </w:r>
                </w:p>
              </w:tc>
              <w:tc>
                <w:tcPr>
                  <w:tcW w:w="1798" w:type="dxa"/>
                  <w:vAlign w:val="center"/>
                </w:tcPr>
                <w:p w14:paraId="1DF20209">
                  <w:pPr>
                    <w:pStyle w:val="154"/>
                    <w:rPr>
                      <w:sz w:val="21"/>
                      <w:szCs w:val="21"/>
                    </w:rPr>
                  </w:pPr>
                  <w:r>
                    <w:rPr>
                      <w:sz w:val="21"/>
                      <w:szCs w:val="21"/>
                    </w:rPr>
                    <w:t>最大储存量t</w:t>
                  </w:r>
                </w:p>
              </w:tc>
              <w:tc>
                <w:tcPr>
                  <w:tcW w:w="992" w:type="dxa"/>
                </w:tcPr>
                <w:p w14:paraId="6BE42907">
                  <w:pPr>
                    <w:pStyle w:val="154"/>
                    <w:rPr>
                      <w:sz w:val="21"/>
                      <w:szCs w:val="21"/>
                    </w:rPr>
                  </w:pPr>
                  <w:r>
                    <w:rPr>
                      <w:sz w:val="21"/>
                      <w:szCs w:val="21"/>
                    </w:rPr>
                    <w:t>形态</w:t>
                  </w:r>
                </w:p>
              </w:tc>
              <w:tc>
                <w:tcPr>
                  <w:tcW w:w="993" w:type="dxa"/>
                </w:tcPr>
                <w:p w14:paraId="14488292">
                  <w:pPr>
                    <w:pStyle w:val="154"/>
                    <w:rPr>
                      <w:sz w:val="21"/>
                      <w:szCs w:val="21"/>
                    </w:rPr>
                  </w:pPr>
                  <w:r>
                    <w:rPr>
                      <w:sz w:val="21"/>
                      <w:szCs w:val="21"/>
                    </w:rPr>
                    <w:t>包装方式</w:t>
                  </w:r>
                </w:p>
              </w:tc>
              <w:tc>
                <w:tcPr>
                  <w:tcW w:w="1907" w:type="dxa"/>
                </w:tcPr>
                <w:p w14:paraId="0FB56895">
                  <w:pPr>
                    <w:pStyle w:val="154"/>
                    <w:rPr>
                      <w:sz w:val="21"/>
                      <w:szCs w:val="21"/>
                    </w:rPr>
                  </w:pPr>
                  <w:r>
                    <w:rPr>
                      <w:sz w:val="21"/>
                      <w:szCs w:val="21"/>
                    </w:rPr>
                    <w:t>贮存/使用单元</w:t>
                  </w:r>
                </w:p>
              </w:tc>
            </w:tr>
            <w:tr w14:paraId="4D932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1571" w:type="dxa"/>
                  <w:vMerge w:val="restart"/>
                  <w:vAlign w:val="center"/>
                </w:tcPr>
                <w:p w14:paraId="36513943">
                  <w:pPr>
                    <w:pStyle w:val="154"/>
                    <w:rPr>
                      <w:sz w:val="21"/>
                      <w:szCs w:val="21"/>
                    </w:rPr>
                  </w:pPr>
                  <w:r>
                    <w:rPr>
                      <w:rFonts w:hint="eastAsia"/>
                      <w:sz w:val="21"/>
                      <w:szCs w:val="21"/>
                    </w:rPr>
                    <w:t>聚氨酯</w:t>
                  </w:r>
                  <w:r>
                    <w:rPr>
                      <w:sz w:val="21"/>
                      <w:szCs w:val="21"/>
                    </w:rPr>
                    <w:br w:type="textWrapping"/>
                  </w:r>
                  <w:r>
                    <w:rPr>
                      <w:sz w:val="21"/>
                      <w:szCs w:val="21"/>
                    </w:rPr>
                    <w:t>B</w:t>
                  </w:r>
                  <w:r>
                    <w:rPr>
                      <w:rFonts w:hint="eastAsia"/>
                      <w:sz w:val="21"/>
                      <w:szCs w:val="21"/>
                    </w:rPr>
                    <w:t>料</w:t>
                  </w:r>
                </w:p>
              </w:tc>
              <w:tc>
                <w:tcPr>
                  <w:tcW w:w="1572" w:type="dxa"/>
                  <w:vAlign w:val="center"/>
                </w:tcPr>
                <w:p w14:paraId="1A9CDC8E">
                  <w:pPr>
                    <w:pStyle w:val="154"/>
                    <w:rPr>
                      <w:sz w:val="21"/>
                      <w:szCs w:val="21"/>
                    </w:rPr>
                  </w:pPr>
                  <w:r>
                    <w:rPr>
                      <w:rFonts w:hint="eastAsia"/>
                      <w:sz w:val="21"/>
                      <w:szCs w:val="21"/>
                    </w:rPr>
                    <w:t>二苯基甲烷二异氰酸酯（</w:t>
                  </w:r>
                  <w:r>
                    <w:rPr>
                      <w:sz w:val="21"/>
                      <w:szCs w:val="21"/>
                    </w:rPr>
                    <w:t>MDI</w:t>
                  </w:r>
                  <w:r>
                    <w:rPr>
                      <w:rFonts w:hint="eastAsia"/>
                      <w:sz w:val="21"/>
                      <w:szCs w:val="21"/>
                    </w:rPr>
                    <w:t>）</w:t>
                  </w:r>
                </w:p>
              </w:tc>
              <w:tc>
                <w:tcPr>
                  <w:tcW w:w="1798" w:type="dxa"/>
                  <w:vAlign w:val="center"/>
                </w:tcPr>
                <w:p w14:paraId="45DB0BED">
                  <w:pPr>
                    <w:pStyle w:val="154"/>
                    <w:rPr>
                      <w:sz w:val="21"/>
                      <w:szCs w:val="21"/>
                    </w:rPr>
                  </w:pPr>
                  <w:r>
                    <w:rPr>
                      <w:sz w:val="21"/>
                      <w:szCs w:val="21"/>
                    </w:rPr>
                    <w:t>0.</w:t>
                  </w:r>
                  <w:r>
                    <w:rPr>
                      <w:rFonts w:hint="eastAsia"/>
                      <w:sz w:val="21"/>
                      <w:szCs w:val="21"/>
                    </w:rPr>
                    <w:t>1</w:t>
                  </w:r>
                  <w:r>
                    <w:rPr>
                      <w:sz w:val="21"/>
                      <w:szCs w:val="21"/>
                    </w:rPr>
                    <w:t>t</w:t>
                  </w:r>
                </w:p>
                <w:p w14:paraId="179EF103">
                  <w:pPr>
                    <w:pStyle w:val="154"/>
                    <w:rPr>
                      <w:sz w:val="21"/>
                      <w:szCs w:val="21"/>
                    </w:rPr>
                  </w:pPr>
                  <w:r>
                    <w:rPr>
                      <w:sz w:val="21"/>
                      <w:szCs w:val="21"/>
                    </w:rPr>
                    <w:t>(</w:t>
                  </w:r>
                  <w:r>
                    <w:rPr>
                      <w:rFonts w:hint="eastAsia"/>
                      <w:sz w:val="21"/>
                      <w:szCs w:val="21"/>
                    </w:rPr>
                    <w:t>1</w:t>
                  </w:r>
                  <w:r>
                    <w:rPr>
                      <w:sz w:val="21"/>
                      <w:szCs w:val="21"/>
                    </w:rPr>
                    <w:t>0</w:t>
                  </w:r>
                  <w:r>
                    <w:rPr>
                      <w:rFonts w:hint="eastAsia"/>
                      <w:sz w:val="21"/>
                      <w:szCs w:val="21"/>
                    </w:rPr>
                    <w:t>桶聚氨酯</w:t>
                  </w:r>
                  <w:r>
                    <w:rPr>
                      <w:sz w:val="21"/>
                      <w:szCs w:val="21"/>
                    </w:rPr>
                    <w:t>B</w:t>
                  </w:r>
                  <w:r>
                    <w:rPr>
                      <w:rFonts w:hint="eastAsia"/>
                      <w:sz w:val="21"/>
                      <w:szCs w:val="21"/>
                    </w:rPr>
                    <w:t>料</w:t>
                  </w:r>
                  <w:r>
                    <w:rPr>
                      <w:sz w:val="21"/>
                      <w:szCs w:val="21"/>
                    </w:rPr>
                    <w:t>)</w:t>
                  </w:r>
                </w:p>
              </w:tc>
              <w:tc>
                <w:tcPr>
                  <w:tcW w:w="992" w:type="dxa"/>
                  <w:vAlign w:val="center"/>
                </w:tcPr>
                <w:p w14:paraId="3B6E55CC">
                  <w:pPr>
                    <w:pStyle w:val="154"/>
                    <w:rPr>
                      <w:sz w:val="21"/>
                      <w:szCs w:val="21"/>
                    </w:rPr>
                  </w:pPr>
                  <w:r>
                    <w:rPr>
                      <w:sz w:val="21"/>
                      <w:szCs w:val="21"/>
                    </w:rPr>
                    <w:t>液态</w:t>
                  </w:r>
                </w:p>
              </w:tc>
              <w:tc>
                <w:tcPr>
                  <w:tcW w:w="993" w:type="dxa"/>
                  <w:vAlign w:val="center"/>
                </w:tcPr>
                <w:p w14:paraId="253E7FCB">
                  <w:pPr>
                    <w:pStyle w:val="154"/>
                    <w:rPr>
                      <w:sz w:val="21"/>
                      <w:szCs w:val="21"/>
                    </w:rPr>
                  </w:pPr>
                  <w:r>
                    <w:rPr>
                      <w:rFonts w:hint="eastAsia"/>
                      <w:sz w:val="21"/>
                      <w:szCs w:val="21"/>
                    </w:rPr>
                    <w:t>桶装</w:t>
                  </w:r>
                </w:p>
              </w:tc>
              <w:tc>
                <w:tcPr>
                  <w:tcW w:w="1907" w:type="dxa"/>
                  <w:vAlign w:val="center"/>
                </w:tcPr>
                <w:p w14:paraId="5F5BF699">
                  <w:pPr>
                    <w:pStyle w:val="154"/>
                    <w:rPr>
                      <w:sz w:val="21"/>
                      <w:szCs w:val="21"/>
                    </w:rPr>
                  </w:pPr>
                  <w:r>
                    <w:rPr>
                      <w:rFonts w:hint="eastAsia"/>
                      <w:sz w:val="21"/>
                      <w:szCs w:val="21"/>
                    </w:rPr>
                    <w:t>液体原料库</w:t>
                  </w:r>
                </w:p>
              </w:tc>
            </w:tr>
            <w:tr w14:paraId="6E241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1571" w:type="dxa"/>
                  <w:vMerge w:val="continue"/>
                  <w:vAlign w:val="center"/>
                </w:tcPr>
                <w:p w14:paraId="6C2FEF96">
                  <w:pPr>
                    <w:pStyle w:val="154"/>
                  </w:pPr>
                </w:p>
              </w:tc>
              <w:tc>
                <w:tcPr>
                  <w:tcW w:w="1572" w:type="dxa"/>
                  <w:vAlign w:val="center"/>
                </w:tcPr>
                <w:p w14:paraId="20E1D88E">
                  <w:pPr>
                    <w:pStyle w:val="154"/>
                    <w:rPr>
                      <w:sz w:val="21"/>
                      <w:szCs w:val="21"/>
                    </w:rPr>
                  </w:pPr>
                  <w:r>
                    <w:rPr>
                      <w:rFonts w:hint="eastAsia"/>
                      <w:sz w:val="21"/>
                      <w:szCs w:val="21"/>
                    </w:rPr>
                    <w:t>磷酸</w:t>
                  </w:r>
                </w:p>
              </w:tc>
              <w:tc>
                <w:tcPr>
                  <w:tcW w:w="1798" w:type="dxa"/>
                  <w:vAlign w:val="center"/>
                </w:tcPr>
                <w:p w14:paraId="68C270E9">
                  <w:pPr>
                    <w:pStyle w:val="154"/>
                    <w:rPr>
                      <w:sz w:val="21"/>
                      <w:szCs w:val="21"/>
                    </w:rPr>
                  </w:pPr>
                  <w:r>
                    <w:rPr>
                      <w:rFonts w:hint="eastAsia"/>
                      <w:sz w:val="21"/>
                      <w:szCs w:val="21"/>
                    </w:rPr>
                    <w:t>0.02t</w:t>
                  </w:r>
                </w:p>
                <w:p w14:paraId="7380A8C6">
                  <w:pPr>
                    <w:pStyle w:val="45"/>
                    <w:jc w:val="center"/>
                    <w:rPr>
                      <w:sz w:val="21"/>
                    </w:rPr>
                  </w:pPr>
                  <w:r>
                    <w:rPr>
                      <w:sz w:val="21"/>
                    </w:rPr>
                    <w:t>(</w:t>
                  </w:r>
                  <w:r>
                    <w:rPr>
                      <w:rFonts w:hint="eastAsia"/>
                      <w:sz w:val="21"/>
                    </w:rPr>
                    <w:t>1</w:t>
                  </w:r>
                  <w:r>
                    <w:rPr>
                      <w:sz w:val="21"/>
                    </w:rPr>
                    <w:t>0</w:t>
                  </w:r>
                  <w:r>
                    <w:rPr>
                      <w:rFonts w:hint="eastAsia"/>
                      <w:sz w:val="21"/>
                    </w:rPr>
                    <w:t>桶聚氨酯</w:t>
                  </w:r>
                  <w:r>
                    <w:rPr>
                      <w:sz w:val="21"/>
                    </w:rPr>
                    <w:t>B</w:t>
                  </w:r>
                  <w:r>
                    <w:rPr>
                      <w:rFonts w:hint="eastAsia"/>
                      <w:sz w:val="21"/>
                    </w:rPr>
                    <w:t>料</w:t>
                  </w:r>
                  <w:r>
                    <w:rPr>
                      <w:sz w:val="21"/>
                    </w:rPr>
                    <w:t>)</w:t>
                  </w:r>
                </w:p>
              </w:tc>
              <w:tc>
                <w:tcPr>
                  <w:tcW w:w="992" w:type="dxa"/>
                  <w:vAlign w:val="center"/>
                </w:tcPr>
                <w:p w14:paraId="226DBB9F">
                  <w:pPr>
                    <w:pStyle w:val="154"/>
                    <w:rPr>
                      <w:sz w:val="21"/>
                      <w:szCs w:val="21"/>
                    </w:rPr>
                  </w:pPr>
                  <w:r>
                    <w:rPr>
                      <w:sz w:val="21"/>
                      <w:szCs w:val="21"/>
                    </w:rPr>
                    <w:t>液态</w:t>
                  </w:r>
                </w:p>
              </w:tc>
              <w:tc>
                <w:tcPr>
                  <w:tcW w:w="993" w:type="dxa"/>
                  <w:vAlign w:val="center"/>
                </w:tcPr>
                <w:p w14:paraId="546E3AD2">
                  <w:pPr>
                    <w:pStyle w:val="154"/>
                    <w:rPr>
                      <w:sz w:val="21"/>
                      <w:szCs w:val="21"/>
                    </w:rPr>
                  </w:pPr>
                  <w:r>
                    <w:rPr>
                      <w:rFonts w:hint="eastAsia"/>
                      <w:sz w:val="21"/>
                      <w:szCs w:val="21"/>
                    </w:rPr>
                    <w:t>桶装</w:t>
                  </w:r>
                </w:p>
              </w:tc>
              <w:tc>
                <w:tcPr>
                  <w:tcW w:w="1907" w:type="dxa"/>
                  <w:vAlign w:val="center"/>
                </w:tcPr>
                <w:p w14:paraId="2E16A191">
                  <w:pPr>
                    <w:pStyle w:val="154"/>
                    <w:rPr>
                      <w:sz w:val="21"/>
                      <w:szCs w:val="21"/>
                    </w:rPr>
                  </w:pPr>
                  <w:r>
                    <w:rPr>
                      <w:rFonts w:hint="eastAsia"/>
                      <w:sz w:val="21"/>
                      <w:szCs w:val="21"/>
                    </w:rPr>
                    <w:t>液体原料库</w:t>
                  </w:r>
                </w:p>
              </w:tc>
            </w:tr>
            <w:tr w14:paraId="04198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3143" w:type="dxa"/>
                  <w:gridSpan w:val="2"/>
                  <w:vAlign w:val="center"/>
                </w:tcPr>
                <w:p w14:paraId="0C34EE64">
                  <w:pPr>
                    <w:pStyle w:val="154"/>
                    <w:rPr>
                      <w:sz w:val="21"/>
                      <w:szCs w:val="21"/>
                    </w:rPr>
                  </w:pPr>
                  <w:r>
                    <w:rPr>
                      <w:sz w:val="21"/>
                      <w:szCs w:val="21"/>
                    </w:rPr>
                    <w:t>废润滑油</w:t>
                  </w:r>
                </w:p>
              </w:tc>
              <w:tc>
                <w:tcPr>
                  <w:tcW w:w="1798" w:type="dxa"/>
                  <w:vAlign w:val="center"/>
                </w:tcPr>
                <w:p w14:paraId="6287F2A9">
                  <w:pPr>
                    <w:pStyle w:val="154"/>
                    <w:rPr>
                      <w:sz w:val="21"/>
                      <w:szCs w:val="21"/>
                    </w:rPr>
                  </w:pPr>
                  <w:r>
                    <w:rPr>
                      <w:sz w:val="21"/>
                      <w:szCs w:val="21"/>
                    </w:rPr>
                    <w:t>0.0</w:t>
                  </w:r>
                  <w:r>
                    <w:rPr>
                      <w:rFonts w:hint="eastAsia"/>
                      <w:sz w:val="21"/>
                      <w:szCs w:val="21"/>
                    </w:rPr>
                    <w:t>6t</w:t>
                  </w:r>
                </w:p>
              </w:tc>
              <w:tc>
                <w:tcPr>
                  <w:tcW w:w="992" w:type="dxa"/>
                  <w:vMerge w:val="restart"/>
                  <w:vAlign w:val="center"/>
                </w:tcPr>
                <w:p w14:paraId="7AAA332C">
                  <w:pPr>
                    <w:pStyle w:val="154"/>
                    <w:rPr>
                      <w:sz w:val="21"/>
                      <w:szCs w:val="21"/>
                    </w:rPr>
                  </w:pPr>
                  <w:r>
                    <w:rPr>
                      <w:sz w:val="21"/>
                      <w:szCs w:val="21"/>
                    </w:rPr>
                    <w:t>液态</w:t>
                  </w:r>
                </w:p>
              </w:tc>
              <w:tc>
                <w:tcPr>
                  <w:tcW w:w="993" w:type="dxa"/>
                  <w:vMerge w:val="restart"/>
                  <w:vAlign w:val="center"/>
                </w:tcPr>
                <w:p w14:paraId="3EF1C030">
                  <w:pPr>
                    <w:pStyle w:val="154"/>
                    <w:rPr>
                      <w:sz w:val="21"/>
                      <w:szCs w:val="21"/>
                    </w:rPr>
                  </w:pPr>
                  <w:r>
                    <w:rPr>
                      <w:sz w:val="21"/>
                      <w:szCs w:val="21"/>
                    </w:rPr>
                    <w:t>桶装</w:t>
                  </w:r>
                </w:p>
              </w:tc>
              <w:tc>
                <w:tcPr>
                  <w:tcW w:w="1907" w:type="dxa"/>
                  <w:vMerge w:val="restart"/>
                  <w:vAlign w:val="center"/>
                </w:tcPr>
                <w:p w14:paraId="0C6AE05C">
                  <w:pPr>
                    <w:pStyle w:val="154"/>
                    <w:rPr>
                      <w:sz w:val="21"/>
                      <w:szCs w:val="21"/>
                    </w:rPr>
                  </w:pPr>
                  <w:r>
                    <w:rPr>
                      <w:sz w:val="21"/>
                      <w:szCs w:val="21"/>
                    </w:rPr>
                    <w:t>危废间</w:t>
                  </w:r>
                </w:p>
              </w:tc>
            </w:tr>
            <w:tr w14:paraId="07F0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2" w:hRule="atLeast"/>
              </w:trPr>
              <w:tc>
                <w:tcPr>
                  <w:tcW w:w="3143" w:type="dxa"/>
                  <w:gridSpan w:val="2"/>
                </w:tcPr>
                <w:p w14:paraId="006E32DD">
                  <w:pPr>
                    <w:pStyle w:val="154"/>
                    <w:rPr>
                      <w:sz w:val="21"/>
                      <w:szCs w:val="21"/>
                    </w:rPr>
                  </w:pPr>
                  <w:r>
                    <w:rPr>
                      <w:sz w:val="21"/>
                      <w:szCs w:val="21"/>
                    </w:rPr>
                    <w:t>废液压油</w:t>
                  </w:r>
                </w:p>
              </w:tc>
              <w:tc>
                <w:tcPr>
                  <w:tcW w:w="1798" w:type="dxa"/>
                  <w:vAlign w:val="center"/>
                </w:tcPr>
                <w:p w14:paraId="08CD1663">
                  <w:pPr>
                    <w:pStyle w:val="154"/>
                    <w:rPr>
                      <w:sz w:val="21"/>
                      <w:szCs w:val="21"/>
                    </w:rPr>
                  </w:pPr>
                  <w:r>
                    <w:rPr>
                      <w:sz w:val="21"/>
                      <w:szCs w:val="21"/>
                    </w:rPr>
                    <w:t>0.0</w:t>
                  </w:r>
                  <w:r>
                    <w:rPr>
                      <w:rFonts w:hint="eastAsia"/>
                      <w:sz w:val="21"/>
                      <w:szCs w:val="21"/>
                    </w:rPr>
                    <w:t>5t</w:t>
                  </w:r>
                </w:p>
              </w:tc>
              <w:tc>
                <w:tcPr>
                  <w:tcW w:w="992" w:type="dxa"/>
                  <w:vMerge w:val="continue"/>
                  <w:vAlign w:val="center"/>
                </w:tcPr>
                <w:p w14:paraId="16D5DEBF">
                  <w:pPr>
                    <w:pStyle w:val="154"/>
                    <w:rPr>
                      <w:sz w:val="21"/>
                      <w:szCs w:val="21"/>
                    </w:rPr>
                  </w:pPr>
                </w:p>
              </w:tc>
              <w:tc>
                <w:tcPr>
                  <w:tcW w:w="993" w:type="dxa"/>
                  <w:vMerge w:val="continue"/>
                  <w:vAlign w:val="center"/>
                </w:tcPr>
                <w:p w14:paraId="286ED732">
                  <w:pPr>
                    <w:pStyle w:val="154"/>
                    <w:rPr>
                      <w:sz w:val="21"/>
                      <w:szCs w:val="21"/>
                    </w:rPr>
                  </w:pPr>
                </w:p>
              </w:tc>
              <w:tc>
                <w:tcPr>
                  <w:tcW w:w="1907" w:type="dxa"/>
                  <w:vMerge w:val="continue"/>
                  <w:vAlign w:val="center"/>
                </w:tcPr>
                <w:p w14:paraId="6F7F78B6">
                  <w:pPr>
                    <w:pStyle w:val="154"/>
                    <w:rPr>
                      <w:sz w:val="21"/>
                      <w:szCs w:val="21"/>
                    </w:rPr>
                  </w:pPr>
                </w:p>
              </w:tc>
            </w:tr>
            <w:tr w14:paraId="555B4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6" w:hRule="atLeast"/>
              </w:trPr>
              <w:tc>
                <w:tcPr>
                  <w:tcW w:w="3143" w:type="dxa"/>
                  <w:gridSpan w:val="2"/>
                  <w:vAlign w:val="center"/>
                </w:tcPr>
                <w:p w14:paraId="11C7CD99">
                  <w:pPr>
                    <w:pStyle w:val="154"/>
                    <w:rPr>
                      <w:sz w:val="21"/>
                      <w:szCs w:val="21"/>
                    </w:rPr>
                  </w:pPr>
                  <w:r>
                    <w:rPr>
                      <w:rFonts w:hint="eastAsia"/>
                      <w:sz w:val="21"/>
                      <w:szCs w:val="21"/>
                    </w:rPr>
                    <w:t>二丁酯</w:t>
                  </w:r>
                </w:p>
              </w:tc>
              <w:tc>
                <w:tcPr>
                  <w:tcW w:w="1798" w:type="dxa"/>
                  <w:vAlign w:val="center"/>
                </w:tcPr>
                <w:p w14:paraId="6C66F600">
                  <w:pPr>
                    <w:pStyle w:val="154"/>
                    <w:rPr>
                      <w:sz w:val="21"/>
                      <w:szCs w:val="21"/>
                    </w:rPr>
                  </w:pPr>
                  <w:r>
                    <w:rPr>
                      <w:rFonts w:hint="eastAsia"/>
                      <w:sz w:val="21"/>
                      <w:szCs w:val="21"/>
                    </w:rPr>
                    <w:t>3t</w:t>
                  </w:r>
                </w:p>
              </w:tc>
              <w:tc>
                <w:tcPr>
                  <w:tcW w:w="992" w:type="dxa"/>
                  <w:vAlign w:val="center"/>
                </w:tcPr>
                <w:p w14:paraId="1BF3841C">
                  <w:pPr>
                    <w:pStyle w:val="154"/>
                    <w:rPr>
                      <w:sz w:val="21"/>
                      <w:szCs w:val="21"/>
                    </w:rPr>
                  </w:pPr>
                  <w:r>
                    <w:rPr>
                      <w:sz w:val="21"/>
                      <w:szCs w:val="21"/>
                    </w:rPr>
                    <w:t>液态</w:t>
                  </w:r>
                </w:p>
              </w:tc>
              <w:tc>
                <w:tcPr>
                  <w:tcW w:w="993" w:type="dxa"/>
                  <w:vAlign w:val="center"/>
                </w:tcPr>
                <w:p w14:paraId="32060FCF">
                  <w:pPr>
                    <w:pStyle w:val="154"/>
                    <w:rPr>
                      <w:sz w:val="21"/>
                      <w:szCs w:val="21"/>
                    </w:rPr>
                  </w:pPr>
                  <w:r>
                    <w:rPr>
                      <w:sz w:val="21"/>
                      <w:szCs w:val="21"/>
                    </w:rPr>
                    <w:t>桶装</w:t>
                  </w:r>
                </w:p>
              </w:tc>
              <w:tc>
                <w:tcPr>
                  <w:tcW w:w="1907" w:type="dxa"/>
                  <w:vAlign w:val="center"/>
                </w:tcPr>
                <w:p w14:paraId="6B6E210B">
                  <w:pPr>
                    <w:pStyle w:val="154"/>
                    <w:rPr>
                      <w:sz w:val="21"/>
                      <w:szCs w:val="21"/>
                    </w:rPr>
                  </w:pPr>
                  <w:r>
                    <w:rPr>
                      <w:rFonts w:hint="eastAsia"/>
                      <w:sz w:val="21"/>
                      <w:szCs w:val="21"/>
                    </w:rPr>
                    <w:t>液体原料库</w:t>
                  </w:r>
                </w:p>
              </w:tc>
            </w:tr>
          </w:tbl>
          <w:p w14:paraId="098897D8">
            <w:pPr>
              <w:pStyle w:val="182"/>
              <w:ind w:firstLine="480"/>
            </w:pPr>
          </w:p>
          <w:p w14:paraId="4E95CE04">
            <w:pPr>
              <w:pStyle w:val="182"/>
              <w:ind w:firstLine="480"/>
            </w:pPr>
            <w:r>
              <w:t>表4-</w:t>
            </w:r>
            <w:r>
              <w:rPr>
                <w:rFonts w:hint="eastAsia"/>
              </w:rPr>
              <w:t>24</w:t>
            </w:r>
            <w:r>
              <w:t xml:space="preserve">               危险物质理化性质</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943"/>
              <w:gridCol w:w="7890"/>
            </w:tblGrid>
            <w:tr w14:paraId="243528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943" w:type="dxa"/>
                  <w:vAlign w:val="center"/>
                </w:tcPr>
                <w:p w14:paraId="5E4CFA1D">
                  <w:pPr>
                    <w:pStyle w:val="154"/>
                    <w:rPr>
                      <w:sz w:val="21"/>
                      <w:szCs w:val="21"/>
                    </w:rPr>
                  </w:pPr>
                  <w:r>
                    <w:rPr>
                      <w:sz w:val="21"/>
                      <w:szCs w:val="21"/>
                    </w:rPr>
                    <w:t>名称</w:t>
                  </w:r>
                </w:p>
              </w:tc>
              <w:tc>
                <w:tcPr>
                  <w:tcW w:w="7890" w:type="dxa"/>
                  <w:vAlign w:val="center"/>
                </w:tcPr>
                <w:p w14:paraId="0AA954AD">
                  <w:pPr>
                    <w:pStyle w:val="154"/>
                    <w:rPr>
                      <w:sz w:val="21"/>
                      <w:szCs w:val="21"/>
                    </w:rPr>
                  </w:pPr>
                  <w:r>
                    <w:rPr>
                      <w:sz w:val="21"/>
                      <w:szCs w:val="21"/>
                    </w:rPr>
                    <w:t>性质</w:t>
                  </w:r>
                </w:p>
              </w:tc>
            </w:tr>
            <w:tr w14:paraId="2CB06E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943" w:type="dxa"/>
                  <w:vAlign w:val="center"/>
                </w:tcPr>
                <w:p w14:paraId="0264690C">
                  <w:pPr>
                    <w:pStyle w:val="154"/>
                    <w:rPr>
                      <w:sz w:val="21"/>
                      <w:szCs w:val="21"/>
                    </w:rPr>
                  </w:pPr>
                  <w:r>
                    <w:rPr>
                      <w:rFonts w:hint="eastAsia"/>
                      <w:sz w:val="21"/>
                      <w:szCs w:val="21"/>
                    </w:rPr>
                    <w:t>二苯基甲烷二异氰酸酯（</w:t>
                  </w:r>
                  <w:r>
                    <w:rPr>
                      <w:sz w:val="21"/>
                      <w:szCs w:val="21"/>
                    </w:rPr>
                    <w:t>MDI</w:t>
                  </w:r>
                  <w:r>
                    <w:rPr>
                      <w:rFonts w:hint="eastAsia"/>
                      <w:sz w:val="21"/>
                      <w:szCs w:val="21"/>
                    </w:rPr>
                    <w:t>）</w:t>
                  </w:r>
                </w:p>
              </w:tc>
              <w:tc>
                <w:tcPr>
                  <w:tcW w:w="7890" w:type="dxa"/>
                  <w:vAlign w:val="center"/>
                </w:tcPr>
                <w:p w14:paraId="41B19367">
                  <w:pPr>
                    <w:pStyle w:val="154"/>
                    <w:jc w:val="both"/>
                    <w:rPr>
                      <w:b/>
                      <w:sz w:val="21"/>
                      <w:szCs w:val="21"/>
                    </w:rPr>
                  </w:pPr>
                  <w:r>
                    <w:rPr>
                      <w:rFonts w:hint="eastAsia"/>
                      <w:b/>
                      <w:sz w:val="21"/>
                      <w:szCs w:val="21"/>
                    </w:rPr>
                    <w:t>一、理化性质</w:t>
                  </w:r>
                </w:p>
                <w:p w14:paraId="144EDF28">
                  <w:pPr>
                    <w:pStyle w:val="154"/>
                    <w:ind w:firstLine="420" w:firstLineChars="200"/>
                    <w:jc w:val="left"/>
                    <w:rPr>
                      <w:sz w:val="21"/>
                      <w:szCs w:val="21"/>
                    </w:rPr>
                  </w:pPr>
                  <w:r>
                    <w:rPr>
                      <w:rFonts w:hint="eastAsia"/>
                      <w:sz w:val="21"/>
                      <w:szCs w:val="21"/>
                    </w:rPr>
                    <w:t>外观为白色至淡黄色熔融固体。密度：（</w:t>
                  </w:r>
                  <w:r>
                    <w:rPr>
                      <w:sz w:val="21"/>
                      <w:szCs w:val="21"/>
                    </w:rPr>
                    <w:t>50°C/4°C</w:t>
                  </w:r>
                  <w:r>
                    <w:rPr>
                      <w:rFonts w:hint="eastAsia"/>
                      <w:sz w:val="21"/>
                      <w:szCs w:val="21"/>
                    </w:rPr>
                    <w:t>）</w:t>
                  </w:r>
                  <w:r>
                    <w:rPr>
                      <w:sz w:val="21"/>
                      <w:szCs w:val="21"/>
                    </w:rPr>
                    <w:t>1.19g/cm</w:t>
                  </w:r>
                  <w:r>
                    <w:rPr>
                      <w:sz w:val="21"/>
                      <w:szCs w:val="21"/>
                      <w:vertAlign w:val="superscript"/>
                    </w:rPr>
                    <w:t>3</w:t>
                  </w:r>
                  <w:r>
                    <w:rPr>
                      <w:rFonts w:hint="eastAsia"/>
                      <w:sz w:val="21"/>
                      <w:szCs w:val="21"/>
                    </w:rPr>
                    <w:t>，熔点：</w:t>
                  </w:r>
                  <w:r>
                    <w:rPr>
                      <w:sz w:val="21"/>
                      <w:szCs w:val="21"/>
                    </w:rPr>
                    <w:t>40-41</w:t>
                  </w:r>
                  <w:r>
                    <w:rPr>
                      <w:rFonts w:hint="eastAsia"/>
                      <w:sz w:val="21"/>
                      <w:szCs w:val="21"/>
                    </w:rPr>
                    <w:t>℃，沸点：</w:t>
                  </w:r>
                  <w:r>
                    <w:rPr>
                      <w:sz w:val="21"/>
                      <w:szCs w:val="21"/>
                    </w:rPr>
                    <w:t>156~158</w:t>
                  </w:r>
                  <w:r>
                    <w:rPr>
                      <w:rFonts w:hint="eastAsia"/>
                      <w:sz w:val="21"/>
                      <w:szCs w:val="21"/>
                    </w:rPr>
                    <w:t>℃（</w:t>
                  </w:r>
                  <w:r>
                    <w:rPr>
                      <w:sz w:val="21"/>
                      <w:szCs w:val="21"/>
                    </w:rPr>
                    <w:t>1.33kPa</w:t>
                  </w:r>
                  <w:r>
                    <w:rPr>
                      <w:rFonts w:hint="eastAsia"/>
                      <w:sz w:val="21"/>
                      <w:szCs w:val="21"/>
                    </w:rPr>
                    <w:t>）；粘度（</w:t>
                  </w:r>
                  <w:r>
                    <w:rPr>
                      <w:sz w:val="21"/>
                      <w:szCs w:val="21"/>
                    </w:rPr>
                    <w:t>50</w:t>
                  </w:r>
                  <w:r>
                    <w:rPr>
                      <w:rFonts w:hint="eastAsia"/>
                      <w:sz w:val="21"/>
                      <w:szCs w:val="21"/>
                    </w:rPr>
                    <w:t>℃）</w:t>
                  </w:r>
                  <w:r>
                    <w:rPr>
                      <w:sz w:val="21"/>
                      <w:szCs w:val="21"/>
                    </w:rPr>
                    <w:t>4.9mPa·s</w:t>
                  </w:r>
                  <w:r>
                    <w:rPr>
                      <w:rFonts w:hint="eastAsia"/>
                      <w:sz w:val="21"/>
                      <w:szCs w:val="21"/>
                    </w:rPr>
                    <w:t>，闪点（开口）</w:t>
                  </w:r>
                  <w:r>
                    <w:rPr>
                      <w:sz w:val="21"/>
                      <w:szCs w:val="21"/>
                    </w:rPr>
                    <w:t>202</w:t>
                  </w:r>
                  <w:r>
                    <w:rPr>
                      <w:rFonts w:hint="eastAsia"/>
                      <w:sz w:val="21"/>
                      <w:szCs w:val="21"/>
                    </w:rPr>
                    <w:t>℃，折射率</w:t>
                  </w:r>
                  <w:r>
                    <w:rPr>
                      <w:sz w:val="21"/>
                      <w:szCs w:val="21"/>
                    </w:rPr>
                    <w:t xml:space="preserve"> 1.5906</w:t>
                  </w:r>
                  <w:r>
                    <w:rPr>
                      <w:rFonts w:hint="eastAsia"/>
                      <w:sz w:val="21"/>
                      <w:szCs w:val="21"/>
                    </w:rPr>
                    <w:t>。溶于丙酮、四氯化碳、苯、氯苯、煤油、硝基苯、二氧六环等。</w:t>
                  </w:r>
                </w:p>
                <w:p w14:paraId="56291699">
                  <w:pPr>
                    <w:pStyle w:val="154"/>
                    <w:jc w:val="both"/>
                    <w:rPr>
                      <w:b/>
                      <w:sz w:val="21"/>
                      <w:szCs w:val="21"/>
                    </w:rPr>
                  </w:pPr>
                  <w:r>
                    <w:rPr>
                      <w:rFonts w:hint="eastAsia"/>
                      <w:b/>
                      <w:sz w:val="21"/>
                      <w:szCs w:val="21"/>
                    </w:rPr>
                    <w:t>二、毒性及健康危害</w:t>
                  </w:r>
                </w:p>
                <w:p w14:paraId="27C416F1">
                  <w:pPr>
                    <w:pStyle w:val="154"/>
                    <w:ind w:firstLine="420" w:firstLineChars="200"/>
                    <w:rPr>
                      <w:sz w:val="21"/>
                      <w:szCs w:val="21"/>
                    </w:rPr>
                  </w:pPr>
                  <w:r>
                    <w:rPr>
                      <w:rFonts w:hint="eastAsia"/>
                      <w:sz w:val="21"/>
                      <w:szCs w:val="21"/>
                    </w:rPr>
                    <w:t>急性毒性：</w:t>
                  </w:r>
                  <w:r>
                    <w:rPr>
                      <w:sz w:val="21"/>
                      <w:szCs w:val="21"/>
                    </w:rPr>
                    <w:t>LD</w:t>
                  </w:r>
                  <w:r>
                    <w:rPr>
                      <w:sz w:val="21"/>
                      <w:szCs w:val="21"/>
                      <w:vertAlign w:val="subscript"/>
                    </w:rPr>
                    <w:t>50</w:t>
                  </w:r>
                  <w:r>
                    <w:rPr>
                      <w:sz w:val="21"/>
                      <w:szCs w:val="21"/>
                    </w:rPr>
                    <w:t xml:space="preserve"> 10000mg/kg (</w:t>
                  </w:r>
                  <w:r>
                    <w:rPr>
                      <w:rFonts w:hint="eastAsia"/>
                      <w:sz w:val="21"/>
                      <w:szCs w:val="21"/>
                    </w:rPr>
                    <w:t>兔经皮</w:t>
                  </w:r>
                  <w:r>
                    <w:rPr>
                      <w:sz w:val="21"/>
                      <w:szCs w:val="21"/>
                    </w:rPr>
                    <w:t>)</w:t>
                  </w:r>
                  <w:r>
                    <w:rPr>
                      <w:rFonts w:hint="eastAsia"/>
                      <w:sz w:val="21"/>
                      <w:szCs w:val="21"/>
                    </w:rPr>
                    <w:t>，</w:t>
                  </w:r>
                  <w:r>
                    <w:rPr>
                      <w:sz w:val="21"/>
                      <w:szCs w:val="21"/>
                    </w:rPr>
                    <w:t>LC</w:t>
                  </w:r>
                  <w:r>
                    <w:rPr>
                      <w:sz w:val="21"/>
                      <w:szCs w:val="21"/>
                      <w:vertAlign w:val="subscript"/>
                    </w:rPr>
                    <w:t>50</w:t>
                  </w:r>
                  <w:r>
                    <w:rPr>
                      <w:sz w:val="21"/>
                      <w:szCs w:val="21"/>
                    </w:rPr>
                    <w:t xml:space="preserve"> 369~490mg/m</w:t>
                  </w:r>
                  <w:r>
                    <w:rPr>
                      <w:sz w:val="21"/>
                      <w:szCs w:val="21"/>
                      <w:vertAlign w:val="superscript"/>
                    </w:rPr>
                    <w:t>3</w:t>
                  </w:r>
                  <w:r>
                    <w:rPr>
                      <w:rFonts w:hint="eastAsia"/>
                      <w:sz w:val="21"/>
                      <w:szCs w:val="21"/>
                    </w:rPr>
                    <w:t>，</w:t>
                  </w:r>
                  <w:r>
                    <w:rPr>
                      <w:sz w:val="21"/>
                      <w:szCs w:val="21"/>
                    </w:rPr>
                    <w:t>4</w:t>
                  </w:r>
                  <w:r>
                    <w:rPr>
                      <w:rFonts w:hint="eastAsia"/>
                      <w:sz w:val="21"/>
                      <w:szCs w:val="21"/>
                    </w:rPr>
                    <w:t>小时</w:t>
                  </w:r>
                  <w:r>
                    <w:rPr>
                      <w:sz w:val="21"/>
                      <w:szCs w:val="21"/>
                    </w:rPr>
                    <w:t>(</w:t>
                  </w:r>
                  <w:r>
                    <w:rPr>
                      <w:rFonts w:hint="eastAsia"/>
                      <w:sz w:val="21"/>
                      <w:szCs w:val="21"/>
                    </w:rPr>
                    <w:t>大鼠吸入</w:t>
                  </w:r>
                  <w:r>
                    <w:rPr>
                      <w:sz w:val="21"/>
                      <w:szCs w:val="21"/>
                    </w:rPr>
                    <w:t>)</w:t>
                  </w:r>
                  <w:r>
                    <w:rPr>
                      <w:rFonts w:hint="eastAsia"/>
                      <w:sz w:val="21"/>
                      <w:szCs w:val="21"/>
                    </w:rPr>
                    <w:t>。</w:t>
                  </w:r>
                </w:p>
                <w:p w14:paraId="7070BC44">
                  <w:pPr>
                    <w:pStyle w:val="154"/>
                    <w:ind w:firstLine="420" w:firstLineChars="200"/>
                    <w:jc w:val="left"/>
                    <w:rPr>
                      <w:sz w:val="21"/>
                      <w:szCs w:val="21"/>
                    </w:rPr>
                  </w:pPr>
                  <w:r>
                    <w:rPr>
                      <w:rFonts w:hint="eastAsia"/>
                      <w:sz w:val="21"/>
                      <w:szCs w:val="21"/>
                    </w:rPr>
                    <w:t>健康危害：急性中毒吸入</w:t>
                  </w:r>
                  <w:r>
                    <w:rPr>
                      <w:sz w:val="21"/>
                      <w:szCs w:val="21"/>
                    </w:rPr>
                    <w:t>MDI</w:t>
                  </w:r>
                  <w:r>
                    <w:rPr>
                      <w:rFonts w:hint="eastAsia"/>
                      <w:sz w:val="21"/>
                      <w:szCs w:val="21"/>
                    </w:rPr>
                    <w:t>蒸气可造成呼吸道刺激，引发头痛、流鼻涕、喉痛、气喘、胸闷、呼吸困难以及肺功能衰退。高浓度接触可导致支气管炎、支气管痉挛和肺水肿。眼睛接触可造成眼结膜刺激和中度眼角膜混浊。皮肤接触可造成皮肤刺激、过敏和皮炎。食入，导致腹部痉挛，呕吐。慢性中毒</w:t>
                  </w:r>
                  <w:r>
                    <w:rPr>
                      <w:sz w:val="21"/>
                      <w:szCs w:val="21"/>
                    </w:rPr>
                    <w:t xml:space="preserve"> </w:t>
                  </w:r>
                  <w:r>
                    <w:rPr>
                      <w:rFonts w:hint="eastAsia"/>
                      <w:sz w:val="21"/>
                      <w:szCs w:val="21"/>
                    </w:rPr>
                    <w:t>长期接触可造成永久性的肺功能衰退、皮疹、过敏性反应。</w:t>
                  </w:r>
                </w:p>
                <w:p w14:paraId="1EFCCC66">
                  <w:pPr>
                    <w:pStyle w:val="154"/>
                    <w:jc w:val="both"/>
                    <w:rPr>
                      <w:b/>
                      <w:sz w:val="21"/>
                      <w:szCs w:val="21"/>
                    </w:rPr>
                  </w:pPr>
                  <w:r>
                    <w:rPr>
                      <w:rFonts w:hint="eastAsia"/>
                      <w:b/>
                      <w:sz w:val="21"/>
                      <w:szCs w:val="21"/>
                    </w:rPr>
                    <w:t>三、燃烧爆炸危险性</w:t>
                  </w:r>
                </w:p>
                <w:p w14:paraId="493BD4FA">
                  <w:pPr>
                    <w:pStyle w:val="154"/>
                    <w:ind w:firstLine="420" w:firstLineChars="200"/>
                    <w:jc w:val="both"/>
                    <w:rPr>
                      <w:sz w:val="21"/>
                      <w:szCs w:val="21"/>
                    </w:rPr>
                  </w:pPr>
                  <w:r>
                    <w:rPr>
                      <w:rFonts w:hint="eastAsia"/>
                      <w:sz w:val="21"/>
                      <w:szCs w:val="21"/>
                    </w:rPr>
                    <w:t>燃爆危险：遇明火、高热可燃</w:t>
                  </w:r>
                </w:p>
                <w:p w14:paraId="247E3E1A">
                  <w:pPr>
                    <w:pStyle w:val="154"/>
                    <w:ind w:firstLine="420" w:firstLineChars="200"/>
                    <w:rPr>
                      <w:sz w:val="21"/>
                      <w:szCs w:val="21"/>
                    </w:rPr>
                  </w:pPr>
                  <w:r>
                    <w:rPr>
                      <w:rFonts w:hint="eastAsia"/>
                      <w:sz w:val="21"/>
                      <w:szCs w:val="21"/>
                    </w:rPr>
                    <w:t>危险特性：与氧化剂可发生反应。与胺类、醇、碱类和温水反应剧烈，能引起燃烧或爆炸。加热或燃烧时可分解生成有毒气体。其蒸气比空气重，能在较低处扩散到相当远的地方，遇火源会着火回燃。若遇高热，容器内压增大，有开裂和爆炸的危险。</w:t>
                  </w:r>
                </w:p>
                <w:p w14:paraId="70AC3B43">
                  <w:pPr>
                    <w:pStyle w:val="154"/>
                    <w:ind w:firstLine="420" w:firstLineChars="200"/>
                    <w:jc w:val="left"/>
                    <w:rPr>
                      <w:sz w:val="21"/>
                      <w:szCs w:val="21"/>
                    </w:rPr>
                  </w:pPr>
                  <w:r>
                    <w:rPr>
                      <w:rFonts w:hint="eastAsia"/>
                      <w:sz w:val="21"/>
                      <w:szCs w:val="21"/>
                    </w:rPr>
                    <w:t>灭火方法：消防人员须佩戴防毒面具、穿全身消防服，在上风向灭火。尽可能将容器从火场移至空旷处。喷水保持火场容器冷却，直至灭火结束。处在火场中的容器若已变色或从安全泄压装置中产生声音，必须马上撤离。</w:t>
                  </w:r>
                </w:p>
                <w:p w14:paraId="2B9D0A5C">
                  <w:pPr>
                    <w:pStyle w:val="154"/>
                    <w:ind w:firstLine="420" w:firstLineChars="200"/>
                    <w:jc w:val="left"/>
                    <w:rPr>
                      <w:sz w:val="21"/>
                      <w:szCs w:val="21"/>
                    </w:rPr>
                  </w:pPr>
                  <w:r>
                    <w:rPr>
                      <w:rFonts w:hint="eastAsia"/>
                      <w:sz w:val="21"/>
                      <w:szCs w:val="21"/>
                    </w:rPr>
                    <w:t>合适的灭火介质：干粉、二氧化碳、水喷雾或耐醇泡沫。</w:t>
                  </w:r>
                </w:p>
                <w:p w14:paraId="69219FB8">
                  <w:pPr>
                    <w:pStyle w:val="154"/>
                    <w:ind w:firstLine="420" w:firstLineChars="200"/>
                    <w:jc w:val="both"/>
                    <w:rPr>
                      <w:sz w:val="21"/>
                      <w:szCs w:val="21"/>
                    </w:rPr>
                  </w:pPr>
                  <w:r>
                    <w:rPr>
                      <w:rFonts w:hint="eastAsia"/>
                      <w:sz w:val="21"/>
                      <w:szCs w:val="21"/>
                    </w:rPr>
                    <w:t>有害分解产物：一氧化碳、二氧化碳、氧化氮、氰化氢。</w:t>
                  </w:r>
                </w:p>
                <w:p w14:paraId="3D0DB9AA">
                  <w:pPr>
                    <w:pStyle w:val="154"/>
                    <w:jc w:val="both"/>
                    <w:rPr>
                      <w:b/>
                      <w:sz w:val="21"/>
                      <w:szCs w:val="21"/>
                    </w:rPr>
                  </w:pPr>
                  <w:r>
                    <w:rPr>
                      <w:rFonts w:hint="eastAsia"/>
                      <w:b/>
                      <w:sz w:val="21"/>
                      <w:szCs w:val="21"/>
                    </w:rPr>
                    <w:t>四、急救措施</w:t>
                  </w:r>
                </w:p>
                <w:p w14:paraId="2B9458CB">
                  <w:pPr>
                    <w:pStyle w:val="154"/>
                    <w:ind w:firstLine="420" w:firstLineChars="200"/>
                    <w:jc w:val="both"/>
                    <w:rPr>
                      <w:sz w:val="21"/>
                      <w:szCs w:val="21"/>
                    </w:rPr>
                  </w:pPr>
                  <w:r>
                    <w:rPr>
                      <w:rFonts w:hint="eastAsia"/>
                      <w:sz w:val="21"/>
                      <w:szCs w:val="21"/>
                    </w:rPr>
                    <w:t>①皮肤接触：脱去污染的衣着，用大量流动清水冲洗。</w:t>
                  </w:r>
                </w:p>
                <w:p w14:paraId="72FFEC45">
                  <w:pPr>
                    <w:pStyle w:val="154"/>
                    <w:ind w:firstLine="420" w:firstLineChars="200"/>
                    <w:jc w:val="left"/>
                    <w:rPr>
                      <w:sz w:val="21"/>
                      <w:szCs w:val="21"/>
                    </w:rPr>
                  </w:pPr>
                  <w:r>
                    <w:rPr>
                      <w:rFonts w:hint="eastAsia"/>
                      <w:sz w:val="21"/>
                      <w:szCs w:val="21"/>
                    </w:rPr>
                    <w:t>②眼睛接触：立即提起眼睑，用大量流动清水或生理盐水彻底冲洗至少</w:t>
                  </w:r>
                  <w:r>
                    <w:rPr>
                      <w:sz w:val="21"/>
                      <w:szCs w:val="21"/>
                    </w:rPr>
                    <w:t>15</w:t>
                  </w:r>
                  <w:r>
                    <w:rPr>
                      <w:rFonts w:hint="eastAsia"/>
                      <w:sz w:val="21"/>
                      <w:szCs w:val="21"/>
                    </w:rPr>
                    <w:t>分钟。就医。</w:t>
                  </w:r>
                </w:p>
                <w:p w14:paraId="6E1205DB">
                  <w:pPr>
                    <w:pStyle w:val="154"/>
                    <w:ind w:firstLine="420" w:firstLineChars="200"/>
                    <w:jc w:val="left"/>
                    <w:rPr>
                      <w:sz w:val="21"/>
                      <w:szCs w:val="21"/>
                    </w:rPr>
                  </w:pPr>
                  <w:r>
                    <w:rPr>
                      <w:rFonts w:hint="eastAsia"/>
                      <w:sz w:val="21"/>
                      <w:szCs w:val="21"/>
                    </w:rPr>
                    <w:t>③吸入：迅速脱离现场至空气新鲜处。保持呼吸道通畅。如呼吸困难，给输氧。如呼吸停止，立即进行人工呼吸。就医。</w:t>
                  </w:r>
                </w:p>
                <w:p w14:paraId="535B1C8E">
                  <w:pPr>
                    <w:pStyle w:val="154"/>
                    <w:ind w:firstLine="420" w:firstLineChars="200"/>
                    <w:jc w:val="both"/>
                    <w:rPr>
                      <w:sz w:val="21"/>
                      <w:szCs w:val="21"/>
                    </w:rPr>
                  </w:pPr>
                  <w:r>
                    <w:rPr>
                      <w:rFonts w:hint="eastAsia"/>
                      <w:sz w:val="21"/>
                      <w:szCs w:val="21"/>
                    </w:rPr>
                    <w:t>④食入：用水漱口，给饮牛奶或蛋清。就医。</w:t>
                  </w:r>
                </w:p>
                <w:p w14:paraId="57E24A11">
                  <w:pPr>
                    <w:pStyle w:val="154"/>
                    <w:jc w:val="both"/>
                    <w:rPr>
                      <w:b/>
                      <w:sz w:val="21"/>
                      <w:szCs w:val="21"/>
                    </w:rPr>
                  </w:pPr>
                  <w:r>
                    <w:rPr>
                      <w:rFonts w:hint="eastAsia"/>
                      <w:b/>
                      <w:sz w:val="21"/>
                      <w:szCs w:val="21"/>
                    </w:rPr>
                    <w:t>五、泄漏处置</w:t>
                  </w:r>
                </w:p>
                <w:p w14:paraId="3B359587">
                  <w:pPr>
                    <w:pStyle w:val="154"/>
                    <w:ind w:firstLine="420" w:firstLineChars="200"/>
                    <w:jc w:val="left"/>
                    <w:rPr>
                      <w:sz w:val="21"/>
                      <w:szCs w:val="21"/>
                    </w:rPr>
                  </w:pPr>
                  <w:r>
                    <w:rPr>
                      <w:rFonts w:hint="eastAsia"/>
                      <w:sz w:val="21"/>
                      <w:szCs w:val="21"/>
                    </w:rPr>
                    <w:t>迅速撤离泄漏污染区人员至安全区，并进行隔离，严格限制出入。切断火源。建议应急处理人员戴自给正压式呼吸器，穿防毒服。尽可能切断泄漏源。防止流入下水道、排洪沟等限制性空间。</w:t>
                  </w:r>
                </w:p>
                <w:p w14:paraId="156E438B">
                  <w:pPr>
                    <w:pStyle w:val="154"/>
                    <w:ind w:firstLine="420" w:firstLineChars="200"/>
                    <w:jc w:val="left"/>
                    <w:rPr>
                      <w:sz w:val="21"/>
                      <w:szCs w:val="21"/>
                    </w:rPr>
                  </w:pPr>
                  <w:r>
                    <w:rPr>
                      <w:rFonts w:hint="eastAsia"/>
                      <w:sz w:val="21"/>
                      <w:szCs w:val="21"/>
                    </w:rPr>
                    <w:t>小量泄漏：用砂土、蛭石或其它惰性材料吸收。大量泄漏：构筑围堤或挖坑收容。用泵转移至槽车或专用收集器内，回收或运至废物处理场所处置。</w:t>
                  </w:r>
                </w:p>
                <w:p w14:paraId="07A8E1E0">
                  <w:pPr>
                    <w:pStyle w:val="154"/>
                    <w:jc w:val="both"/>
                    <w:rPr>
                      <w:b/>
                      <w:sz w:val="21"/>
                      <w:szCs w:val="21"/>
                    </w:rPr>
                  </w:pPr>
                  <w:r>
                    <w:rPr>
                      <w:rFonts w:hint="eastAsia"/>
                      <w:b/>
                      <w:sz w:val="21"/>
                      <w:szCs w:val="21"/>
                    </w:rPr>
                    <w:t>六、储运注意事项</w:t>
                  </w:r>
                </w:p>
                <w:p w14:paraId="3173091D">
                  <w:pPr>
                    <w:pStyle w:val="154"/>
                    <w:ind w:firstLine="420" w:firstLineChars="200"/>
                    <w:jc w:val="left"/>
                    <w:rPr>
                      <w:sz w:val="21"/>
                      <w:szCs w:val="21"/>
                    </w:rPr>
                  </w:pPr>
                  <w:r>
                    <w:rPr>
                      <w:rFonts w:hint="eastAsia"/>
                      <w:sz w:val="21"/>
                      <w:szCs w:val="21"/>
                    </w:rPr>
                    <w:t>操作注意事项：密闭操作，提供充分的局部排风。尽可能采取隔离操作。操作人员必须经过专门培训，严格遵守操作规程。建议操作人员佩戴自吸过滤式防尘口罩，戴化学安全防护眼镜，穿透气型防毒服，戴防化学品手套。远离火种、热源，工作场所严禁吸烟。使用防爆型的通风系统和设备。避免产生粉尘。避免与氧化剂、酸类、碱类接触。搬运时要轻装轻卸，防止包装及容器损坏。配备相应品种和数量的消防器材及泄漏应急处理设备。倒空的容器可能残留有害物。</w:t>
                  </w:r>
                </w:p>
                <w:p w14:paraId="1DB05C8C">
                  <w:pPr>
                    <w:pStyle w:val="154"/>
                    <w:ind w:firstLine="420" w:firstLineChars="200"/>
                    <w:jc w:val="left"/>
                    <w:rPr>
                      <w:sz w:val="21"/>
                      <w:szCs w:val="21"/>
                    </w:rPr>
                  </w:pPr>
                  <w:r>
                    <w:rPr>
                      <w:rFonts w:hint="eastAsia"/>
                      <w:sz w:val="21"/>
                      <w:szCs w:val="21"/>
                    </w:rPr>
                    <w:t>储存注意事项：储存于阴凉、通风的库房。远离火种、热源。避免光照。库温不超过</w:t>
                  </w:r>
                  <w:r>
                    <w:rPr>
                      <w:sz w:val="21"/>
                      <w:szCs w:val="21"/>
                    </w:rPr>
                    <w:t>5</w:t>
                  </w:r>
                  <w:r>
                    <w:rPr>
                      <w:rFonts w:hint="eastAsia" w:hAnsi="宋体" w:cs="宋体"/>
                      <w:sz w:val="21"/>
                      <w:szCs w:val="21"/>
                    </w:rPr>
                    <w:t>℃</w:t>
                  </w:r>
                  <w:r>
                    <w:rPr>
                      <w:rFonts w:hint="eastAsia"/>
                      <w:sz w:val="21"/>
                      <w:szCs w:val="21"/>
                    </w:rPr>
                    <w:t>，包装密封。应与酸、碱、氨、酒精、胺分开存放，切忌混储。配备相应品种和数量的消防器材。储区应备有合适的材料收容泄漏物。</w:t>
                  </w:r>
                </w:p>
              </w:tc>
            </w:tr>
            <w:tr w14:paraId="53182E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943" w:type="dxa"/>
                  <w:vAlign w:val="center"/>
                </w:tcPr>
                <w:p w14:paraId="686DF1BA">
                  <w:pPr>
                    <w:pStyle w:val="154"/>
                    <w:rPr>
                      <w:sz w:val="21"/>
                      <w:szCs w:val="21"/>
                    </w:rPr>
                  </w:pPr>
                  <w:r>
                    <w:rPr>
                      <w:rFonts w:hint="eastAsia"/>
                      <w:sz w:val="21"/>
                      <w:szCs w:val="21"/>
                    </w:rPr>
                    <w:t>磷酸</w:t>
                  </w:r>
                </w:p>
              </w:tc>
              <w:tc>
                <w:tcPr>
                  <w:tcW w:w="7890" w:type="dxa"/>
                  <w:vAlign w:val="center"/>
                </w:tcPr>
                <w:p w14:paraId="720CC11A">
                  <w:pPr>
                    <w:pStyle w:val="154"/>
                    <w:jc w:val="both"/>
                    <w:rPr>
                      <w:b/>
                      <w:sz w:val="21"/>
                      <w:szCs w:val="21"/>
                    </w:rPr>
                  </w:pPr>
                  <w:r>
                    <w:rPr>
                      <w:rFonts w:hint="eastAsia"/>
                      <w:b/>
                      <w:sz w:val="21"/>
                      <w:szCs w:val="21"/>
                    </w:rPr>
                    <w:t>一、理化性质</w:t>
                  </w:r>
                </w:p>
                <w:p w14:paraId="04716252">
                  <w:pPr>
                    <w:pStyle w:val="154"/>
                    <w:ind w:firstLine="420" w:firstLineChars="200"/>
                    <w:jc w:val="both"/>
                    <w:rPr>
                      <w:sz w:val="21"/>
                      <w:szCs w:val="21"/>
                    </w:rPr>
                  </w:pPr>
                  <w:r>
                    <w:rPr>
                      <w:sz w:val="21"/>
                      <w:szCs w:val="21"/>
                    </w:rPr>
                    <w:t>磷酸是一种无色结晶，无臭，具有酸味的物质。它的分子式为H3PO4，分子量为98.00。磷酸的熔点（纯品）为42.4</w:t>
                  </w:r>
                  <w:r>
                    <w:rPr>
                      <w:rFonts w:hint="eastAsia" w:ascii="宋体" w:hAnsi="宋体" w:eastAsia="宋体" w:cs="宋体"/>
                      <w:sz w:val="21"/>
                      <w:szCs w:val="21"/>
                    </w:rPr>
                    <w:t>℃</w:t>
                  </w:r>
                  <w:r>
                    <w:rPr>
                      <w:sz w:val="21"/>
                      <w:szCs w:val="21"/>
                    </w:rPr>
                    <w:t>，相对密度（水=1）为1.87，沸点为260</w:t>
                  </w:r>
                  <w:r>
                    <w:rPr>
                      <w:rFonts w:hint="eastAsia" w:ascii="宋体" w:hAnsi="宋体" w:eastAsia="宋体" w:cs="宋体"/>
                      <w:sz w:val="21"/>
                      <w:szCs w:val="21"/>
                    </w:rPr>
                    <w:t>℃</w:t>
                  </w:r>
                  <w:r>
                    <w:rPr>
                      <w:sz w:val="21"/>
                      <w:szCs w:val="21"/>
                    </w:rPr>
                    <w:t>，饱和蒸气压（25</w:t>
                  </w:r>
                  <w:r>
                    <w:rPr>
                      <w:rFonts w:hint="eastAsia" w:ascii="宋体" w:hAnsi="宋体" w:eastAsia="宋体" w:cs="宋体"/>
                      <w:sz w:val="21"/>
                      <w:szCs w:val="21"/>
                    </w:rPr>
                    <w:t>℃</w:t>
                  </w:r>
                  <w:r>
                    <w:rPr>
                      <w:sz w:val="21"/>
                      <w:szCs w:val="21"/>
                    </w:rPr>
                    <w:t>，纯品）为0.67kPa。磷酸与水混溶，可混溶于乙醇</w:t>
                  </w:r>
                </w:p>
                <w:p w14:paraId="399CCE63">
                  <w:pPr>
                    <w:pStyle w:val="154"/>
                    <w:jc w:val="both"/>
                    <w:rPr>
                      <w:b/>
                      <w:sz w:val="21"/>
                      <w:szCs w:val="21"/>
                    </w:rPr>
                  </w:pPr>
                  <w:r>
                    <w:rPr>
                      <w:rFonts w:hint="eastAsia"/>
                      <w:sz w:val="21"/>
                      <w:szCs w:val="21"/>
                    </w:rPr>
                    <w:t>二</w:t>
                  </w:r>
                  <w:r>
                    <w:rPr>
                      <w:rFonts w:hint="eastAsia"/>
                      <w:b/>
                      <w:sz w:val="21"/>
                      <w:szCs w:val="21"/>
                    </w:rPr>
                    <w:t>、毒性及健康危害</w:t>
                  </w:r>
                </w:p>
                <w:p w14:paraId="686B8D25">
                  <w:pPr>
                    <w:pStyle w:val="154"/>
                    <w:ind w:firstLine="420" w:firstLineChars="200"/>
                    <w:jc w:val="left"/>
                    <w:rPr>
                      <w:sz w:val="21"/>
                      <w:szCs w:val="21"/>
                    </w:rPr>
                  </w:pPr>
                  <w:r>
                    <w:rPr>
                      <w:rFonts w:hint="eastAsia"/>
                      <w:sz w:val="21"/>
                      <w:szCs w:val="21"/>
                    </w:rPr>
                    <w:t>急性毒性：</w:t>
                  </w:r>
                  <w:r>
                    <w:rPr>
                      <w:sz w:val="21"/>
                      <w:szCs w:val="21"/>
                    </w:rPr>
                    <w:t>LD</w:t>
                  </w:r>
                  <w:r>
                    <w:rPr>
                      <w:rFonts w:hint="eastAsia"/>
                      <w:sz w:val="21"/>
                      <w:szCs w:val="21"/>
                      <w:vertAlign w:val="subscript"/>
                    </w:rPr>
                    <w:t>50</w:t>
                  </w:r>
                  <w:r>
                    <w:rPr>
                      <w:rFonts w:hint="eastAsia"/>
                      <w:sz w:val="21"/>
                      <w:szCs w:val="21"/>
                    </w:rPr>
                    <w:t>：</w:t>
                  </w:r>
                  <w:r>
                    <w:rPr>
                      <w:sz w:val="21"/>
                      <w:szCs w:val="21"/>
                    </w:rPr>
                    <w:t>1530mg/kg(大鼠经口)</w:t>
                  </w:r>
                  <w:r>
                    <w:rPr>
                      <w:rFonts w:hint="eastAsia"/>
                      <w:sz w:val="21"/>
                      <w:szCs w:val="21"/>
                    </w:rPr>
                    <w:t>、</w:t>
                  </w:r>
                  <w:r>
                    <w:rPr>
                      <w:sz w:val="21"/>
                      <w:szCs w:val="21"/>
                    </w:rPr>
                    <w:t>2740mg/kg(兔经皮)</w:t>
                  </w:r>
                  <w:r>
                    <w:rPr>
                      <w:rFonts w:hint="eastAsia"/>
                      <w:sz w:val="21"/>
                      <w:szCs w:val="21"/>
                    </w:rPr>
                    <w:t>；</w:t>
                  </w:r>
                  <w:r>
                    <w:rPr>
                      <w:sz w:val="21"/>
                      <w:szCs w:val="21"/>
                    </w:rPr>
                    <w:t>LC</w:t>
                  </w:r>
                  <w:r>
                    <w:rPr>
                      <w:rFonts w:hint="eastAsia"/>
                      <w:sz w:val="21"/>
                      <w:szCs w:val="21"/>
                      <w:vertAlign w:val="subscript"/>
                    </w:rPr>
                    <w:t>50</w:t>
                  </w:r>
                  <w:r>
                    <w:rPr>
                      <w:rFonts w:hint="eastAsia"/>
                      <w:sz w:val="21"/>
                      <w:szCs w:val="21"/>
                    </w:rPr>
                    <w:t>：</w:t>
                  </w:r>
                  <w:r>
                    <w:rPr>
                      <w:sz w:val="21"/>
                      <w:szCs w:val="21"/>
                    </w:rPr>
                    <w:t>无资料</w:t>
                  </w:r>
                </w:p>
                <w:p w14:paraId="28C34309">
                  <w:pPr>
                    <w:pStyle w:val="154"/>
                    <w:ind w:firstLine="420" w:firstLineChars="200"/>
                    <w:jc w:val="left"/>
                    <w:rPr>
                      <w:sz w:val="21"/>
                      <w:szCs w:val="21"/>
                    </w:rPr>
                  </w:pPr>
                  <w:r>
                    <w:rPr>
                      <w:rFonts w:hint="eastAsia"/>
                      <w:sz w:val="21"/>
                      <w:szCs w:val="21"/>
                    </w:rPr>
                    <w:t>健康危害：蒸气或雾对眼、鼻、喉有刺激性。口服液体可引起恶心、呕吐、腹痛、血便或休克。皮肤或眼接触可致灼伤。</w:t>
                  </w:r>
                </w:p>
                <w:p w14:paraId="4B62CDBB">
                  <w:pPr>
                    <w:pStyle w:val="154"/>
                    <w:ind w:firstLine="420" w:firstLineChars="200"/>
                    <w:jc w:val="left"/>
                    <w:rPr>
                      <w:sz w:val="21"/>
                      <w:szCs w:val="21"/>
                    </w:rPr>
                  </w:pPr>
                  <w:r>
                    <w:rPr>
                      <w:rFonts w:hint="eastAsia"/>
                      <w:sz w:val="21"/>
                      <w:szCs w:val="21"/>
                    </w:rPr>
                    <w:t>慢性影响：</w:t>
                  </w:r>
                  <w:r>
                    <w:rPr>
                      <w:sz w:val="21"/>
                      <w:szCs w:val="21"/>
                    </w:rPr>
                    <w:t>鼻粘膜萎缩、鼻中隔穿孔。长期反复皮肤接触，可引起皮肤刺激</w:t>
                  </w:r>
                </w:p>
                <w:p w14:paraId="7BF47F53">
                  <w:pPr>
                    <w:pStyle w:val="154"/>
                    <w:jc w:val="both"/>
                    <w:rPr>
                      <w:b/>
                      <w:sz w:val="21"/>
                      <w:szCs w:val="21"/>
                    </w:rPr>
                  </w:pPr>
                  <w:r>
                    <w:rPr>
                      <w:rFonts w:hint="eastAsia"/>
                      <w:b/>
                      <w:sz w:val="21"/>
                      <w:szCs w:val="21"/>
                    </w:rPr>
                    <w:t>三、燃烧爆炸危险性</w:t>
                  </w:r>
                </w:p>
                <w:p w14:paraId="076BF82B">
                  <w:pPr>
                    <w:pStyle w:val="154"/>
                    <w:ind w:firstLine="420" w:firstLineChars="200"/>
                    <w:jc w:val="left"/>
                    <w:rPr>
                      <w:sz w:val="21"/>
                      <w:szCs w:val="21"/>
                    </w:rPr>
                  </w:pPr>
                  <w:r>
                    <w:rPr>
                      <w:rFonts w:hint="eastAsia"/>
                      <w:sz w:val="21"/>
                      <w:szCs w:val="21"/>
                    </w:rPr>
                    <w:t>燃爆危险：本品不燃，具腐蚀性、刺激性，可致人体灼伤。</w:t>
                  </w:r>
                </w:p>
                <w:p w14:paraId="2DE42778">
                  <w:pPr>
                    <w:pStyle w:val="154"/>
                    <w:ind w:firstLine="420" w:firstLineChars="200"/>
                    <w:jc w:val="left"/>
                    <w:rPr>
                      <w:sz w:val="21"/>
                      <w:szCs w:val="21"/>
                    </w:rPr>
                  </w:pPr>
                  <w:r>
                    <w:rPr>
                      <w:rFonts w:hint="eastAsia"/>
                      <w:sz w:val="21"/>
                      <w:szCs w:val="21"/>
                    </w:rPr>
                    <w:t>危险特性：遇金属反应放出氢气。能与空气形成爆炸性混合物。受热分解产生剧毒的化磷烟气，具有腐蚀性。</w:t>
                  </w:r>
                </w:p>
                <w:p w14:paraId="6B44F696">
                  <w:pPr>
                    <w:pStyle w:val="154"/>
                    <w:ind w:firstLine="420" w:firstLineChars="200"/>
                    <w:jc w:val="left"/>
                    <w:rPr>
                      <w:sz w:val="21"/>
                      <w:szCs w:val="21"/>
                    </w:rPr>
                  </w:pPr>
                  <w:r>
                    <w:rPr>
                      <w:rFonts w:hint="eastAsia"/>
                      <w:sz w:val="21"/>
                      <w:szCs w:val="21"/>
                    </w:rPr>
                    <w:t>灭火方法：用雾状水保持火场中容器冷却。用大量水灭火。</w:t>
                  </w:r>
                </w:p>
                <w:p w14:paraId="32951390">
                  <w:pPr>
                    <w:pStyle w:val="154"/>
                    <w:ind w:firstLine="420" w:firstLineChars="200"/>
                    <w:jc w:val="both"/>
                    <w:rPr>
                      <w:sz w:val="21"/>
                      <w:szCs w:val="21"/>
                    </w:rPr>
                  </w:pPr>
                  <w:r>
                    <w:rPr>
                      <w:rFonts w:hint="eastAsia"/>
                      <w:sz w:val="21"/>
                      <w:szCs w:val="21"/>
                    </w:rPr>
                    <w:t>有害分解产物：氧化磷。</w:t>
                  </w:r>
                </w:p>
                <w:p w14:paraId="30DA211F">
                  <w:pPr>
                    <w:pStyle w:val="154"/>
                    <w:jc w:val="both"/>
                    <w:rPr>
                      <w:b/>
                      <w:sz w:val="21"/>
                      <w:szCs w:val="21"/>
                    </w:rPr>
                  </w:pPr>
                  <w:r>
                    <w:rPr>
                      <w:rFonts w:hint="eastAsia"/>
                      <w:b/>
                      <w:sz w:val="21"/>
                      <w:szCs w:val="21"/>
                    </w:rPr>
                    <w:t>四、急救措施</w:t>
                  </w:r>
                </w:p>
                <w:p w14:paraId="0DD03088">
                  <w:pPr>
                    <w:pStyle w:val="154"/>
                    <w:ind w:firstLine="420" w:firstLineChars="200"/>
                    <w:jc w:val="left"/>
                    <w:rPr>
                      <w:sz w:val="21"/>
                      <w:szCs w:val="21"/>
                    </w:rPr>
                  </w:pPr>
                  <w:r>
                    <w:rPr>
                      <w:rFonts w:hint="eastAsia"/>
                      <w:sz w:val="21"/>
                      <w:szCs w:val="21"/>
                    </w:rPr>
                    <w:t>皮肤接触：立即脱去被污染的衣着，用大量流动清水冲洗至少</w:t>
                  </w:r>
                  <w:r>
                    <w:rPr>
                      <w:sz w:val="21"/>
                      <w:szCs w:val="21"/>
                    </w:rPr>
                    <w:t>15分钟。就医。</w:t>
                  </w:r>
                </w:p>
                <w:p w14:paraId="1063F205">
                  <w:pPr>
                    <w:pStyle w:val="154"/>
                    <w:ind w:firstLine="420" w:firstLineChars="200"/>
                    <w:jc w:val="left"/>
                    <w:rPr>
                      <w:sz w:val="21"/>
                      <w:szCs w:val="21"/>
                    </w:rPr>
                  </w:pPr>
                  <w:r>
                    <w:rPr>
                      <w:sz w:val="21"/>
                      <w:szCs w:val="21"/>
                    </w:rPr>
                    <w:t>眼睛接触</w:t>
                  </w:r>
                  <w:r>
                    <w:rPr>
                      <w:rFonts w:hint="eastAsia"/>
                      <w:sz w:val="21"/>
                      <w:szCs w:val="21"/>
                    </w:rPr>
                    <w:t>：</w:t>
                  </w:r>
                  <w:r>
                    <w:rPr>
                      <w:sz w:val="21"/>
                      <w:szCs w:val="21"/>
                    </w:rPr>
                    <w:t>立即提起眼睑，用大量流动洁水或生理盐水彻底冲洗至少15分钟。就医。</w:t>
                  </w:r>
                </w:p>
                <w:p w14:paraId="39FC3304">
                  <w:pPr>
                    <w:pStyle w:val="154"/>
                    <w:ind w:firstLine="420" w:firstLineChars="200"/>
                    <w:jc w:val="left"/>
                    <w:rPr>
                      <w:sz w:val="21"/>
                      <w:szCs w:val="21"/>
                    </w:rPr>
                  </w:pPr>
                  <w:r>
                    <w:rPr>
                      <w:rFonts w:hint="eastAsia"/>
                      <w:sz w:val="21"/>
                      <w:szCs w:val="21"/>
                    </w:rPr>
                    <w:t>吸入：</w:t>
                  </w:r>
                  <w:r>
                    <w:rPr>
                      <w:sz w:val="21"/>
                      <w:szCs w:val="21"/>
                    </w:rPr>
                    <w:t>迅速脱离现场至空气新鲜处。保持呼吸道通畅。如呼吸困难，给输氧。</w:t>
                  </w:r>
                  <w:r>
                    <w:rPr>
                      <w:rFonts w:hint="eastAsia"/>
                      <w:sz w:val="21"/>
                      <w:szCs w:val="21"/>
                    </w:rPr>
                    <w:t>如呼吸停止。立即进行人工呼吸。就医。</w:t>
                  </w:r>
                </w:p>
                <w:p w14:paraId="465C1CDD">
                  <w:pPr>
                    <w:pStyle w:val="154"/>
                    <w:ind w:firstLine="420" w:firstLineChars="200"/>
                    <w:jc w:val="left"/>
                    <w:rPr>
                      <w:sz w:val="21"/>
                      <w:szCs w:val="21"/>
                    </w:rPr>
                  </w:pPr>
                  <w:r>
                    <w:rPr>
                      <w:rFonts w:hint="eastAsia"/>
                      <w:sz w:val="21"/>
                      <w:szCs w:val="21"/>
                    </w:rPr>
                    <w:t>食入：</w:t>
                  </w:r>
                  <w:r>
                    <w:rPr>
                      <w:sz w:val="21"/>
                      <w:szCs w:val="21"/>
                    </w:rPr>
                    <w:t>误服者用水漱口，给饮牛奶或蛋清。就医。</w:t>
                  </w:r>
                </w:p>
                <w:p w14:paraId="3F8634F4">
                  <w:pPr>
                    <w:pStyle w:val="154"/>
                    <w:jc w:val="both"/>
                    <w:rPr>
                      <w:b/>
                      <w:sz w:val="21"/>
                      <w:szCs w:val="21"/>
                    </w:rPr>
                  </w:pPr>
                  <w:r>
                    <w:rPr>
                      <w:rFonts w:hint="eastAsia"/>
                      <w:b/>
                      <w:sz w:val="21"/>
                      <w:szCs w:val="21"/>
                    </w:rPr>
                    <w:t>五、泄漏处置</w:t>
                  </w:r>
                </w:p>
                <w:p w14:paraId="3C7BFC51">
                  <w:pPr>
                    <w:pStyle w:val="154"/>
                    <w:ind w:firstLine="420" w:firstLineChars="200"/>
                    <w:jc w:val="both"/>
                    <w:rPr>
                      <w:sz w:val="21"/>
                      <w:szCs w:val="21"/>
                    </w:rPr>
                  </w:pPr>
                  <w:r>
                    <w:rPr>
                      <w:rFonts w:hint="eastAsia"/>
                      <w:sz w:val="21"/>
                      <w:szCs w:val="21"/>
                    </w:rPr>
                    <w:t>隔离泄漏污染区，限制出入。建议应急处理人员戴自给式呼吸器，穿防酸碱工作服。不要直接接触泄漏物。小量泄漏：</w:t>
                  </w:r>
                  <w:r>
                    <w:rPr>
                      <w:sz w:val="21"/>
                      <w:szCs w:val="21"/>
                    </w:rPr>
                    <w:t>用洁净的铲子收集于干燥、洁净有盖的容器中。大量泄漏:收集回收或运至废物处理场所处置。</w:t>
                  </w:r>
                </w:p>
                <w:p w14:paraId="3A10C5E7">
                  <w:pPr>
                    <w:pStyle w:val="154"/>
                    <w:jc w:val="both"/>
                    <w:rPr>
                      <w:b/>
                      <w:sz w:val="21"/>
                      <w:szCs w:val="21"/>
                    </w:rPr>
                  </w:pPr>
                  <w:r>
                    <w:rPr>
                      <w:rFonts w:hint="eastAsia"/>
                      <w:b/>
                      <w:sz w:val="21"/>
                      <w:szCs w:val="21"/>
                    </w:rPr>
                    <w:t>六、储运注意事项</w:t>
                  </w:r>
                </w:p>
                <w:p w14:paraId="2B92E79C">
                  <w:pPr>
                    <w:pStyle w:val="154"/>
                    <w:ind w:firstLine="420" w:firstLineChars="200"/>
                    <w:jc w:val="left"/>
                    <w:rPr>
                      <w:sz w:val="21"/>
                      <w:szCs w:val="21"/>
                    </w:rPr>
                  </w:pPr>
                  <w:r>
                    <w:rPr>
                      <w:rFonts w:hint="eastAsia"/>
                      <w:sz w:val="21"/>
                      <w:szCs w:val="21"/>
                    </w:rPr>
                    <w:t>操作注意事项：密闭操作，注意通风。操作尽可能机械化、自动化。操作人员必须经过专门培训，严格遵守操作规程。建议操作人员佩戴自吸过滤式防毒面具</w:t>
                  </w:r>
                  <w:r>
                    <w:rPr>
                      <w:sz w:val="21"/>
                      <w:szCs w:val="21"/>
                    </w:rPr>
                    <w:t>(半面罩)戴化学安全防护眼镜，穿橡胶耐酸碱服，戴橡胶耐酸碱手套。远离易燃、可燃物。避免产生粉尘。避免与碱类、活性金属粉末接触。搬运时要轻装轻卸，防止包装及容器损坏。配备泄漏应急处理设备。倒空的容器可能残留有害物。稀释或制备溶液时，应小心把酸慢慢加入水中，防止发生过热和飞溅。</w:t>
                  </w:r>
                </w:p>
                <w:p w14:paraId="01F27DDB">
                  <w:pPr>
                    <w:pStyle w:val="154"/>
                    <w:ind w:firstLine="420" w:firstLineChars="200"/>
                    <w:jc w:val="left"/>
                    <w:rPr>
                      <w:sz w:val="21"/>
                      <w:szCs w:val="21"/>
                    </w:rPr>
                  </w:pPr>
                  <w:r>
                    <w:rPr>
                      <w:rFonts w:hint="eastAsia"/>
                      <w:sz w:val="21"/>
                      <w:szCs w:val="21"/>
                    </w:rPr>
                    <w:t>储存注意事项：储存于阴凉、通风的库房。远离火种、热源。包装密封。应与易</w:t>
                  </w:r>
                  <w:r>
                    <w:rPr>
                      <w:sz w:val="21"/>
                      <w:szCs w:val="21"/>
                    </w:rPr>
                    <w:t>(可)燃物、碱类、活性金属粉末分开存放，切忌混储。储区应备有合适的材料收容泄漏物。</w:t>
                  </w:r>
                </w:p>
              </w:tc>
            </w:tr>
            <w:tr w14:paraId="7DF87D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943" w:type="dxa"/>
                  <w:vAlign w:val="center"/>
                </w:tcPr>
                <w:p w14:paraId="3149690B">
                  <w:pPr>
                    <w:pStyle w:val="154"/>
                    <w:jc w:val="both"/>
                    <w:rPr>
                      <w:sz w:val="21"/>
                      <w:szCs w:val="21"/>
                    </w:rPr>
                  </w:pPr>
                  <w:r>
                    <w:rPr>
                      <w:sz w:val="21"/>
                      <w:szCs w:val="21"/>
                    </w:rPr>
                    <w:t>润滑油</w:t>
                  </w:r>
                </w:p>
              </w:tc>
              <w:tc>
                <w:tcPr>
                  <w:tcW w:w="7890" w:type="dxa"/>
                  <w:vAlign w:val="center"/>
                </w:tcPr>
                <w:p w14:paraId="70594B26">
                  <w:pPr>
                    <w:pStyle w:val="154"/>
                    <w:jc w:val="both"/>
                    <w:rPr>
                      <w:b/>
                      <w:sz w:val="21"/>
                      <w:szCs w:val="21"/>
                    </w:rPr>
                  </w:pPr>
                  <w:r>
                    <w:rPr>
                      <w:b/>
                      <w:sz w:val="21"/>
                      <w:szCs w:val="21"/>
                    </w:rPr>
                    <w:t>一、理化性质</w:t>
                  </w:r>
                </w:p>
                <w:p w14:paraId="1C7C64CD">
                  <w:pPr>
                    <w:pStyle w:val="154"/>
                    <w:ind w:firstLine="420" w:firstLineChars="200"/>
                    <w:jc w:val="left"/>
                    <w:rPr>
                      <w:sz w:val="21"/>
                      <w:szCs w:val="21"/>
                    </w:rPr>
                  </w:pPr>
                  <w:r>
                    <w:rPr>
                      <w:sz w:val="21"/>
                      <w:szCs w:val="21"/>
                    </w:rPr>
                    <w:t>外观为淡黄色粘稠液体。相对密度（空气）：0.85，沸点：-252.8</w:t>
                  </w:r>
                  <w:r>
                    <w:rPr>
                      <w:rFonts w:hint="eastAsia" w:cs="宋体"/>
                      <w:sz w:val="21"/>
                      <w:szCs w:val="21"/>
                    </w:rPr>
                    <w:t>℃</w:t>
                  </w:r>
                  <w:r>
                    <w:rPr>
                      <w:sz w:val="21"/>
                      <w:szCs w:val="21"/>
                    </w:rPr>
                    <w:t>；饱和蒸气压（kpa）0.13/145.8</w:t>
                  </w:r>
                  <w:r>
                    <w:rPr>
                      <w:rFonts w:hint="eastAsia" w:cs="宋体"/>
                      <w:sz w:val="21"/>
                      <w:szCs w:val="21"/>
                    </w:rPr>
                    <w:t>℃</w:t>
                  </w:r>
                  <w:r>
                    <w:rPr>
                      <w:sz w:val="21"/>
                      <w:szCs w:val="21"/>
                    </w:rPr>
                    <w:t>，闪点（</w:t>
                  </w:r>
                  <w:r>
                    <w:rPr>
                      <w:rFonts w:hint="eastAsia" w:cs="宋体"/>
                      <w:sz w:val="21"/>
                      <w:szCs w:val="21"/>
                    </w:rPr>
                    <w:t>℃</w:t>
                  </w:r>
                  <w:r>
                    <w:rPr>
                      <w:sz w:val="21"/>
                      <w:szCs w:val="21"/>
                    </w:rPr>
                    <w:t>）120-340，自燃点（</w:t>
                  </w:r>
                  <w:r>
                    <w:rPr>
                      <w:rFonts w:hint="eastAsia" w:cs="宋体"/>
                      <w:sz w:val="21"/>
                      <w:szCs w:val="21"/>
                    </w:rPr>
                    <w:t>℃</w:t>
                  </w:r>
                  <w:r>
                    <w:rPr>
                      <w:sz w:val="21"/>
                      <w:szCs w:val="21"/>
                    </w:rPr>
                    <w:t>）300-350。溶于苯、乙醇、乙醚、氯仿、丙酮等多数有机溶剂。</w:t>
                  </w:r>
                </w:p>
                <w:p w14:paraId="7F85C744">
                  <w:pPr>
                    <w:pStyle w:val="154"/>
                    <w:jc w:val="both"/>
                    <w:rPr>
                      <w:b/>
                      <w:sz w:val="21"/>
                      <w:szCs w:val="21"/>
                    </w:rPr>
                  </w:pPr>
                  <w:r>
                    <w:rPr>
                      <w:b/>
                      <w:sz w:val="21"/>
                      <w:szCs w:val="21"/>
                    </w:rPr>
                    <w:t>二、毒性及健康危害</w:t>
                  </w:r>
                </w:p>
                <w:p w14:paraId="22257294">
                  <w:pPr>
                    <w:pStyle w:val="154"/>
                    <w:ind w:firstLine="420" w:firstLineChars="200"/>
                    <w:jc w:val="left"/>
                    <w:rPr>
                      <w:sz w:val="21"/>
                      <w:szCs w:val="21"/>
                    </w:rPr>
                  </w:pPr>
                  <w:r>
                    <w:rPr>
                      <w:sz w:val="21"/>
                      <w:szCs w:val="21"/>
                    </w:rPr>
                    <w:t>健康危害：急性吸入，可出现乏力、头晕、头痛、恶心，严重者可引起油脂性肺</w:t>
                  </w:r>
                </w:p>
                <w:p w14:paraId="620BB0DC">
                  <w:pPr>
                    <w:pStyle w:val="154"/>
                    <w:jc w:val="left"/>
                    <w:rPr>
                      <w:sz w:val="21"/>
                      <w:szCs w:val="21"/>
                    </w:rPr>
                  </w:pPr>
                  <w:r>
                    <w:rPr>
                      <w:sz w:val="21"/>
                      <w:szCs w:val="21"/>
                    </w:rPr>
                    <w:t>炎。慢接触者，暴露部位可发生油性痤疮和接触型皮炎。可引发神经衰弱综合症，呼吸道和眼刺激症状及慢性油脂性肺炎。</w:t>
                  </w:r>
                </w:p>
                <w:p w14:paraId="13208FF6">
                  <w:pPr>
                    <w:pStyle w:val="154"/>
                    <w:jc w:val="both"/>
                    <w:rPr>
                      <w:b/>
                      <w:sz w:val="21"/>
                      <w:szCs w:val="21"/>
                    </w:rPr>
                  </w:pPr>
                  <w:r>
                    <w:rPr>
                      <w:b/>
                      <w:sz w:val="21"/>
                      <w:szCs w:val="21"/>
                    </w:rPr>
                    <w:t>三、燃烧爆炸危险性</w:t>
                  </w:r>
                </w:p>
                <w:p w14:paraId="128F376A">
                  <w:pPr>
                    <w:pStyle w:val="154"/>
                    <w:ind w:firstLine="420" w:firstLineChars="200"/>
                    <w:jc w:val="left"/>
                    <w:rPr>
                      <w:sz w:val="21"/>
                      <w:szCs w:val="21"/>
                    </w:rPr>
                  </w:pPr>
                  <w:r>
                    <w:rPr>
                      <w:sz w:val="21"/>
                      <w:szCs w:val="21"/>
                    </w:rPr>
                    <w:t>燃爆危险：遇明火、高热可燃</w:t>
                  </w:r>
                </w:p>
                <w:p w14:paraId="2022843E">
                  <w:pPr>
                    <w:pStyle w:val="154"/>
                    <w:ind w:firstLine="420" w:firstLineChars="200"/>
                    <w:jc w:val="both"/>
                    <w:rPr>
                      <w:sz w:val="21"/>
                      <w:szCs w:val="21"/>
                    </w:rPr>
                  </w:pPr>
                  <w:r>
                    <w:rPr>
                      <w:sz w:val="21"/>
                      <w:szCs w:val="21"/>
                    </w:rPr>
                    <w:t>危险特性：可燃液体，火灾危险性为丙B类；遇明火、高热可燃</w:t>
                  </w:r>
                </w:p>
                <w:p w14:paraId="076B940C">
                  <w:pPr>
                    <w:pStyle w:val="154"/>
                    <w:ind w:firstLine="420" w:firstLineChars="200"/>
                    <w:jc w:val="left"/>
                    <w:rPr>
                      <w:sz w:val="21"/>
                      <w:szCs w:val="21"/>
                    </w:rPr>
                  </w:pPr>
                  <w:r>
                    <w:rPr>
                      <w:sz w:val="21"/>
                      <w:szCs w:val="21"/>
                    </w:rPr>
                    <w:t>灭火方法：消防人员须佩戴防毒面具、穿全身消防服，在上风向灭火。尽可能将容器从火场移至空旷处。喷水保持火场容器冷却，直至灭火结束。处在火场中的容器若已变色或从安全泄压装置中产生声音，必须立即撤离。灭火剂</w:t>
                  </w:r>
                  <w:r>
                    <w:rPr>
                      <w:rFonts w:hint="eastAsia"/>
                      <w:sz w:val="21"/>
                      <w:szCs w:val="21"/>
                    </w:rPr>
                    <w:t>：</w:t>
                  </w:r>
                  <w:r>
                    <w:rPr>
                      <w:sz w:val="21"/>
                      <w:szCs w:val="21"/>
                    </w:rPr>
                    <w:t>雾状水、泡沫、干粉、二氧化碳、砂土。</w:t>
                  </w:r>
                </w:p>
                <w:p w14:paraId="2971C47C">
                  <w:pPr>
                    <w:pStyle w:val="154"/>
                    <w:ind w:firstLine="420" w:firstLineChars="200"/>
                    <w:jc w:val="both"/>
                    <w:rPr>
                      <w:sz w:val="21"/>
                      <w:szCs w:val="21"/>
                    </w:rPr>
                  </w:pPr>
                  <w:r>
                    <w:rPr>
                      <w:sz w:val="21"/>
                      <w:szCs w:val="21"/>
                    </w:rPr>
                    <w:t>有害分解产物：一氧化碳、二氧化碳等有毒有害气体。</w:t>
                  </w:r>
                </w:p>
                <w:p w14:paraId="682BF65E">
                  <w:pPr>
                    <w:pStyle w:val="154"/>
                    <w:jc w:val="both"/>
                    <w:rPr>
                      <w:b/>
                      <w:sz w:val="21"/>
                      <w:szCs w:val="21"/>
                    </w:rPr>
                  </w:pPr>
                  <w:r>
                    <w:rPr>
                      <w:b/>
                      <w:sz w:val="21"/>
                      <w:szCs w:val="21"/>
                    </w:rPr>
                    <w:t>四、急救措施</w:t>
                  </w:r>
                </w:p>
                <w:p w14:paraId="48BBE120">
                  <w:pPr>
                    <w:pStyle w:val="154"/>
                    <w:ind w:firstLine="420" w:firstLineChars="200"/>
                    <w:jc w:val="both"/>
                    <w:rPr>
                      <w:sz w:val="21"/>
                      <w:szCs w:val="21"/>
                    </w:rPr>
                  </w:pPr>
                  <w:r>
                    <w:rPr>
                      <w:rFonts w:hint="eastAsia" w:cs="宋体"/>
                      <w:sz w:val="21"/>
                      <w:szCs w:val="21"/>
                    </w:rPr>
                    <w:t>①</w:t>
                  </w:r>
                  <w:r>
                    <w:rPr>
                      <w:sz w:val="21"/>
                      <w:szCs w:val="21"/>
                    </w:rPr>
                    <w:t>皮肤接触</w:t>
                  </w:r>
                  <w:r>
                    <w:rPr>
                      <w:rFonts w:hint="eastAsia"/>
                      <w:sz w:val="21"/>
                      <w:szCs w:val="21"/>
                    </w:rPr>
                    <w:t>：</w:t>
                  </w:r>
                  <w:r>
                    <w:rPr>
                      <w:sz w:val="21"/>
                      <w:szCs w:val="21"/>
                    </w:rPr>
                    <w:t>脱去污染的衣着，用大量流动清水清洗。就医。</w:t>
                  </w:r>
                </w:p>
                <w:p w14:paraId="6FA945D8">
                  <w:pPr>
                    <w:pStyle w:val="154"/>
                    <w:ind w:firstLine="420" w:firstLineChars="200"/>
                    <w:jc w:val="both"/>
                    <w:rPr>
                      <w:sz w:val="21"/>
                      <w:szCs w:val="21"/>
                    </w:rPr>
                  </w:pPr>
                  <w:r>
                    <w:rPr>
                      <w:rFonts w:hint="eastAsia" w:cs="宋体"/>
                      <w:sz w:val="21"/>
                      <w:szCs w:val="21"/>
                    </w:rPr>
                    <w:t>②</w:t>
                  </w:r>
                  <w:r>
                    <w:rPr>
                      <w:sz w:val="21"/>
                      <w:szCs w:val="21"/>
                    </w:rPr>
                    <w:t>眼睛接触</w:t>
                  </w:r>
                  <w:r>
                    <w:rPr>
                      <w:rFonts w:hint="eastAsia"/>
                      <w:sz w:val="21"/>
                      <w:szCs w:val="21"/>
                    </w:rPr>
                    <w:t>：</w:t>
                  </w:r>
                  <w:r>
                    <w:rPr>
                      <w:sz w:val="21"/>
                      <w:szCs w:val="21"/>
                    </w:rPr>
                    <w:t>提起眼睑，用流动清水或生理盐水冲洗。就医。</w:t>
                  </w:r>
                </w:p>
                <w:p w14:paraId="53B20D3B">
                  <w:pPr>
                    <w:pStyle w:val="154"/>
                    <w:ind w:firstLine="420" w:firstLineChars="200"/>
                    <w:jc w:val="left"/>
                    <w:rPr>
                      <w:sz w:val="21"/>
                      <w:szCs w:val="21"/>
                    </w:rPr>
                  </w:pPr>
                  <w:r>
                    <w:rPr>
                      <w:rFonts w:hint="eastAsia" w:cs="宋体"/>
                      <w:sz w:val="21"/>
                      <w:szCs w:val="21"/>
                    </w:rPr>
                    <w:t>③</w:t>
                  </w:r>
                  <w:r>
                    <w:rPr>
                      <w:sz w:val="21"/>
                      <w:szCs w:val="21"/>
                    </w:rPr>
                    <w:t>吸入</w:t>
                  </w:r>
                  <w:r>
                    <w:rPr>
                      <w:rFonts w:hint="eastAsia"/>
                      <w:sz w:val="21"/>
                      <w:szCs w:val="21"/>
                    </w:rPr>
                    <w:t>：</w:t>
                  </w:r>
                  <w:r>
                    <w:rPr>
                      <w:sz w:val="21"/>
                      <w:szCs w:val="21"/>
                    </w:rPr>
                    <w:t>迅速脱离现场至空气新鲜处，保持呼吸畅通。如呼吸困难，给输氧。</w:t>
                  </w:r>
                </w:p>
                <w:p w14:paraId="6B5CD24B">
                  <w:pPr>
                    <w:pStyle w:val="154"/>
                    <w:jc w:val="left"/>
                    <w:rPr>
                      <w:sz w:val="21"/>
                      <w:szCs w:val="21"/>
                    </w:rPr>
                  </w:pPr>
                  <w:r>
                    <w:rPr>
                      <w:sz w:val="21"/>
                      <w:szCs w:val="21"/>
                    </w:rPr>
                    <w:t>如呼吸停止，立即进行人工呼吸。就医。</w:t>
                  </w:r>
                </w:p>
                <w:p w14:paraId="5556B40F">
                  <w:pPr>
                    <w:pStyle w:val="154"/>
                    <w:ind w:firstLine="420" w:firstLineChars="200"/>
                    <w:jc w:val="both"/>
                    <w:rPr>
                      <w:sz w:val="21"/>
                      <w:szCs w:val="21"/>
                    </w:rPr>
                  </w:pPr>
                  <w:r>
                    <w:rPr>
                      <w:rFonts w:hint="eastAsia" w:cs="宋体"/>
                      <w:sz w:val="21"/>
                      <w:szCs w:val="21"/>
                    </w:rPr>
                    <w:t>④</w:t>
                  </w:r>
                  <w:r>
                    <w:rPr>
                      <w:sz w:val="21"/>
                      <w:szCs w:val="21"/>
                    </w:rPr>
                    <w:t>食用</w:t>
                  </w:r>
                  <w:r>
                    <w:rPr>
                      <w:rFonts w:hint="eastAsia"/>
                      <w:sz w:val="21"/>
                      <w:szCs w:val="21"/>
                    </w:rPr>
                    <w:t>：</w:t>
                  </w:r>
                  <w:r>
                    <w:rPr>
                      <w:sz w:val="21"/>
                      <w:szCs w:val="21"/>
                    </w:rPr>
                    <w:t>饮适量温水，催吐。就医。</w:t>
                  </w:r>
                </w:p>
                <w:p w14:paraId="6EF507BF">
                  <w:pPr>
                    <w:pStyle w:val="154"/>
                    <w:jc w:val="both"/>
                    <w:rPr>
                      <w:b/>
                      <w:sz w:val="21"/>
                      <w:szCs w:val="21"/>
                    </w:rPr>
                  </w:pPr>
                  <w:r>
                    <w:rPr>
                      <w:b/>
                      <w:sz w:val="21"/>
                      <w:szCs w:val="21"/>
                    </w:rPr>
                    <w:t>五、泄漏处置</w:t>
                  </w:r>
                </w:p>
                <w:p w14:paraId="7D385256">
                  <w:pPr>
                    <w:pStyle w:val="154"/>
                    <w:ind w:firstLine="420" w:firstLineChars="200"/>
                    <w:jc w:val="left"/>
                    <w:rPr>
                      <w:sz w:val="21"/>
                      <w:szCs w:val="21"/>
                    </w:rPr>
                  </w:pPr>
                  <w:r>
                    <w:rPr>
                      <w:sz w:val="21"/>
                      <w:szCs w:val="21"/>
                    </w:rPr>
                    <w:t>迅速撤离泄漏污染区人员至安全区，并进行隔离，严格限制出入。切断火源。建议应急处理人员戴自给正式呼吸器，穿防毒服。尽可能切断泄漏源。防止流入下水道、排洪沟等限制性空间。</w:t>
                  </w:r>
                </w:p>
                <w:p w14:paraId="51C2B6E3">
                  <w:pPr>
                    <w:pStyle w:val="154"/>
                    <w:ind w:firstLine="420" w:firstLineChars="200"/>
                    <w:jc w:val="left"/>
                    <w:rPr>
                      <w:sz w:val="21"/>
                      <w:szCs w:val="21"/>
                    </w:rPr>
                  </w:pPr>
                  <w:r>
                    <w:rPr>
                      <w:sz w:val="21"/>
                      <w:szCs w:val="21"/>
                    </w:rPr>
                    <w:t>小量泄漏</w:t>
                  </w:r>
                  <w:r>
                    <w:rPr>
                      <w:rFonts w:hint="eastAsia"/>
                      <w:sz w:val="21"/>
                      <w:szCs w:val="21"/>
                    </w:rPr>
                    <w:t>：</w:t>
                  </w:r>
                  <w:r>
                    <w:rPr>
                      <w:sz w:val="21"/>
                      <w:szCs w:val="21"/>
                    </w:rPr>
                    <w:t>用砂士或其他不燃材料吸附或吸收，减少挥发。大量泄漏</w:t>
                  </w:r>
                  <w:r>
                    <w:rPr>
                      <w:rFonts w:hint="eastAsia"/>
                      <w:sz w:val="21"/>
                      <w:szCs w:val="21"/>
                    </w:rPr>
                    <w:t>：</w:t>
                  </w:r>
                  <w:r>
                    <w:rPr>
                      <w:sz w:val="21"/>
                      <w:szCs w:val="21"/>
                    </w:rPr>
                    <w:t>构筑围堤或挖坑收容。用泵转移至槽车或专用收集器内，回收或运至废物处理场所处置。</w:t>
                  </w:r>
                </w:p>
                <w:p w14:paraId="0DDA6DF5">
                  <w:pPr>
                    <w:pStyle w:val="154"/>
                    <w:jc w:val="both"/>
                    <w:rPr>
                      <w:b/>
                      <w:sz w:val="21"/>
                      <w:szCs w:val="21"/>
                    </w:rPr>
                  </w:pPr>
                  <w:r>
                    <w:rPr>
                      <w:b/>
                      <w:sz w:val="21"/>
                      <w:szCs w:val="21"/>
                    </w:rPr>
                    <w:t>六、储运注意事项</w:t>
                  </w:r>
                </w:p>
                <w:p w14:paraId="3E57CF0E">
                  <w:pPr>
                    <w:pStyle w:val="154"/>
                    <w:ind w:firstLine="420" w:firstLineChars="200"/>
                    <w:jc w:val="left"/>
                    <w:rPr>
                      <w:sz w:val="21"/>
                      <w:szCs w:val="21"/>
                    </w:rPr>
                  </w:pPr>
                  <w:r>
                    <w:rPr>
                      <w:sz w:val="21"/>
                      <w:szCs w:val="21"/>
                    </w:rPr>
                    <w:t>操作注意事项</w:t>
                  </w:r>
                  <w:r>
                    <w:rPr>
                      <w:rFonts w:hint="eastAsia"/>
                      <w:sz w:val="21"/>
                      <w:szCs w:val="21"/>
                    </w:rPr>
                    <w:t>：</w:t>
                  </w:r>
                  <w:r>
                    <w:rPr>
                      <w:sz w:val="21"/>
                      <w:szCs w:val="21"/>
                    </w:rPr>
                    <w:t>密闭操作，提供充分的局部排风。尽可能采取隔离操作。操作人员必须经过专门培训，严格遵守操作规程。建议操作人员佩戴自吸过滤式防尘口罩，戴化学安全防护眼镜，穿透气型防毒服，戴防化学品手套。远离火种、热源，工作场所业禁吸烟。使用防爆型的通风系统和设备。避免产生粉尘。避免与氧化剂、酸类、碱类接触。搬运时要轻装轻卸，防止包装及容器损坏。配备相应品种和数量的消防器材及泄漏应急处理设备。倒空的容器可能残留有害物。</w:t>
                  </w:r>
                </w:p>
                <w:p w14:paraId="3FA23F24">
                  <w:pPr>
                    <w:pStyle w:val="154"/>
                    <w:ind w:firstLine="420" w:firstLineChars="200"/>
                    <w:jc w:val="left"/>
                    <w:rPr>
                      <w:sz w:val="21"/>
                      <w:szCs w:val="21"/>
                    </w:rPr>
                  </w:pPr>
                  <w:r>
                    <w:rPr>
                      <w:sz w:val="21"/>
                      <w:szCs w:val="21"/>
                    </w:rPr>
                    <w:t>储存注意事项</w:t>
                  </w:r>
                  <w:r>
                    <w:rPr>
                      <w:rFonts w:hint="eastAsia"/>
                      <w:sz w:val="21"/>
                      <w:szCs w:val="21"/>
                    </w:rPr>
                    <w:t>：</w:t>
                  </w:r>
                  <w:r>
                    <w:rPr>
                      <w:sz w:val="21"/>
                      <w:szCs w:val="21"/>
                    </w:rPr>
                    <w:t>储存于阴凉、通风的库房。远离火种、热源。应与氧化剂分开存放切忌混储。配备相应品种和数量的消防器材。储区应备有泄漏应急处理设备和合适的收容材料。</w:t>
                  </w:r>
                </w:p>
              </w:tc>
            </w:tr>
            <w:tr w14:paraId="71FE70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943" w:type="dxa"/>
                  <w:vAlign w:val="center"/>
                </w:tcPr>
                <w:p w14:paraId="6100EA22">
                  <w:pPr>
                    <w:pStyle w:val="154"/>
                    <w:jc w:val="both"/>
                    <w:rPr>
                      <w:sz w:val="21"/>
                      <w:szCs w:val="21"/>
                    </w:rPr>
                  </w:pPr>
                  <w:r>
                    <w:rPr>
                      <w:sz w:val="21"/>
                      <w:szCs w:val="21"/>
                    </w:rPr>
                    <w:t>液压油</w:t>
                  </w:r>
                </w:p>
              </w:tc>
              <w:tc>
                <w:tcPr>
                  <w:tcW w:w="7890" w:type="dxa"/>
                  <w:vAlign w:val="center"/>
                </w:tcPr>
                <w:p w14:paraId="7D0412A0">
                  <w:pPr>
                    <w:pStyle w:val="154"/>
                    <w:jc w:val="both"/>
                    <w:rPr>
                      <w:b/>
                      <w:sz w:val="21"/>
                      <w:szCs w:val="21"/>
                    </w:rPr>
                  </w:pPr>
                  <w:r>
                    <w:rPr>
                      <w:b/>
                      <w:sz w:val="21"/>
                      <w:szCs w:val="21"/>
                    </w:rPr>
                    <w:t>一、理化性质</w:t>
                  </w:r>
                </w:p>
                <w:p w14:paraId="4744628F">
                  <w:pPr>
                    <w:pStyle w:val="154"/>
                    <w:ind w:firstLine="420" w:firstLineChars="200"/>
                    <w:rPr>
                      <w:sz w:val="21"/>
                      <w:szCs w:val="21"/>
                    </w:rPr>
                  </w:pPr>
                  <w:r>
                    <w:rPr>
                      <w:sz w:val="21"/>
                      <w:szCs w:val="21"/>
                    </w:rPr>
                    <w:t>外观为琥珀色室温下液体。相对密度（空气）：＞1，沸点：＞290</w:t>
                  </w:r>
                  <w:r>
                    <w:rPr>
                      <w:rFonts w:hint="eastAsia" w:cs="宋体"/>
                      <w:sz w:val="21"/>
                      <w:szCs w:val="21"/>
                    </w:rPr>
                    <w:t>℃</w:t>
                  </w:r>
                  <w:r>
                    <w:rPr>
                      <w:sz w:val="21"/>
                      <w:szCs w:val="21"/>
                    </w:rPr>
                    <w:t>；饱和蒸气压（kpa）＜0.5pa(20</w:t>
                  </w:r>
                  <w:r>
                    <w:rPr>
                      <w:rFonts w:hint="eastAsia" w:cs="宋体"/>
                      <w:sz w:val="21"/>
                      <w:szCs w:val="21"/>
                    </w:rPr>
                    <w:t>℃</w:t>
                  </w:r>
                  <w:r>
                    <w:rPr>
                      <w:rFonts w:cs="Times New Roman"/>
                      <w:sz w:val="21"/>
                      <w:szCs w:val="21"/>
                    </w:rPr>
                    <w:t>)</w:t>
                  </w:r>
                  <w:r>
                    <w:rPr>
                      <w:sz w:val="21"/>
                      <w:szCs w:val="21"/>
                    </w:rPr>
                    <w:t>，闪点（</w:t>
                  </w:r>
                  <w:r>
                    <w:rPr>
                      <w:rFonts w:hint="eastAsia" w:cs="宋体"/>
                      <w:sz w:val="21"/>
                      <w:szCs w:val="21"/>
                    </w:rPr>
                    <w:t>℃</w:t>
                  </w:r>
                  <w:r>
                    <w:rPr>
                      <w:sz w:val="21"/>
                      <w:szCs w:val="21"/>
                    </w:rPr>
                    <w:t>）222，自燃点（</w:t>
                  </w:r>
                  <w:r>
                    <w:rPr>
                      <w:rFonts w:hint="eastAsia" w:cs="宋体"/>
                      <w:sz w:val="21"/>
                      <w:szCs w:val="21"/>
                    </w:rPr>
                    <w:t>℃</w:t>
                  </w:r>
                  <w:r>
                    <w:rPr>
                      <w:sz w:val="21"/>
                      <w:szCs w:val="21"/>
                    </w:rPr>
                    <w:t>）＞320。溶解性：不溶于水。</w:t>
                  </w:r>
                </w:p>
                <w:p w14:paraId="63C86892">
                  <w:pPr>
                    <w:pStyle w:val="154"/>
                    <w:jc w:val="both"/>
                    <w:rPr>
                      <w:sz w:val="21"/>
                      <w:szCs w:val="21"/>
                    </w:rPr>
                  </w:pPr>
                  <w:r>
                    <w:rPr>
                      <w:b/>
                      <w:sz w:val="21"/>
                      <w:szCs w:val="21"/>
                    </w:rPr>
                    <w:t>二、毒性及健</w:t>
                  </w:r>
                  <w:r>
                    <w:rPr>
                      <w:sz w:val="21"/>
                      <w:szCs w:val="21"/>
                    </w:rPr>
                    <w:t>康危害</w:t>
                  </w:r>
                </w:p>
                <w:p w14:paraId="5818C74F">
                  <w:pPr>
                    <w:pStyle w:val="154"/>
                    <w:ind w:firstLine="420" w:firstLineChars="200"/>
                    <w:jc w:val="both"/>
                    <w:rPr>
                      <w:sz w:val="21"/>
                      <w:szCs w:val="21"/>
                    </w:rPr>
                  </w:pPr>
                  <w:r>
                    <w:rPr>
                      <w:sz w:val="21"/>
                      <w:szCs w:val="21"/>
                    </w:rPr>
                    <w:t>侵入途径：吸入</w:t>
                  </w:r>
                </w:p>
                <w:p w14:paraId="0A804B25">
                  <w:pPr>
                    <w:pStyle w:val="154"/>
                    <w:ind w:firstLine="420" w:firstLineChars="200"/>
                    <w:jc w:val="left"/>
                    <w:rPr>
                      <w:sz w:val="21"/>
                      <w:szCs w:val="21"/>
                    </w:rPr>
                  </w:pPr>
                  <w:r>
                    <w:rPr>
                      <w:sz w:val="21"/>
                      <w:szCs w:val="21"/>
                    </w:rPr>
                    <w:t>健康危害：在正常条件下使用不应会成为健康危险源。长时间接触可造成晕眩或反胃，如果发生了，将患者移到有新鲜空气的地方，若症状持续则要求求助医生。</w:t>
                  </w:r>
                </w:p>
                <w:p w14:paraId="20684FC1">
                  <w:pPr>
                    <w:pStyle w:val="154"/>
                    <w:jc w:val="both"/>
                    <w:rPr>
                      <w:b/>
                      <w:sz w:val="21"/>
                      <w:szCs w:val="21"/>
                    </w:rPr>
                  </w:pPr>
                  <w:r>
                    <w:rPr>
                      <w:b/>
                      <w:sz w:val="21"/>
                      <w:szCs w:val="21"/>
                    </w:rPr>
                    <w:t>三、燃烧爆炸危险性</w:t>
                  </w:r>
                </w:p>
                <w:p w14:paraId="6FADBA27">
                  <w:pPr>
                    <w:pStyle w:val="154"/>
                    <w:ind w:firstLine="420" w:firstLineChars="200"/>
                    <w:jc w:val="both"/>
                    <w:rPr>
                      <w:sz w:val="21"/>
                      <w:szCs w:val="21"/>
                    </w:rPr>
                  </w:pPr>
                  <w:r>
                    <w:rPr>
                      <w:sz w:val="21"/>
                      <w:szCs w:val="21"/>
                    </w:rPr>
                    <w:t>燃爆危险：遇明火、高热可燃</w:t>
                  </w:r>
                </w:p>
                <w:p w14:paraId="1EEBA123">
                  <w:pPr>
                    <w:pStyle w:val="154"/>
                    <w:ind w:firstLine="420" w:firstLineChars="200"/>
                    <w:jc w:val="left"/>
                    <w:rPr>
                      <w:sz w:val="21"/>
                      <w:szCs w:val="21"/>
                    </w:rPr>
                  </w:pPr>
                  <w:r>
                    <w:rPr>
                      <w:sz w:val="21"/>
                      <w:szCs w:val="21"/>
                    </w:rPr>
                    <w:t>危险特性：可燃，燃烧可能形成在空气中的固体和液体微粒及气体的复杂的混合物，包括一氧化碳，氧化硫及未能识别的有机及无机的化合物。</w:t>
                  </w:r>
                </w:p>
                <w:p w14:paraId="0D0ACA88">
                  <w:pPr>
                    <w:pStyle w:val="154"/>
                    <w:ind w:firstLine="420" w:firstLineChars="200"/>
                    <w:jc w:val="left"/>
                    <w:rPr>
                      <w:sz w:val="21"/>
                      <w:szCs w:val="21"/>
                    </w:rPr>
                  </w:pPr>
                  <w:r>
                    <w:rPr>
                      <w:sz w:val="21"/>
                      <w:szCs w:val="21"/>
                    </w:rPr>
                    <w:t>灭火方法：消防人员必须佩戴空气呼吸器、穿全身防火防毒服，在上风向灭火。尽可能将容器从火场移至空旷处。喷水保持火场容器冷却，直至灭火结束。</w:t>
                  </w:r>
                </w:p>
                <w:p w14:paraId="2FC946AC">
                  <w:pPr>
                    <w:pStyle w:val="154"/>
                    <w:ind w:firstLine="420" w:firstLineChars="200"/>
                    <w:jc w:val="both"/>
                    <w:rPr>
                      <w:sz w:val="21"/>
                      <w:szCs w:val="21"/>
                    </w:rPr>
                  </w:pPr>
                  <w:r>
                    <w:rPr>
                      <w:sz w:val="21"/>
                      <w:szCs w:val="21"/>
                    </w:rPr>
                    <w:t>灭火剂</w:t>
                  </w:r>
                  <w:r>
                    <w:rPr>
                      <w:rFonts w:hint="eastAsia"/>
                      <w:sz w:val="21"/>
                      <w:szCs w:val="21"/>
                    </w:rPr>
                    <w:t>：</w:t>
                  </w:r>
                  <w:r>
                    <w:rPr>
                      <w:sz w:val="21"/>
                      <w:szCs w:val="21"/>
                    </w:rPr>
                    <w:t>泡沫、二氧化碳、干粉。</w:t>
                  </w:r>
                </w:p>
                <w:p w14:paraId="6A9EF02E">
                  <w:pPr>
                    <w:pStyle w:val="154"/>
                    <w:ind w:firstLine="420" w:firstLineChars="200"/>
                    <w:jc w:val="both"/>
                    <w:rPr>
                      <w:sz w:val="21"/>
                      <w:szCs w:val="21"/>
                    </w:rPr>
                  </w:pPr>
                  <w:r>
                    <w:rPr>
                      <w:sz w:val="21"/>
                      <w:szCs w:val="21"/>
                    </w:rPr>
                    <w:t>有害分解产物：一氧化碳、氧化硫等。</w:t>
                  </w:r>
                </w:p>
                <w:p w14:paraId="42DF8ECE">
                  <w:pPr>
                    <w:pStyle w:val="154"/>
                    <w:jc w:val="both"/>
                    <w:rPr>
                      <w:b/>
                      <w:sz w:val="21"/>
                      <w:szCs w:val="21"/>
                    </w:rPr>
                  </w:pPr>
                  <w:r>
                    <w:rPr>
                      <w:b/>
                      <w:sz w:val="21"/>
                      <w:szCs w:val="21"/>
                    </w:rPr>
                    <w:t>四、急救措施</w:t>
                  </w:r>
                </w:p>
                <w:p w14:paraId="4FBA975D">
                  <w:pPr>
                    <w:pStyle w:val="154"/>
                    <w:ind w:firstLine="420" w:firstLineChars="200"/>
                    <w:jc w:val="left"/>
                    <w:rPr>
                      <w:sz w:val="21"/>
                      <w:szCs w:val="21"/>
                    </w:rPr>
                  </w:pPr>
                  <w:r>
                    <w:rPr>
                      <w:rFonts w:hint="eastAsia" w:cs="宋体"/>
                      <w:sz w:val="21"/>
                      <w:szCs w:val="21"/>
                    </w:rPr>
                    <w:t>①</w:t>
                  </w:r>
                  <w:r>
                    <w:rPr>
                      <w:sz w:val="21"/>
                      <w:szCs w:val="21"/>
                    </w:rPr>
                    <w:t>皮肤接触</w:t>
                  </w:r>
                  <w:r>
                    <w:rPr>
                      <w:rFonts w:hint="eastAsia"/>
                      <w:sz w:val="21"/>
                      <w:szCs w:val="21"/>
                    </w:rPr>
                    <w:t>：</w:t>
                  </w:r>
                  <w:r>
                    <w:rPr>
                      <w:sz w:val="21"/>
                      <w:szCs w:val="21"/>
                    </w:rPr>
                    <w:t>脱去污染衣物。用水冲洗暴露的部位，并用肥皂进行清洗。如刺激持续，请求医。在使用高压设备时，有可能造成本品注入皮下，如发生此种情况，请立即送往医院治疗，不要等待，以免症状恶化。</w:t>
                  </w:r>
                </w:p>
                <w:p w14:paraId="48669C54">
                  <w:pPr>
                    <w:pStyle w:val="154"/>
                    <w:ind w:firstLine="420" w:firstLineChars="200"/>
                    <w:jc w:val="left"/>
                    <w:rPr>
                      <w:sz w:val="21"/>
                      <w:szCs w:val="21"/>
                    </w:rPr>
                  </w:pPr>
                  <w:r>
                    <w:rPr>
                      <w:rFonts w:hint="eastAsia" w:cs="宋体"/>
                      <w:sz w:val="21"/>
                      <w:szCs w:val="21"/>
                    </w:rPr>
                    <w:t>②</w:t>
                  </w:r>
                  <w:r>
                    <w:rPr>
                      <w:sz w:val="21"/>
                      <w:szCs w:val="21"/>
                    </w:rPr>
                    <w:t>眼睛接触</w:t>
                  </w:r>
                  <w:r>
                    <w:rPr>
                      <w:rFonts w:hint="eastAsia"/>
                      <w:sz w:val="21"/>
                      <w:szCs w:val="21"/>
                    </w:rPr>
                    <w:t>：</w:t>
                  </w:r>
                  <w:r>
                    <w:rPr>
                      <w:sz w:val="21"/>
                      <w:szCs w:val="21"/>
                    </w:rPr>
                    <w:t>用大量的水冲洗眼睛。如刺激持续，求医。吸入:迅速脱离现场至空气新鲜处。保持呼吸道通畅。</w:t>
                  </w:r>
                </w:p>
                <w:p w14:paraId="0B8E6B40">
                  <w:pPr>
                    <w:pStyle w:val="154"/>
                    <w:ind w:firstLine="420" w:firstLineChars="200"/>
                    <w:jc w:val="left"/>
                    <w:rPr>
                      <w:sz w:val="21"/>
                      <w:szCs w:val="21"/>
                    </w:rPr>
                  </w:pPr>
                  <w:r>
                    <w:rPr>
                      <w:rFonts w:hint="eastAsia" w:cs="宋体"/>
                      <w:sz w:val="21"/>
                      <w:szCs w:val="21"/>
                    </w:rPr>
                    <w:t>③</w:t>
                  </w:r>
                  <w:r>
                    <w:rPr>
                      <w:sz w:val="21"/>
                      <w:szCs w:val="21"/>
                    </w:rPr>
                    <w:t>食入</w:t>
                  </w:r>
                  <w:r>
                    <w:rPr>
                      <w:rFonts w:hint="eastAsia"/>
                      <w:sz w:val="21"/>
                      <w:szCs w:val="21"/>
                    </w:rPr>
                    <w:t>：</w:t>
                  </w:r>
                  <w:r>
                    <w:rPr>
                      <w:sz w:val="21"/>
                      <w:szCs w:val="21"/>
                    </w:rPr>
                    <w:t>不要吐，用水漱口并就医。</w:t>
                  </w:r>
                </w:p>
                <w:p w14:paraId="18829CA3">
                  <w:pPr>
                    <w:pStyle w:val="154"/>
                    <w:jc w:val="both"/>
                    <w:rPr>
                      <w:b/>
                      <w:sz w:val="21"/>
                      <w:szCs w:val="21"/>
                    </w:rPr>
                  </w:pPr>
                  <w:r>
                    <w:rPr>
                      <w:b/>
                      <w:sz w:val="21"/>
                      <w:szCs w:val="21"/>
                    </w:rPr>
                    <w:t>五、泄漏处置</w:t>
                  </w:r>
                </w:p>
                <w:p w14:paraId="613BE94F">
                  <w:pPr>
                    <w:pStyle w:val="154"/>
                    <w:ind w:firstLine="420" w:firstLineChars="200"/>
                    <w:jc w:val="both"/>
                    <w:rPr>
                      <w:sz w:val="21"/>
                      <w:szCs w:val="21"/>
                    </w:rPr>
                  </w:pPr>
                  <w:r>
                    <w:rPr>
                      <w:sz w:val="21"/>
                      <w:szCs w:val="21"/>
                    </w:rPr>
                    <w:t>溢出后，地面非常光滑。为避免事故，应立即清洁。用沙、泥土或其它可用来栏堵的材料设置障碍，以防止扩散。直接回收液体或存放于吸收剂中。用粘土、沙或其它适当的吸附材料来吸收残余物，然后予以适当的弃置。</w:t>
                  </w:r>
                </w:p>
                <w:p w14:paraId="1D091776">
                  <w:pPr>
                    <w:pStyle w:val="154"/>
                    <w:jc w:val="both"/>
                    <w:rPr>
                      <w:b/>
                      <w:sz w:val="21"/>
                      <w:szCs w:val="21"/>
                    </w:rPr>
                  </w:pPr>
                  <w:r>
                    <w:rPr>
                      <w:b/>
                      <w:sz w:val="21"/>
                      <w:szCs w:val="21"/>
                    </w:rPr>
                    <w:t>六、储运注意事项</w:t>
                  </w:r>
                </w:p>
                <w:p w14:paraId="18DA467B">
                  <w:pPr>
                    <w:pStyle w:val="154"/>
                    <w:ind w:firstLine="420" w:firstLineChars="200"/>
                    <w:rPr>
                      <w:sz w:val="21"/>
                      <w:szCs w:val="21"/>
                    </w:rPr>
                  </w:pPr>
                  <w:r>
                    <w:rPr>
                      <w:sz w:val="21"/>
                      <w:szCs w:val="21"/>
                    </w:rPr>
                    <w:t>操作注意事项</w:t>
                  </w:r>
                  <w:r>
                    <w:rPr>
                      <w:rFonts w:hint="eastAsia"/>
                      <w:sz w:val="21"/>
                      <w:szCs w:val="21"/>
                    </w:rPr>
                    <w:t>：密闭操作，全面通风。操作人员必须经过专门培训，严格遵守操作规程。远离火种、热源，工作场所严禁吸烟。避免与氧化剂接触。在传送过程中容器必须接地，防止产生静电。配备相应品种和数量的消防器材及泄漏应急处理设备。</w:t>
                  </w:r>
                </w:p>
                <w:p w14:paraId="5AF2EF6C">
                  <w:pPr>
                    <w:pStyle w:val="154"/>
                    <w:ind w:firstLine="420" w:firstLineChars="200"/>
                    <w:jc w:val="left"/>
                    <w:rPr>
                      <w:sz w:val="21"/>
                      <w:szCs w:val="21"/>
                    </w:rPr>
                  </w:pPr>
                  <w:r>
                    <w:rPr>
                      <w:sz w:val="21"/>
                      <w:szCs w:val="21"/>
                    </w:rPr>
                    <w:t>储存注意事项</w:t>
                  </w:r>
                  <w:r>
                    <w:rPr>
                      <w:rFonts w:hint="eastAsia"/>
                      <w:sz w:val="21"/>
                      <w:szCs w:val="21"/>
                    </w:rPr>
                    <w:t>：</w:t>
                  </w:r>
                  <w:r>
                    <w:rPr>
                      <w:sz w:val="21"/>
                      <w:szCs w:val="21"/>
                    </w:rPr>
                    <w:t>密闭容器，放在凉爽、通风良好的地方，使用适当加注标签及可封闭的容器。储存温度</w:t>
                  </w:r>
                  <w:r>
                    <w:rPr>
                      <w:rFonts w:hint="eastAsia"/>
                      <w:sz w:val="21"/>
                      <w:szCs w:val="21"/>
                    </w:rPr>
                    <w:t>：</w:t>
                  </w:r>
                  <w:r>
                    <w:rPr>
                      <w:sz w:val="21"/>
                      <w:szCs w:val="21"/>
                    </w:rPr>
                    <w:t>长期储存(3个月以上)-15~50</w:t>
                  </w:r>
                  <w:r>
                    <w:rPr>
                      <w:rFonts w:hint="eastAsia" w:cs="宋体"/>
                      <w:sz w:val="21"/>
                      <w:szCs w:val="21"/>
                    </w:rPr>
                    <w:t>℃</w:t>
                  </w:r>
                  <w:r>
                    <w:rPr>
                      <w:sz w:val="21"/>
                      <w:szCs w:val="21"/>
                    </w:rPr>
                    <w:t>；短期储存-20~60°C。</w:t>
                  </w:r>
                </w:p>
              </w:tc>
            </w:tr>
            <w:tr w14:paraId="7D6B16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943" w:type="dxa"/>
                  <w:vAlign w:val="center"/>
                </w:tcPr>
                <w:p w14:paraId="71E6BE3A">
                  <w:pPr>
                    <w:pStyle w:val="154"/>
                    <w:jc w:val="both"/>
                    <w:rPr>
                      <w:sz w:val="21"/>
                      <w:szCs w:val="21"/>
                    </w:rPr>
                  </w:pPr>
                  <w:r>
                    <w:rPr>
                      <w:rFonts w:hint="eastAsia"/>
                      <w:sz w:val="21"/>
                      <w:szCs w:val="21"/>
                    </w:rPr>
                    <w:t>二丁酯</w:t>
                  </w:r>
                </w:p>
              </w:tc>
              <w:tc>
                <w:tcPr>
                  <w:tcW w:w="7890" w:type="dxa"/>
                  <w:vAlign w:val="center"/>
                </w:tcPr>
                <w:p w14:paraId="7ECAAE52">
                  <w:pPr>
                    <w:pStyle w:val="154"/>
                    <w:jc w:val="both"/>
                    <w:rPr>
                      <w:b/>
                      <w:sz w:val="21"/>
                      <w:szCs w:val="21"/>
                    </w:rPr>
                  </w:pPr>
                  <w:r>
                    <w:rPr>
                      <w:b/>
                      <w:sz w:val="21"/>
                      <w:szCs w:val="21"/>
                    </w:rPr>
                    <w:t>一、理化性质</w:t>
                  </w:r>
                </w:p>
                <w:p w14:paraId="1804BDE4">
                  <w:pPr>
                    <w:pStyle w:val="154"/>
                    <w:ind w:firstLine="420" w:firstLineChars="200"/>
                    <w:jc w:val="left"/>
                    <w:rPr>
                      <w:sz w:val="21"/>
                      <w:szCs w:val="21"/>
                    </w:rPr>
                  </w:pPr>
                  <w:r>
                    <w:rPr>
                      <w:rFonts w:hint="eastAsia"/>
                      <w:sz w:val="21"/>
                      <w:szCs w:val="21"/>
                    </w:rPr>
                    <w:t>无色透明</w:t>
                  </w:r>
                  <w:r>
                    <w:rPr>
                      <w:sz w:val="21"/>
                      <w:szCs w:val="21"/>
                    </w:rPr>
                    <w:t>液体。相对密度（空气）：</w:t>
                  </w:r>
                  <w:r>
                    <w:rPr>
                      <w:rFonts w:hint="eastAsia"/>
                      <w:sz w:val="21"/>
                      <w:szCs w:val="21"/>
                    </w:rPr>
                    <w:t>0.98</w:t>
                  </w:r>
                  <w:r>
                    <w:rPr>
                      <w:sz w:val="21"/>
                      <w:szCs w:val="21"/>
                    </w:rPr>
                    <w:t>，沸点：＞</w:t>
                  </w:r>
                  <w:r>
                    <w:rPr>
                      <w:rFonts w:hint="eastAsia"/>
                      <w:sz w:val="21"/>
                      <w:szCs w:val="21"/>
                    </w:rPr>
                    <w:t>274.5</w:t>
                  </w:r>
                  <w:r>
                    <w:rPr>
                      <w:rFonts w:hint="eastAsia" w:cs="宋体"/>
                      <w:sz w:val="21"/>
                      <w:szCs w:val="21"/>
                    </w:rPr>
                    <w:t>℃</w:t>
                  </w:r>
                  <w:r>
                    <w:rPr>
                      <w:sz w:val="21"/>
                      <w:szCs w:val="21"/>
                    </w:rPr>
                    <w:t>；溶解性：不溶于水</w:t>
                  </w:r>
                  <w:r>
                    <w:rPr>
                      <w:rFonts w:hint="eastAsia"/>
                      <w:sz w:val="21"/>
                      <w:szCs w:val="21"/>
                    </w:rPr>
                    <w:t>，溶于醇、醚、苯</w:t>
                  </w:r>
                  <w:r>
                    <w:rPr>
                      <w:sz w:val="21"/>
                      <w:szCs w:val="21"/>
                    </w:rPr>
                    <w:t>。</w:t>
                  </w:r>
                </w:p>
                <w:p w14:paraId="0E3E3134">
                  <w:pPr>
                    <w:pStyle w:val="154"/>
                    <w:jc w:val="both"/>
                    <w:rPr>
                      <w:b/>
                      <w:sz w:val="21"/>
                      <w:szCs w:val="21"/>
                    </w:rPr>
                  </w:pPr>
                  <w:r>
                    <w:rPr>
                      <w:b/>
                      <w:sz w:val="21"/>
                      <w:szCs w:val="21"/>
                    </w:rPr>
                    <w:t>二、毒性及健康危害</w:t>
                  </w:r>
                </w:p>
                <w:p w14:paraId="799E1341">
                  <w:pPr>
                    <w:pStyle w:val="154"/>
                    <w:ind w:firstLine="420" w:firstLineChars="200"/>
                    <w:jc w:val="left"/>
                    <w:rPr>
                      <w:sz w:val="21"/>
                      <w:szCs w:val="21"/>
                    </w:rPr>
                  </w:pPr>
                  <w:r>
                    <w:rPr>
                      <w:sz w:val="21"/>
                      <w:szCs w:val="21"/>
                    </w:rPr>
                    <w:t>侵入途径：吸入</w:t>
                  </w:r>
                  <w:r>
                    <w:rPr>
                      <w:rFonts w:hint="eastAsia"/>
                      <w:sz w:val="21"/>
                      <w:szCs w:val="21"/>
                    </w:rPr>
                    <w:t>、食入、经皮吸收。</w:t>
                  </w:r>
                  <w:r>
                    <w:rPr>
                      <w:sz w:val="21"/>
                      <w:szCs w:val="21"/>
                    </w:rPr>
                    <w:t>健康危害：</w:t>
                  </w:r>
                  <w:r>
                    <w:rPr>
                      <w:rFonts w:hint="eastAsia"/>
                      <w:sz w:val="21"/>
                      <w:szCs w:val="21"/>
                    </w:rPr>
                    <w:t>经口，无高度毒性，对皮肤和眼睛亦无特殊刺激作用。未见职业中毒报道。</w:t>
                  </w:r>
                </w:p>
                <w:p w14:paraId="4C61838F">
                  <w:pPr>
                    <w:pStyle w:val="154"/>
                    <w:jc w:val="both"/>
                    <w:rPr>
                      <w:b/>
                      <w:sz w:val="21"/>
                      <w:szCs w:val="21"/>
                    </w:rPr>
                  </w:pPr>
                  <w:r>
                    <w:rPr>
                      <w:b/>
                      <w:sz w:val="21"/>
                      <w:szCs w:val="21"/>
                    </w:rPr>
                    <w:t>三、燃烧爆炸危险性</w:t>
                  </w:r>
                </w:p>
                <w:p w14:paraId="0F265494">
                  <w:pPr>
                    <w:pStyle w:val="154"/>
                    <w:ind w:firstLine="420" w:firstLineChars="200"/>
                    <w:jc w:val="left"/>
                    <w:rPr>
                      <w:sz w:val="21"/>
                      <w:szCs w:val="21"/>
                    </w:rPr>
                  </w:pPr>
                  <w:r>
                    <w:rPr>
                      <w:sz w:val="21"/>
                      <w:szCs w:val="21"/>
                    </w:rPr>
                    <w:t>燃爆危险：可燃危险特性：</w:t>
                  </w:r>
                  <w:r>
                    <w:rPr>
                      <w:rFonts w:hint="eastAsia"/>
                      <w:sz w:val="21"/>
                      <w:szCs w:val="21"/>
                    </w:rPr>
                    <w:t>遇高热、明火或与氧化剂接触，有引起燃烧的危险。若遇高热，容器内压增大，有开裂和爆炸的危险</w:t>
                  </w:r>
                  <w:r>
                    <w:rPr>
                      <w:sz w:val="21"/>
                      <w:szCs w:val="21"/>
                    </w:rPr>
                    <w:t>。</w:t>
                  </w:r>
                </w:p>
                <w:p w14:paraId="78130CA4">
                  <w:pPr>
                    <w:pStyle w:val="154"/>
                    <w:ind w:firstLine="420" w:firstLineChars="200"/>
                    <w:jc w:val="left"/>
                    <w:rPr>
                      <w:sz w:val="21"/>
                      <w:szCs w:val="21"/>
                    </w:rPr>
                  </w:pPr>
                  <w:r>
                    <w:rPr>
                      <w:sz w:val="21"/>
                      <w:szCs w:val="21"/>
                    </w:rPr>
                    <w:t>灭火方法：消防人员必须佩戴空气呼吸器、穿全身防火防毒服，在上风向灭火。尽可能将容器从火场移至空旷处。喷水保持火场容器冷却，直至灭火结束。</w:t>
                  </w:r>
                </w:p>
                <w:p w14:paraId="2189612A">
                  <w:pPr>
                    <w:pStyle w:val="154"/>
                    <w:ind w:firstLine="420" w:firstLineChars="200"/>
                    <w:jc w:val="both"/>
                    <w:rPr>
                      <w:sz w:val="21"/>
                      <w:szCs w:val="21"/>
                    </w:rPr>
                  </w:pPr>
                  <w:r>
                    <w:rPr>
                      <w:sz w:val="21"/>
                      <w:szCs w:val="21"/>
                    </w:rPr>
                    <w:t>灭火剂</w:t>
                  </w:r>
                  <w:r>
                    <w:rPr>
                      <w:rFonts w:hint="eastAsia"/>
                      <w:sz w:val="21"/>
                      <w:szCs w:val="21"/>
                    </w:rPr>
                    <w:t>：</w:t>
                  </w:r>
                  <w:r>
                    <w:rPr>
                      <w:sz w:val="21"/>
                      <w:szCs w:val="21"/>
                    </w:rPr>
                    <w:t>泡沫、二氧化碳、干粉</w:t>
                  </w:r>
                  <w:r>
                    <w:rPr>
                      <w:rFonts w:hint="eastAsia"/>
                      <w:sz w:val="21"/>
                      <w:szCs w:val="21"/>
                    </w:rPr>
                    <w:t>、沙土</w:t>
                  </w:r>
                  <w:r>
                    <w:rPr>
                      <w:sz w:val="21"/>
                      <w:szCs w:val="21"/>
                    </w:rPr>
                    <w:t>。</w:t>
                  </w:r>
                </w:p>
                <w:p w14:paraId="6DBD3531">
                  <w:pPr>
                    <w:pStyle w:val="154"/>
                    <w:ind w:firstLine="420" w:firstLineChars="200"/>
                    <w:jc w:val="both"/>
                    <w:rPr>
                      <w:sz w:val="21"/>
                      <w:szCs w:val="21"/>
                    </w:rPr>
                  </w:pPr>
                  <w:r>
                    <w:rPr>
                      <w:sz w:val="21"/>
                      <w:szCs w:val="21"/>
                    </w:rPr>
                    <w:t>有害分解产物：一氧化碳、</w:t>
                  </w:r>
                  <w:r>
                    <w:rPr>
                      <w:rFonts w:hint="eastAsia"/>
                      <w:sz w:val="21"/>
                      <w:szCs w:val="21"/>
                    </w:rPr>
                    <w:t>二氧化碳</w:t>
                  </w:r>
                  <w:r>
                    <w:rPr>
                      <w:sz w:val="21"/>
                      <w:szCs w:val="21"/>
                    </w:rPr>
                    <w:t>等。</w:t>
                  </w:r>
                </w:p>
                <w:p w14:paraId="6EF49380">
                  <w:pPr>
                    <w:pStyle w:val="154"/>
                    <w:jc w:val="both"/>
                    <w:rPr>
                      <w:b/>
                      <w:sz w:val="21"/>
                      <w:szCs w:val="21"/>
                    </w:rPr>
                  </w:pPr>
                  <w:r>
                    <w:rPr>
                      <w:b/>
                      <w:sz w:val="21"/>
                      <w:szCs w:val="21"/>
                    </w:rPr>
                    <w:t>四、急救措施</w:t>
                  </w:r>
                </w:p>
                <w:p w14:paraId="201993F1">
                  <w:pPr>
                    <w:pStyle w:val="154"/>
                    <w:ind w:firstLine="420" w:firstLineChars="200"/>
                    <w:jc w:val="both"/>
                    <w:rPr>
                      <w:sz w:val="21"/>
                      <w:szCs w:val="21"/>
                    </w:rPr>
                  </w:pPr>
                  <w:r>
                    <w:rPr>
                      <w:rFonts w:hint="eastAsia"/>
                      <w:sz w:val="21"/>
                      <w:szCs w:val="21"/>
                    </w:rPr>
                    <w:t>①皮肤接触：脱去污染的衣着，用肥皂水和流动清水冲洗。</w:t>
                  </w:r>
                </w:p>
                <w:p w14:paraId="7966C3DE">
                  <w:pPr>
                    <w:pStyle w:val="154"/>
                    <w:ind w:firstLine="420" w:firstLineChars="200"/>
                    <w:jc w:val="both"/>
                    <w:rPr>
                      <w:sz w:val="21"/>
                      <w:szCs w:val="21"/>
                    </w:rPr>
                  </w:pPr>
                  <w:r>
                    <w:rPr>
                      <w:rFonts w:hint="eastAsia"/>
                      <w:sz w:val="21"/>
                      <w:szCs w:val="21"/>
                    </w:rPr>
                    <w:t>②眼睛接触：立即翻开上下眼睑，用流动清水冲洗15分钟。就医。</w:t>
                  </w:r>
                </w:p>
                <w:p w14:paraId="72BD5CC1">
                  <w:pPr>
                    <w:pStyle w:val="154"/>
                    <w:ind w:firstLine="420" w:firstLineChars="200"/>
                    <w:jc w:val="both"/>
                    <w:rPr>
                      <w:sz w:val="21"/>
                      <w:szCs w:val="21"/>
                    </w:rPr>
                  </w:pPr>
                  <w:r>
                    <w:rPr>
                      <w:rFonts w:hint="eastAsia"/>
                      <w:sz w:val="21"/>
                      <w:szCs w:val="21"/>
                    </w:rPr>
                    <w:t>③吸入：脱离现场至空气新鲜处。就医。</w:t>
                  </w:r>
                </w:p>
                <w:p w14:paraId="46D9C835">
                  <w:pPr>
                    <w:pStyle w:val="154"/>
                    <w:ind w:firstLine="420" w:firstLineChars="200"/>
                    <w:jc w:val="both"/>
                    <w:rPr>
                      <w:sz w:val="21"/>
                      <w:szCs w:val="21"/>
                    </w:rPr>
                  </w:pPr>
                  <w:r>
                    <w:rPr>
                      <w:rFonts w:hint="eastAsia"/>
                      <w:sz w:val="21"/>
                      <w:szCs w:val="21"/>
                    </w:rPr>
                    <w:t>④食入：误服者用水漱口，饮足量温水，催吐，就医。</w:t>
                  </w:r>
                </w:p>
                <w:p w14:paraId="31155F30">
                  <w:pPr>
                    <w:pStyle w:val="154"/>
                    <w:jc w:val="both"/>
                    <w:rPr>
                      <w:b/>
                      <w:sz w:val="21"/>
                      <w:szCs w:val="21"/>
                    </w:rPr>
                  </w:pPr>
                  <w:r>
                    <w:rPr>
                      <w:b/>
                      <w:sz w:val="21"/>
                      <w:szCs w:val="21"/>
                    </w:rPr>
                    <w:t>五、泄漏处置</w:t>
                  </w:r>
                </w:p>
                <w:p w14:paraId="69643746">
                  <w:pPr>
                    <w:pStyle w:val="154"/>
                    <w:ind w:firstLine="420" w:firstLineChars="200"/>
                    <w:jc w:val="left"/>
                    <w:rPr>
                      <w:sz w:val="21"/>
                      <w:szCs w:val="21"/>
                    </w:rPr>
                  </w:pPr>
                  <w:r>
                    <w:rPr>
                      <w:rFonts w:hint="eastAsia"/>
                      <w:sz w:val="21"/>
                      <w:szCs w:val="21"/>
                    </w:rPr>
                    <w:t>切断火源。戴好防毒面具，穿一般消防防护服。在确保安全情况下堵漏。用不燃性分散剂制成的乳液刷洗，经稀释的洗液放入废水系统。如大量泄漏，利用围堤收容，然后收集、转移、回收或无害处理后废弃。</w:t>
                  </w:r>
                </w:p>
                <w:p w14:paraId="6513D7D0">
                  <w:pPr>
                    <w:pStyle w:val="154"/>
                    <w:jc w:val="both"/>
                    <w:rPr>
                      <w:b/>
                      <w:sz w:val="21"/>
                      <w:szCs w:val="21"/>
                    </w:rPr>
                  </w:pPr>
                  <w:r>
                    <w:rPr>
                      <w:b/>
                      <w:sz w:val="21"/>
                      <w:szCs w:val="21"/>
                    </w:rPr>
                    <w:t>六、储运注意事项</w:t>
                  </w:r>
                </w:p>
                <w:p w14:paraId="67B57DE1">
                  <w:pPr>
                    <w:pStyle w:val="154"/>
                    <w:ind w:firstLine="420" w:firstLineChars="200"/>
                    <w:jc w:val="left"/>
                    <w:rPr>
                      <w:sz w:val="21"/>
                      <w:szCs w:val="21"/>
                    </w:rPr>
                  </w:pPr>
                  <w:r>
                    <w:rPr>
                      <w:rFonts w:hint="eastAsia"/>
                      <w:sz w:val="21"/>
                      <w:szCs w:val="21"/>
                    </w:rPr>
                    <w:t>①储存注意事项：储存于阴凉、通风仓间内。远离火种、热源。防止阳光直射。保持容器密封。应与氧化剂、酸类、碱类分开存放。搬运时要轻装轻卸，防止包装及容器损坏。</w:t>
                  </w:r>
                </w:p>
                <w:p w14:paraId="7B4E5D8F">
                  <w:pPr>
                    <w:pStyle w:val="154"/>
                    <w:ind w:firstLine="420" w:firstLineChars="200"/>
                    <w:jc w:val="both"/>
                    <w:rPr>
                      <w:sz w:val="21"/>
                      <w:szCs w:val="21"/>
                    </w:rPr>
                  </w:pPr>
                  <w:r>
                    <w:rPr>
                      <w:rFonts w:hint="eastAsia"/>
                      <w:sz w:val="21"/>
                      <w:szCs w:val="21"/>
                    </w:rPr>
                    <w:t>②运输注意事项：无资料</w:t>
                  </w:r>
                </w:p>
              </w:tc>
            </w:tr>
          </w:tbl>
          <w:p w14:paraId="3444FE37">
            <w:pPr>
              <w:pStyle w:val="179"/>
            </w:pPr>
            <w:r>
              <w:t>6.2 危险物质数量与临界量比值（Q）</w:t>
            </w:r>
          </w:p>
          <w:p w14:paraId="31B08532">
            <w:pPr>
              <w:pStyle w:val="156"/>
              <w:ind w:firstLine="480"/>
              <w:rPr>
                <w:rFonts w:eastAsia="宋体" w:cs="Times New Roman"/>
              </w:rPr>
            </w:pPr>
            <w:r>
              <w:rPr>
                <w:rFonts w:eastAsia="宋体" w:cs="Times New Roman"/>
              </w:rPr>
              <w:t>根据《建设项目环境风险评价技术导则》（HJ 169-2018）附录C，当存在多种危险物质时，按式计算物质总量与其临界量比值：</w:t>
            </w:r>
          </w:p>
          <w:p w14:paraId="5C965AEE">
            <w:pPr>
              <w:pStyle w:val="156"/>
              <w:spacing w:line="240" w:lineRule="auto"/>
              <w:ind w:firstLine="480"/>
              <w:rPr>
                <w:rFonts w:eastAsia="宋体" w:cs="Times New Roman"/>
              </w:rPr>
            </w:pPr>
            <w:r>
              <w:rPr>
                <w:rFonts w:eastAsia="宋体" w:cs="Times New Roman"/>
              </w:rPr>
              <w:pict>
                <v:group id="_x0000_s2054" o:spid="_x0000_s2054" o:spt="203" style="height:42.1pt;width:116.2pt;" coordsize="2324,842" editas="canvas">
                  <o:lock v:ext="edit"/>
                  <v:shape id="_x0000_s2053" o:spid="_x0000_s2053" o:spt="75" type="#_x0000_t75" style="position:absolute;left:0;top:0;height:842;width:2324;" filled="f" o:preferrelative="f" stroked="f" coordsize="21600,21600">
                    <v:fill on="f" focussize="0,0"/>
                    <v:stroke on="f" joinstyle="miter"/>
                    <v:imagedata o:title=""/>
                    <o:lock v:ext="edit" text="t" aspectratio="t"/>
                  </v:shape>
                  <v:line id="_x0000_s2055" o:spid="_x0000_s2055" o:spt="20" style="position:absolute;left:474;top:339;height:1;width:269;" coordsize="21600,21600">
                    <v:path arrowok="t"/>
                    <v:fill focussize="0,0"/>
                    <v:stroke weight="0.00078740157480315pt"/>
                    <v:imagedata o:title=""/>
                    <o:lock v:ext="edit"/>
                  </v:line>
                  <v:line id="_x0000_s2056" o:spid="_x0000_s2056" o:spt="20" style="position:absolute;left:995;top:339;height:1;width:292;" coordsize="21600,21600">
                    <v:path arrowok="t"/>
                    <v:fill focussize="0,0"/>
                    <v:stroke weight="0.00078740157480315pt"/>
                    <v:imagedata o:title=""/>
                    <o:lock v:ext="edit"/>
                  </v:line>
                  <v:line id="_x0000_s2057" o:spid="_x0000_s2057" o:spt="20" style="position:absolute;left:1940;top:339;height:1;width:317;" coordsize="21600,21600">
                    <v:path arrowok="t"/>
                    <v:fill focussize="0,0"/>
                    <v:stroke weight="0.00078740157480315pt"/>
                    <v:imagedata o:title=""/>
                    <o:lock v:ext="edit"/>
                  </v:line>
                  <v:rect id="_x0000_s2058" o:spid="_x0000_s2058" o:spt="1" style="position:absolute;left:1945;top:374;height:312;width:318;mso-wrap-style:none;" filled="f" stroked="f" coordsize="21600,21600">
                    <v:path/>
                    <v:fill on="f" focussize="0,0"/>
                    <v:stroke on="f"/>
                    <v:imagedata o:title=""/>
                    <o:lock v:ext="edit"/>
                    <v:textbox inset="0mm,0mm,0mm,0mm" style="mso-fit-shape-to-text:t;">
                      <w:txbxContent>
                        <w:p w14:paraId="04EB3B7E">
                          <w:r>
                            <w:rPr>
                              <w:rFonts w:ascii="Times New Roman" w:hAnsi="Times New Roman"/>
                              <w:i/>
                              <w:iCs/>
                              <w:color w:val="000000"/>
                              <w:sz w:val="26"/>
                              <w:szCs w:val="26"/>
                            </w:rPr>
                            <w:t>Qn</w:t>
                          </w:r>
                        </w:p>
                      </w:txbxContent>
                    </v:textbox>
                  </v:rect>
                  <v:rect id="_x0000_s2059" o:spid="_x0000_s2059" o:spt="1" style="position:absolute;left:1000;top:374;height:312;width:188;mso-wrap-style:none;" filled="f" stroked="f" coordsize="21600,21600">
                    <v:path/>
                    <v:fill on="f" focussize="0,0"/>
                    <v:stroke on="f"/>
                    <v:imagedata o:title=""/>
                    <o:lock v:ext="edit"/>
                    <v:textbox inset="0mm,0mm,0mm,0mm" style="mso-fit-shape-to-text:t;">
                      <w:txbxContent>
                        <w:p w14:paraId="6A2F0DD5">
                          <w:r>
                            <w:rPr>
                              <w:rFonts w:ascii="Times New Roman" w:hAnsi="Times New Roman"/>
                              <w:i/>
                              <w:iCs/>
                              <w:color w:val="000000"/>
                              <w:sz w:val="26"/>
                              <w:szCs w:val="26"/>
                            </w:rPr>
                            <w:t>Q</w:t>
                          </w:r>
                        </w:p>
                      </w:txbxContent>
                    </v:textbox>
                  </v:rect>
                  <v:rect id="_x0000_s2060" o:spid="_x0000_s2060" o:spt="1" style="position:absolute;left:479;top:374;height:312;width:188;mso-wrap-style:none;" filled="f" stroked="f" coordsize="21600,21600">
                    <v:path/>
                    <v:fill on="f" focussize="0,0"/>
                    <v:stroke on="f"/>
                    <v:imagedata o:title=""/>
                    <o:lock v:ext="edit"/>
                    <v:textbox inset="0mm,0mm,0mm,0mm" style="mso-fit-shape-to-text:t;">
                      <w:txbxContent>
                        <w:p w14:paraId="2F2A6617">
                          <w:r>
                            <w:rPr>
                              <w:rFonts w:ascii="Times New Roman" w:hAnsi="Times New Roman"/>
                              <w:i/>
                              <w:iCs/>
                              <w:color w:val="000000"/>
                              <w:sz w:val="26"/>
                              <w:szCs w:val="26"/>
                            </w:rPr>
                            <w:t>Q</w:t>
                          </w:r>
                        </w:p>
                      </w:txbxContent>
                    </v:textbox>
                  </v:rect>
                  <v:rect id="_x0000_s2061" o:spid="_x0000_s2061" o:spt="1" style="position:absolute;left:25;top:176;height:312;width:188;mso-wrap-style:none;" filled="f" stroked="f" coordsize="21600,21600">
                    <v:path/>
                    <v:fill on="f" focussize="0,0"/>
                    <v:stroke on="f"/>
                    <v:imagedata o:title=""/>
                    <o:lock v:ext="edit"/>
                    <v:textbox inset="0mm,0mm,0mm,0mm" style="mso-fit-shape-to-text:t;">
                      <w:txbxContent>
                        <w:p w14:paraId="10210A99">
                          <w:r>
                            <w:rPr>
                              <w:rFonts w:ascii="Times New Roman" w:hAnsi="Times New Roman"/>
                              <w:i/>
                              <w:iCs/>
                              <w:color w:val="000000"/>
                              <w:sz w:val="26"/>
                              <w:szCs w:val="26"/>
                            </w:rPr>
                            <w:t>Q</w:t>
                          </w:r>
                        </w:p>
                      </w:txbxContent>
                    </v:textbox>
                  </v:rect>
                  <v:rect id="_x0000_s2062" o:spid="_x0000_s2062" o:spt="1" style="position:absolute;left:2117;top:173;height:312;width:71;mso-wrap-style:none;" filled="f" stroked="f" coordsize="21600,21600">
                    <v:path/>
                    <v:fill on="f" focussize="0,0"/>
                    <v:stroke on="f"/>
                    <v:imagedata o:title=""/>
                    <o:lock v:ext="edit"/>
                    <v:textbox inset="0mm,0mm,0mm,0mm" style="mso-fit-shape-to-text:t;">
                      <w:txbxContent>
                        <w:p w14:paraId="6DB683AD">
                          <w:r>
                            <w:rPr>
                              <w:rFonts w:ascii="Times New Roman" w:hAnsi="Times New Roman"/>
                              <w:color w:val="000000"/>
                              <w:sz w:val="14"/>
                              <w:szCs w:val="14"/>
                            </w:rPr>
                            <w:t>n</w:t>
                          </w:r>
                        </w:p>
                      </w:txbxContent>
                    </v:textbox>
                  </v:rect>
                  <v:rect id="_x0000_s2063" o:spid="_x0000_s2063" o:spt="1" style="position:absolute;left:1177;top:530;height:312;width:71;mso-wrap-style:none;" filled="f" stroked="f" coordsize="21600,21600">
                    <v:path/>
                    <v:fill on="f" focussize="0,0"/>
                    <v:stroke on="f"/>
                    <v:imagedata o:title=""/>
                    <o:lock v:ext="edit"/>
                    <v:textbox inset="0mm,0mm,0mm,0mm" style="mso-fit-shape-to-text:t;">
                      <w:txbxContent>
                        <w:p w14:paraId="5EE0468E">
                          <w:r>
                            <w:rPr>
                              <w:rFonts w:ascii="Times New Roman" w:hAnsi="Times New Roman"/>
                              <w:color w:val="000000"/>
                              <w:sz w:val="14"/>
                              <w:szCs w:val="14"/>
                            </w:rPr>
                            <w:t>2</w:t>
                          </w:r>
                        </w:p>
                      </w:txbxContent>
                    </v:textbox>
                  </v:rect>
                  <v:rect id="_x0000_s2064" o:spid="_x0000_s2064" o:spt="1" style="position:absolute;left:1161;top:173;height:201;width:71;mso-wrap-style:none;" filled="f" stroked="f" coordsize="21600,21600">
                    <v:path/>
                    <v:fill on="f" focussize="0,0"/>
                    <v:stroke on="f"/>
                    <v:imagedata o:title=""/>
                    <o:lock v:ext="edit"/>
                    <v:textbox inset="0mm,0mm,0mm,0mm">
                      <w:txbxContent>
                        <w:p w14:paraId="7318B33B">
                          <w:r>
                            <w:rPr>
                              <w:rFonts w:ascii="Times New Roman" w:hAnsi="Times New Roman"/>
                              <w:color w:val="000000"/>
                              <w:sz w:val="14"/>
                              <w:szCs w:val="14"/>
                            </w:rPr>
                            <w:t>2</w:t>
                          </w:r>
                        </w:p>
                      </w:txbxContent>
                    </v:textbox>
                  </v:rect>
                  <v:rect id="_x0000_s2065" o:spid="_x0000_s2065" o:spt="1" style="position:absolute;left:643;top:530;height:312;width:71;mso-wrap-style:none;" filled="f" stroked="f" coordsize="21600,21600">
                    <v:path/>
                    <v:fill on="f" focussize="0,0"/>
                    <v:stroke on="f"/>
                    <v:imagedata o:title=""/>
                    <o:lock v:ext="edit"/>
                    <v:textbox inset="0mm,0mm,0mm,0mm" style="mso-fit-shape-to-text:t;">
                      <w:txbxContent>
                        <w:p w14:paraId="2C93C3A7">
                          <w:r>
                            <w:rPr>
                              <w:rFonts w:ascii="Times New Roman" w:hAnsi="Times New Roman"/>
                              <w:color w:val="000000"/>
                              <w:sz w:val="14"/>
                              <w:szCs w:val="14"/>
                            </w:rPr>
                            <w:t>1</w:t>
                          </w:r>
                        </w:p>
                      </w:txbxContent>
                    </v:textbox>
                  </v:rect>
                  <v:rect id="_x0000_s2066" o:spid="_x0000_s2066" o:spt="1" style="position:absolute;left:628;top:173;height:312;width:71;mso-wrap-style:none;" filled="f" stroked="f" coordsize="21600,21600">
                    <v:path/>
                    <v:fill on="f" focussize="0,0"/>
                    <v:stroke on="f"/>
                    <v:imagedata o:title=""/>
                    <o:lock v:ext="edit"/>
                    <v:textbox inset="0mm,0mm,0mm,0mm" style="mso-fit-shape-to-text:t;">
                      <w:txbxContent>
                        <w:p w14:paraId="33CE9F0D">
                          <w:r>
                            <w:rPr>
                              <w:rFonts w:ascii="Times New Roman" w:hAnsi="Times New Roman"/>
                              <w:color w:val="000000"/>
                              <w:sz w:val="14"/>
                              <w:szCs w:val="14"/>
                            </w:rPr>
                            <w:t>1</w:t>
                          </w:r>
                        </w:p>
                      </w:txbxContent>
                    </v:textbox>
                  </v:rect>
                  <v:rect id="_x0000_s2067" o:spid="_x0000_s2067" o:spt="1" style="position:absolute;left:1976;top:16;height:312;width:131;mso-wrap-style:none;" filled="f" stroked="f" coordsize="21600,21600">
                    <v:path/>
                    <v:fill on="f" focussize="0,0"/>
                    <v:stroke on="f"/>
                    <v:imagedata o:title=""/>
                    <o:lock v:ext="edit"/>
                    <v:textbox inset="0mm,0mm,0mm,0mm" style="mso-fit-shape-to-text:t;">
                      <w:txbxContent>
                        <w:p w14:paraId="79975461">
                          <w:r>
                            <w:rPr>
                              <w:rFonts w:ascii="Times New Roman" w:hAnsi="Times New Roman"/>
                              <w:color w:val="000000"/>
                              <w:sz w:val="26"/>
                              <w:szCs w:val="26"/>
                            </w:rPr>
                            <w:t>q</w:t>
                          </w:r>
                        </w:p>
                      </w:txbxContent>
                    </v:textbox>
                  </v:rect>
                  <v:rect id="_x0000_s2068" o:spid="_x0000_s2068" o:spt="1" style="position:absolute;left:1522;top:176;height:312;width:196;mso-wrap-style:none;" filled="f" stroked="f" coordsize="21600,21600">
                    <v:path/>
                    <v:fill on="f" focussize="0,0"/>
                    <v:stroke on="f"/>
                    <v:imagedata o:title=""/>
                    <o:lock v:ext="edit"/>
                    <v:textbox inset="0mm,0mm,0mm,0mm" style="mso-fit-shape-to-text:t;">
                      <w:txbxContent>
                        <w:p w14:paraId="002152EC">
                          <w:r>
                            <w:rPr>
                              <w:rFonts w:ascii="Times New Roman" w:hAnsi="Times New Roman"/>
                              <w:color w:val="000000"/>
                              <w:sz w:val="26"/>
                              <w:szCs w:val="26"/>
                            </w:rPr>
                            <w:t>...</w:t>
                          </w:r>
                        </w:p>
                      </w:txbxContent>
                    </v:textbox>
                  </v:rect>
                  <v:rect id="_x0000_s2069" o:spid="_x0000_s2069" o:spt="1" style="position:absolute;left:1022;top:16;height:312;width:131;mso-wrap-style:none;" filled="f" stroked="f" coordsize="21600,21600">
                    <v:path/>
                    <v:fill on="f" focussize="0,0"/>
                    <v:stroke on="f"/>
                    <v:imagedata o:title=""/>
                    <o:lock v:ext="edit"/>
                    <v:textbox inset="0mm,0mm,0mm,0mm" style="mso-fit-shape-to-text:t;">
                      <w:txbxContent>
                        <w:p w14:paraId="0862C315">
                          <w:r>
                            <w:rPr>
                              <w:rFonts w:ascii="Times New Roman" w:hAnsi="Times New Roman"/>
                              <w:color w:val="000000"/>
                              <w:sz w:val="26"/>
                              <w:szCs w:val="26"/>
                            </w:rPr>
                            <w:t>q</w:t>
                          </w:r>
                        </w:p>
                      </w:txbxContent>
                    </v:textbox>
                  </v:rect>
                  <v:rect id="_x0000_s2070" o:spid="_x0000_s2070" o:spt="1" style="position:absolute;left:501;top:16;height:312;width:131;mso-wrap-style:none;" filled="f" stroked="f" coordsize="21600,21600">
                    <v:path/>
                    <v:fill on="f" focussize="0,0"/>
                    <v:stroke on="f"/>
                    <v:imagedata o:title=""/>
                    <o:lock v:ext="edit"/>
                    <v:textbox inset="0mm,0mm,0mm,0mm" style="mso-fit-shape-to-text:t;">
                      <w:txbxContent>
                        <w:p w14:paraId="32DCF73C">
                          <w:r>
                            <w:rPr>
                              <w:rFonts w:ascii="Times New Roman" w:hAnsi="Times New Roman"/>
                              <w:color w:val="000000"/>
                              <w:sz w:val="26"/>
                              <w:szCs w:val="26"/>
                            </w:rPr>
                            <w:t>q</w:t>
                          </w:r>
                        </w:p>
                      </w:txbxContent>
                    </v:textbox>
                  </v:rect>
                  <v:rect id="_x0000_s2071" o:spid="_x0000_s2071" o:spt="1" style="position:absolute;left:1748;top:147;height:624;width:143;mso-wrap-style:none;" filled="f" stroked="f" coordsize="21600,21600">
                    <v:path/>
                    <v:fill on="f" focussize="0,0"/>
                    <v:stroke on="f"/>
                    <v:imagedata o:title=""/>
                    <o:lock v:ext="edit"/>
                    <v:textbox inset="0mm,0mm,0mm,0mm" style="mso-fit-shape-to-text:t;">
                      <w:txbxContent>
                        <w:p w14:paraId="23889E5D">
                          <w:r>
                            <w:rPr>
                              <w:rFonts w:ascii="Symbol" w:hAnsi="Symbol" w:cs="Symbol"/>
                              <w:color w:val="000000"/>
                              <w:sz w:val="26"/>
                              <w:szCs w:val="26"/>
                            </w:rPr>
                            <w:t></w:t>
                          </w:r>
                        </w:p>
                      </w:txbxContent>
                    </v:textbox>
                  </v:rect>
                  <v:rect id="_x0000_s2072" o:spid="_x0000_s2072" o:spt="1" style="position:absolute;left:1347;top:147;height:624;width:143;mso-wrap-style:none;" filled="f" stroked="f" coordsize="21600,21600">
                    <v:path/>
                    <v:fill on="f" focussize="0,0"/>
                    <v:stroke on="f"/>
                    <v:imagedata o:title=""/>
                    <o:lock v:ext="edit"/>
                    <v:textbox inset="0mm,0mm,0mm,0mm" style="mso-fit-shape-to-text:t;">
                      <w:txbxContent>
                        <w:p w14:paraId="2FAD7D01">
                          <w:r>
                            <w:rPr>
                              <w:rFonts w:ascii="Symbol" w:hAnsi="Symbol" w:cs="Symbol"/>
                              <w:color w:val="000000"/>
                              <w:sz w:val="26"/>
                              <w:szCs w:val="26"/>
                            </w:rPr>
                            <w:t></w:t>
                          </w:r>
                        </w:p>
                      </w:txbxContent>
                    </v:textbox>
                  </v:rect>
                  <v:rect id="_x0000_s2073" o:spid="_x0000_s2073" o:spt="1" style="position:absolute;left:803;top:147;height:624;width:143;mso-wrap-style:none;" filled="f" stroked="f" coordsize="21600,21600">
                    <v:path/>
                    <v:fill on="f" focussize="0,0"/>
                    <v:stroke on="f"/>
                    <v:imagedata o:title=""/>
                    <o:lock v:ext="edit"/>
                    <v:textbox inset="0mm,0mm,0mm,0mm" style="mso-fit-shape-to-text:t;">
                      <w:txbxContent>
                        <w:p w14:paraId="3F2ECF5B">
                          <w:r>
                            <w:rPr>
                              <w:rFonts w:ascii="Symbol" w:hAnsi="Symbol" w:cs="Symbol"/>
                              <w:color w:val="000000"/>
                              <w:sz w:val="26"/>
                              <w:szCs w:val="26"/>
                            </w:rPr>
                            <w:t></w:t>
                          </w:r>
                        </w:p>
                      </w:txbxContent>
                    </v:textbox>
                  </v:rect>
                  <v:rect id="_x0000_s2074" o:spid="_x0000_s2074" o:spt="1" style="position:absolute;left:272;top:147;height:624;width:143;mso-wrap-style:none;" filled="f" stroked="f" coordsize="21600,21600">
                    <v:path/>
                    <v:fill on="f" focussize="0,0"/>
                    <v:stroke on="f"/>
                    <v:imagedata o:title=""/>
                    <o:lock v:ext="edit"/>
                    <v:textbox inset="0mm,0mm,0mm,0mm" style="mso-fit-shape-to-text:t;">
                      <w:txbxContent>
                        <w:p w14:paraId="2B89F69E">
                          <w:r>
                            <w:rPr>
                              <w:rFonts w:ascii="Symbol" w:hAnsi="Symbol" w:cs="Symbol"/>
                              <w:color w:val="000000"/>
                              <w:sz w:val="26"/>
                              <w:szCs w:val="26"/>
                            </w:rPr>
                            <w:t></w:t>
                          </w:r>
                        </w:p>
                      </w:txbxContent>
                    </v:textbox>
                  </v:rect>
                  <w10:wrap type="none"/>
                  <w10:anchorlock/>
                </v:group>
              </w:pict>
            </w:r>
          </w:p>
          <w:p w14:paraId="532014F3">
            <w:pPr>
              <w:pStyle w:val="156"/>
              <w:ind w:firstLine="480"/>
              <w:rPr>
                <w:rFonts w:eastAsia="宋体" w:cs="Times New Roman"/>
              </w:rPr>
            </w:pPr>
            <w:r>
              <w:rPr>
                <w:rFonts w:eastAsia="宋体" w:cs="Times New Roman"/>
              </w:rPr>
              <w:t>式中：q</w:t>
            </w:r>
            <w:r>
              <w:rPr>
                <w:rFonts w:eastAsia="宋体" w:cs="Times New Roman"/>
                <w:vertAlign w:val="subscript"/>
              </w:rPr>
              <w:t>1</w:t>
            </w:r>
            <w:r>
              <w:rPr>
                <w:rFonts w:eastAsia="宋体" w:cs="Times New Roman"/>
              </w:rPr>
              <w:t>、q</w:t>
            </w:r>
            <w:r>
              <w:rPr>
                <w:rFonts w:eastAsia="宋体" w:cs="Times New Roman"/>
                <w:vertAlign w:val="subscript"/>
              </w:rPr>
              <w:t>2</w:t>
            </w:r>
            <w:r>
              <w:rPr>
                <w:rFonts w:eastAsia="宋体" w:cs="Times New Roman"/>
              </w:rPr>
              <w:t>，……，q</w:t>
            </w:r>
            <w:r>
              <w:rPr>
                <w:rFonts w:eastAsia="宋体" w:cs="Times New Roman"/>
                <w:vertAlign w:val="subscript"/>
              </w:rPr>
              <w:t>n</w:t>
            </w:r>
            <w:r>
              <w:rPr>
                <w:rFonts w:eastAsia="宋体" w:cs="Times New Roman"/>
              </w:rPr>
              <w:t>――每种危险物质的最大存在总量，t；</w:t>
            </w:r>
          </w:p>
          <w:p w14:paraId="7D38D6A1">
            <w:pPr>
              <w:pStyle w:val="156"/>
              <w:ind w:firstLine="480"/>
              <w:rPr>
                <w:rFonts w:eastAsia="宋体" w:cs="Times New Roman"/>
              </w:rPr>
            </w:pPr>
            <w:r>
              <w:rPr>
                <w:rFonts w:eastAsia="宋体" w:cs="Times New Roman"/>
              </w:rPr>
              <w:t xml:space="preserve">      Q</w:t>
            </w:r>
            <w:r>
              <w:rPr>
                <w:rFonts w:eastAsia="宋体" w:cs="Times New Roman"/>
                <w:vertAlign w:val="subscript"/>
              </w:rPr>
              <w:t>1</w:t>
            </w:r>
            <w:r>
              <w:rPr>
                <w:rFonts w:eastAsia="宋体" w:cs="Times New Roman"/>
              </w:rPr>
              <w:t>、Q</w:t>
            </w:r>
            <w:r>
              <w:rPr>
                <w:rFonts w:eastAsia="宋体" w:cs="Times New Roman"/>
                <w:vertAlign w:val="subscript"/>
              </w:rPr>
              <w:t>2</w:t>
            </w:r>
            <w:r>
              <w:rPr>
                <w:rFonts w:eastAsia="宋体" w:cs="Times New Roman"/>
              </w:rPr>
              <w:t>，……，Q</w:t>
            </w:r>
            <w:r>
              <w:rPr>
                <w:rFonts w:eastAsia="宋体" w:cs="Times New Roman"/>
                <w:vertAlign w:val="subscript"/>
              </w:rPr>
              <w:t>n</w:t>
            </w:r>
            <w:r>
              <w:rPr>
                <w:rFonts w:eastAsia="宋体" w:cs="Times New Roman"/>
              </w:rPr>
              <w:t>――每种危险物质的临界量，t。</w:t>
            </w:r>
          </w:p>
          <w:p w14:paraId="224BE103">
            <w:pPr>
              <w:pStyle w:val="156"/>
              <w:ind w:firstLine="480"/>
              <w:rPr>
                <w:rFonts w:eastAsia="宋体" w:cs="Times New Roman"/>
              </w:rPr>
            </w:pPr>
            <w:r>
              <w:rPr>
                <w:rFonts w:eastAsia="宋体" w:cs="Times New Roman"/>
                <w:bCs/>
              </w:rPr>
              <w:t>本项目Q值确定</w:t>
            </w:r>
            <w:r>
              <w:rPr>
                <w:rFonts w:eastAsia="宋体" w:cs="Times New Roman"/>
              </w:rPr>
              <w:t>结果见下表。</w:t>
            </w:r>
          </w:p>
          <w:p w14:paraId="77AD6612">
            <w:pPr>
              <w:pStyle w:val="182"/>
              <w:ind w:firstLine="480"/>
            </w:pPr>
            <w:r>
              <w:t>表4-</w:t>
            </w:r>
            <w:r>
              <w:rPr>
                <w:rFonts w:hint="eastAsia"/>
              </w:rPr>
              <w:t>25</w:t>
            </w:r>
            <w:r>
              <w:t xml:space="preserve">        危险物质数量与临界量比值（Q）计算结果表</w:t>
            </w:r>
          </w:p>
          <w:tbl>
            <w:tblPr>
              <w:tblStyle w:val="8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6"/>
              <w:gridCol w:w="1850"/>
              <w:gridCol w:w="1239"/>
              <w:gridCol w:w="1921"/>
              <w:gridCol w:w="1615"/>
              <w:gridCol w:w="1482"/>
            </w:tblGrid>
            <w:tr w14:paraId="74109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26" w:type="dxa"/>
                  <w:tcBorders>
                    <w:top w:val="single" w:color="auto" w:sz="12" w:space="0"/>
                    <w:left w:val="single" w:color="auto" w:sz="12" w:space="0"/>
                    <w:bottom w:val="single" w:color="auto" w:sz="6" w:space="0"/>
                    <w:right w:val="single" w:color="auto" w:sz="6" w:space="0"/>
                  </w:tcBorders>
                </w:tcPr>
                <w:p w14:paraId="088940C4">
                  <w:pPr>
                    <w:pStyle w:val="154"/>
                    <w:rPr>
                      <w:sz w:val="21"/>
                      <w:szCs w:val="21"/>
                    </w:rPr>
                  </w:pPr>
                  <w:r>
                    <w:rPr>
                      <w:sz w:val="21"/>
                      <w:szCs w:val="21"/>
                    </w:rPr>
                    <w:t>序号</w:t>
                  </w:r>
                </w:p>
              </w:tc>
              <w:tc>
                <w:tcPr>
                  <w:tcW w:w="1850" w:type="dxa"/>
                  <w:tcBorders>
                    <w:top w:val="single" w:color="auto" w:sz="12" w:space="0"/>
                    <w:left w:val="single" w:color="auto" w:sz="6" w:space="0"/>
                    <w:bottom w:val="single" w:color="auto" w:sz="6" w:space="0"/>
                    <w:right w:val="single" w:color="auto" w:sz="6" w:space="0"/>
                  </w:tcBorders>
                </w:tcPr>
                <w:p w14:paraId="661E85ED">
                  <w:pPr>
                    <w:pStyle w:val="154"/>
                    <w:rPr>
                      <w:sz w:val="21"/>
                      <w:szCs w:val="21"/>
                    </w:rPr>
                  </w:pPr>
                  <w:r>
                    <w:rPr>
                      <w:sz w:val="21"/>
                      <w:szCs w:val="21"/>
                    </w:rPr>
                    <w:t>危险物质名称</w:t>
                  </w:r>
                </w:p>
              </w:tc>
              <w:tc>
                <w:tcPr>
                  <w:tcW w:w="1239" w:type="dxa"/>
                  <w:tcBorders>
                    <w:top w:val="single" w:color="auto" w:sz="12" w:space="0"/>
                    <w:left w:val="single" w:color="auto" w:sz="6" w:space="0"/>
                    <w:bottom w:val="single" w:color="auto" w:sz="6" w:space="0"/>
                    <w:right w:val="single" w:color="auto" w:sz="6" w:space="0"/>
                  </w:tcBorders>
                </w:tcPr>
                <w:p w14:paraId="5D1A13F6">
                  <w:pPr>
                    <w:pStyle w:val="154"/>
                    <w:rPr>
                      <w:sz w:val="21"/>
                      <w:szCs w:val="21"/>
                    </w:rPr>
                  </w:pPr>
                  <w:r>
                    <w:rPr>
                      <w:sz w:val="21"/>
                      <w:szCs w:val="21"/>
                    </w:rPr>
                    <w:t>CAS号</w:t>
                  </w:r>
                </w:p>
              </w:tc>
              <w:tc>
                <w:tcPr>
                  <w:tcW w:w="1921" w:type="dxa"/>
                  <w:tcBorders>
                    <w:top w:val="single" w:color="auto" w:sz="12" w:space="0"/>
                    <w:left w:val="single" w:color="auto" w:sz="6" w:space="0"/>
                    <w:bottom w:val="single" w:color="auto" w:sz="6" w:space="0"/>
                    <w:right w:val="single" w:color="auto" w:sz="6" w:space="0"/>
                  </w:tcBorders>
                </w:tcPr>
                <w:p w14:paraId="386D0C85">
                  <w:pPr>
                    <w:pStyle w:val="154"/>
                    <w:rPr>
                      <w:sz w:val="21"/>
                      <w:szCs w:val="21"/>
                    </w:rPr>
                  </w:pPr>
                  <w:r>
                    <w:rPr>
                      <w:sz w:val="21"/>
                      <w:szCs w:val="21"/>
                    </w:rPr>
                    <w:t>最大存在总量qn/t</w:t>
                  </w:r>
                </w:p>
              </w:tc>
              <w:tc>
                <w:tcPr>
                  <w:tcW w:w="1615" w:type="dxa"/>
                  <w:tcBorders>
                    <w:top w:val="single" w:color="auto" w:sz="12" w:space="0"/>
                    <w:left w:val="single" w:color="auto" w:sz="6" w:space="0"/>
                    <w:bottom w:val="single" w:color="auto" w:sz="6" w:space="0"/>
                    <w:right w:val="single" w:color="auto" w:sz="6" w:space="0"/>
                  </w:tcBorders>
                </w:tcPr>
                <w:p w14:paraId="1360CC14">
                  <w:pPr>
                    <w:pStyle w:val="154"/>
                    <w:rPr>
                      <w:sz w:val="21"/>
                      <w:szCs w:val="21"/>
                    </w:rPr>
                  </w:pPr>
                  <w:r>
                    <w:rPr>
                      <w:sz w:val="21"/>
                      <w:szCs w:val="21"/>
                    </w:rPr>
                    <w:t>临界量Qn/t</w:t>
                  </w:r>
                </w:p>
              </w:tc>
              <w:tc>
                <w:tcPr>
                  <w:tcW w:w="1482" w:type="dxa"/>
                  <w:tcBorders>
                    <w:top w:val="single" w:color="auto" w:sz="12" w:space="0"/>
                    <w:left w:val="single" w:color="auto" w:sz="6" w:space="0"/>
                    <w:bottom w:val="single" w:color="auto" w:sz="6" w:space="0"/>
                    <w:right w:val="single" w:color="auto" w:sz="12" w:space="0"/>
                  </w:tcBorders>
                </w:tcPr>
                <w:p w14:paraId="141E8588">
                  <w:pPr>
                    <w:pStyle w:val="154"/>
                    <w:rPr>
                      <w:sz w:val="21"/>
                      <w:szCs w:val="21"/>
                    </w:rPr>
                  </w:pPr>
                  <w:r>
                    <w:rPr>
                      <w:sz w:val="21"/>
                      <w:szCs w:val="21"/>
                    </w:rPr>
                    <w:t>该种物质Q值</w:t>
                  </w:r>
                </w:p>
              </w:tc>
            </w:tr>
            <w:tr w14:paraId="04204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26" w:type="dxa"/>
                  <w:tcBorders>
                    <w:top w:val="single" w:color="auto" w:sz="6" w:space="0"/>
                    <w:left w:val="single" w:color="auto" w:sz="12" w:space="0"/>
                    <w:bottom w:val="single" w:color="auto" w:sz="6" w:space="0"/>
                    <w:right w:val="single" w:color="auto" w:sz="6" w:space="0"/>
                  </w:tcBorders>
                  <w:vAlign w:val="center"/>
                </w:tcPr>
                <w:p w14:paraId="384272A6">
                  <w:pPr>
                    <w:pStyle w:val="154"/>
                    <w:rPr>
                      <w:sz w:val="21"/>
                      <w:szCs w:val="21"/>
                    </w:rPr>
                  </w:pPr>
                  <w:r>
                    <w:rPr>
                      <w:rFonts w:hint="eastAsia"/>
                      <w:sz w:val="21"/>
                      <w:szCs w:val="21"/>
                    </w:rPr>
                    <w:t>1</w:t>
                  </w:r>
                </w:p>
              </w:tc>
              <w:tc>
                <w:tcPr>
                  <w:tcW w:w="1850" w:type="dxa"/>
                  <w:tcBorders>
                    <w:top w:val="single" w:color="auto" w:sz="6" w:space="0"/>
                    <w:left w:val="single" w:color="auto" w:sz="6" w:space="0"/>
                    <w:bottom w:val="single" w:color="auto" w:sz="6" w:space="0"/>
                    <w:right w:val="single" w:color="auto" w:sz="6" w:space="0"/>
                  </w:tcBorders>
                </w:tcPr>
                <w:p w14:paraId="6D1F4FB6">
                  <w:pPr>
                    <w:pStyle w:val="154"/>
                    <w:rPr>
                      <w:sz w:val="21"/>
                      <w:szCs w:val="21"/>
                    </w:rPr>
                  </w:pPr>
                  <w:r>
                    <w:rPr>
                      <w:rFonts w:hint="eastAsia"/>
                      <w:sz w:val="21"/>
                      <w:szCs w:val="21"/>
                    </w:rPr>
                    <w:t>二苯基甲烷二异氰酸酯（</w:t>
                  </w:r>
                  <w:r>
                    <w:rPr>
                      <w:sz w:val="21"/>
                      <w:szCs w:val="21"/>
                    </w:rPr>
                    <w:t>MDI</w:t>
                  </w:r>
                  <w:r>
                    <w:rPr>
                      <w:rFonts w:hint="eastAsia"/>
                      <w:sz w:val="21"/>
                      <w:szCs w:val="21"/>
                    </w:rPr>
                    <w:t>）</w:t>
                  </w:r>
                </w:p>
              </w:tc>
              <w:tc>
                <w:tcPr>
                  <w:tcW w:w="1239" w:type="dxa"/>
                  <w:tcBorders>
                    <w:top w:val="single" w:color="auto" w:sz="6" w:space="0"/>
                    <w:left w:val="single" w:color="auto" w:sz="6" w:space="0"/>
                    <w:bottom w:val="single" w:color="auto" w:sz="6" w:space="0"/>
                    <w:right w:val="single" w:color="auto" w:sz="6" w:space="0"/>
                  </w:tcBorders>
                  <w:vAlign w:val="center"/>
                </w:tcPr>
                <w:p w14:paraId="097D0804">
                  <w:pPr>
                    <w:pStyle w:val="154"/>
                    <w:rPr>
                      <w:sz w:val="21"/>
                      <w:szCs w:val="21"/>
                    </w:rPr>
                  </w:pPr>
                  <w:r>
                    <w:rPr>
                      <w:sz w:val="21"/>
                      <w:szCs w:val="21"/>
                    </w:rPr>
                    <w:t>26447-40-5</w:t>
                  </w:r>
                </w:p>
              </w:tc>
              <w:tc>
                <w:tcPr>
                  <w:tcW w:w="1921" w:type="dxa"/>
                  <w:tcBorders>
                    <w:top w:val="single" w:color="auto" w:sz="6" w:space="0"/>
                    <w:left w:val="single" w:color="auto" w:sz="6" w:space="0"/>
                    <w:bottom w:val="single" w:color="auto" w:sz="6" w:space="0"/>
                    <w:right w:val="single" w:color="auto" w:sz="6" w:space="0"/>
                  </w:tcBorders>
                  <w:vAlign w:val="center"/>
                </w:tcPr>
                <w:p w14:paraId="7355A4AA">
                  <w:pPr>
                    <w:pStyle w:val="154"/>
                    <w:rPr>
                      <w:sz w:val="21"/>
                      <w:szCs w:val="21"/>
                    </w:rPr>
                  </w:pPr>
                  <w:r>
                    <w:rPr>
                      <w:sz w:val="21"/>
                      <w:szCs w:val="21"/>
                    </w:rPr>
                    <w:t>0.</w:t>
                  </w:r>
                  <w:r>
                    <w:rPr>
                      <w:rFonts w:hint="eastAsia"/>
                      <w:sz w:val="21"/>
                      <w:szCs w:val="21"/>
                    </w:rPr>
                    <w:t>1</w:t>
                  </w:r>
                </w:p>
              </w:tc>
              <w:tc>
                <w:tcPr>
                  <w:tcW w:w="1615" w:type="dxa"/>
                  <w:tcBorders>
                    <w:top w:val="single" w:color="auto" w:sz="6" w:space="0"/>
                    <w:left w:val="single" w:color="auto" w:sz="6" w:space="0"/>
                    <w:bottom w:val="single" w:color="auto" w:sz="6" w:space="0"/>
                    <w:right w:val="single" w:color="auto" w:sz="6" w:space="0"/>
                  </w:tcBorders>
                  <w:vAlign w:val="center"/>
                </w:tcPr>
                <w:p w14:paraId="3ABC8314">
                  <w:pPr>
                    <w:pStyle w:val="154"/>
                    <w:rPr>
                      <w:sz w:val="21"/>
                      <w:szCs w:val="21"/>
                    </w:rPr>
                  </w:pPr>
                  <w:r>
                    <w:rPr>
                      <w:sz w:val="21"/>
                      <w:szCs w:val="21"/>
                    </w:rPr>
                    <w:t>0.5</w:t>
                  </w:r>
                </w:p>
              </w:tc>
              <w:tc>
                <w:tcPr>
                  <w:tcW w:w="1482" w:type="dxa"/>
                  <w:tcBorders>
                    <w:top w:val="single" w:color="auto" w:sz="6" w:space="0"/>
                    <w:left w:val="single" w:color="auto" w:sz="6" w:space="0"/>
                    <w:bottom w:val="single" w:color="auto" w:sz="6" w:space="0"/>
                    <w:right w:val="single" w:color="auto" w:sz="12" w:space="0"/>
                  </w:tcBorders>
                  <w:vAlign w:val="center"/>
                </w:tcPr>
                <w:p w14:paraId="0BA0FA62">
                  <w:pPr>
                    <w:pStyle w:val="154"/>
                    <w:rPr>
                      <w:sz w:val="21"/>
                      <w:szCs w:val="21"/>
                    </w:rPr>
                  </w:pPr>
                  <w:r>
                    <w:rPr>
                      <w:sz w:val="21"/>
                      <w:szCs w:val="21"/>
                    </w:rPr>
                    <w:t>0.</w:t>
                  </w:r>
                  <w:r>
                    <w:rPr>
                      <w:rFonts w:hint="eastAsia"/>
                      <w:sz w:val="21"/>
                      <w:szCs w:val="21"/>
                    </w:rPr>
                    <w:t>2</w:t>
                  </w:r>
                </w:p>
              </w:tc>
            </w:tr>
            <w:tr w14:paraId="2FD7F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26" w:type="dxa"/>
                  <w:tcBorders>
                    <w:top w:val="single" w:color="auto" w:sz="6" w:space="0"/>
                    <w:left w:val="single" w:color="auto" w:sz="12" w:space="0"/>
                    <w:bottom w:val="single" w:color="auto" w:sz="6" w:space="0"/>
                    <w:right w:val="single" w:color="auto" w:sz="6" w:space="0"/>
                  </w:tcBorders>
                  <w:vAlign w:val="center"/>
                </w:tcPr>
                <w:p w14:paraId="4278CBB4">
                  <w:pPr>
                    <w:pStyle w:val="154"/>
                    <w:rPr>
                      <w:sz w:val="21"/>
                      <w:szCs w:val="21"/>
                    </w:rPr>
                  </w:pPr>
                  <w:r>
                    <w:rPr>
                      <w:rFonts w:hint="eastAsia"/>
                      <w:sz w:val="21"/>
                      <w:szCs w:val="21"/>
                    </w:rPr>
                    <w:t>2</w:t>
                  </w:r>
                </w:p>
              </w:tc>
              <w:tc>
                <w:tcPr>
                  <w:tcW w:w="1850" w:type="dxa"/>
                  <w:tcBorders>
                    <w:top w:val="single" w:color="auto" w:sz="6" w:space="0"/>
                    <w:left w:val="single" w:color="auto" w:sz="6" w:space="0"/>
                    <w:bottom w:val="single" w:color="auto" w:sz="6" w:space="0"/>
                    <w:right w:val="single" w:color="auto" w:sz="6" w:space="0"/>
                  </w:tcBorders>
                </w:tcPr>
                <w:p w14:paraId="4F76A91E">
                  <w:pPr>
                    <w:pStyle w:val="154"/>
                    <w:rPr>
                      <w:sz w:val="21"/>
                      <w:szCs w:val="21"/>
                    </w:rPr>
                  </w:pPr>
                  <w:r>
                    <w:rPr>
                      <w:rFonts w:hint="eastAsia"/>
                      <w:sz w:val="21"/>
                      <w:szCs w:val="21"/>
                    </w:rPr>
                    <w:t>磷酸</w:t>
                  </w:r>
                </w:p>
              </w:tc>
              <w:tc>
                <w:tcPr>
                  <w:tcW w:w="1239" w:type="dxa"/>
                  <w:tcBorders>
                    <w:top w:val="single" w:color="auto" w:sz="6" w:space="0"/>
                    <w:left w:val="single" w:color="auto" w:sz="6" w:space="0"/>
                    <w:bottom w:val="single" w:color="auto" w:sz="6" w:space="0"/>
                    <w:right w:val="single" w:color="auto" w:sz="6" w:space="0"/>
                  </w:tcBorders>
                  <w:vAlign w:val="center"/>
                </w:tcPr>
                <w:p w14:paraId="0D4DA258">
                  <w:pPr>
                    <w:pStyle w:val="154"/>
                    <w:rPr>
                      <w:sz w:val="21"/>
                      <w:szCs w:val="21"/>
                    </w:rPr>
                  </w:pPr>
                  <w:r>
                    <w:rPr>
                      <w:rFonts w:hint="eastAsia"/>
                      <w:sz w:val="21"/>
                      <w:szCs w:val="21"/>
                    </w:rPr>
                    <w:t>7664-38-2</w:t>
                  </w:r>
                </w:p>
              </w:tc>
              <w:tc>
                <w:tcPr>
                  <w:tcW w:w="1921" w:type="dxa"/>
                  <w:tcBorders>
                    <w:top w:val="single" w:color="auto" w:sz="6" w:space="0"/>
                    <w:left w:val="single" w:color="auto" w:sz="6" w:space="0"/>
                    <w:bottom w:val="single" w:color="auto" w:sz="6" w:space="0"/>
                    <w:right w:val="single" w:color="auto" w:sz="6" w:space="0"/>
                  </w:tcBorders>
                  <w:vAlign w:val="center"/>
                </w:tcPr>
                <w:p w14:paraId="1DD1C5C3">
                  <w:pPr>
                    <w:pStyle w:val="154"/>
                    <w:rPr>
                      <w:sz w:val="21"/>
                      <w:szCs w:val="21"/>
                    </w:rPr>
                  </w:pPr>
                  <w:r>
                    <w:rPr>
                      <w:rFonts w:hint="eastAsia"/>
                      <w:sz w:val="21"/>
                      <w:szCs w:val="21"/>
                    </w:rPr>
                    <w:t>0.02</w:t>
                  </w:r>
                </w:p>
              </w:tc>
              <w:tc>
                <w:tcPr>
                  <w:tcW w:w="1615" w:type="dxa"/>
                  <w:tcBorders>
                    <w:top w:val="single" w:color="auto" w:sz="6" w:space="0"/>
                    <w:left w:val="single" w:color="auto" w:sz="6" w:space="0"/>
                    <w:bottom w:val="single" w:color="auto" w:sz="6" w:space="0"/>
                    <w:right w:val="single" w:color="auto" w:sz="6" w:space="0"/>
                  </w:tcBorders>
                  <w:vAlign w:val="center"/>
                </w:tcPr>
                <w:p w14:paraId="437642F6">
                  <w:pPr>
                    <w:pStyle w:val="154"/>
                    <w:rPr>
                      <w:sz w:val="21"/>
                      <w:szCs w:val="21"/>
                    </w:rPr>
                  </w:pPr>
                  <w:r>
                    <w:rPr>
                      <w:rFonts w:hint="eastAsia"/>
                      <w:sz w:val="21"/>
                      <w:szCs w:val="21"/>
                    </w:rPr>
                    <w:t>10</w:t>
                  </w:r>
                </w:p>
              </w:tc>
              <w:tc>
                <w:tcPr>
                  <w:tcW w:w="1482" w:type="dxa"/>
                  <w:tcBorders>
                    <w:top w:val="single" w:color="auto" w:sz="6" w:space="0"/>
                    <w:left w:val="single" w:color="auto" w:sz="6" w:space="0"/>
                    <w:bottom w:val="single" w:color="auto" w:sz="6" w:space="0"/>
                    <w:right w:val="single" w:color="auto" w:sz="12" w:space="0"/>
                  </w:tcBorders>
                  <w:vAlign w:val="center"/>
                </w:tcPr>
                <w:p w14:paraId="2763F592">
                  <w:pPr>
                    <w:pStyle w:val="154"/>
                    <w:rPr>
                      <w:sz w:val="21"/>
                      <w:szCs w:val="21"/>
                    </w:rPr>
                  </w:pPr>
                  <w:r>
                    <w:rPr>
                      <w:rFonts w:hint="eastAsia"/>
                      <w:sz w:val="21"/>
                      <w:szCs w:val="21"/>
                    </w:rPr>
                    <w:t>0.002</w:t>
                  </w:r>
                </w:p>
              </w:tc>
            </w:tr>
            <w:tr w14:paraId="063DE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26" w:type="dxa"/>
                  <w:tcBorders>
                    <w:top w:val="single" w:color="auto" w:sz="6" w:space="0"/>
                    <w:left w:val="single" w:color="auto" w:sz="12" w:space="0"/>
                    <w:bottom w:val="single" w:color="auto" w:sz="6" w:space="0"/>
                    <w:right w:val="single" w:color="auto" w:sz="6" w:space="0"/>
                  </w:tcBorders>
                  <w:vAlign w:val="center"/>
                </w:tcPr>
                <w:p w14:paraId="00471A4A">
                  <w:pPr>
                    <w:pStyle w:val="154"/>
                    <w:rPr>
                      <w:sz w:val="21"/>
                      <w:szCs w:val="21"/>
                    </w:rPr>
                  </w:pPr>
                  <w:r>
                    <w:rPr>
                      <w:rFonts w:hint="eastAsia"/>
                      <w:sz w:val="21"/>
                      <w:szCs w:val="21"/>
                    </w:rPr>
                    <w:t>3</w:t>
                  </w:r>
                </w:p>
              </w:tc>
              <w:tc>
                <w:tcPr>
                  <w:tcW w:w="1850" w:type="dxa"/>
                  <w:tcBorders>
                    <w:top w:val="single" w:color="auto" w:sz="6" w:space="0"/>
                    <w:left w:val="single" w:color="auto" w:sz="6" w:space="0"/>
                    <w:bottom w:val="single" w:color="auto" w:sz="6" w:space="0"/>
                    <w:right w:val="single" w:color="auto" w:sz="6" w:space="0"/>
                  </w:tcBorders>
                  <w:vAlign w:val="center"/>
                </w:tcPr>
                <w:p w14:paraId="5161B328">
                  <w:pPr>
                    <w:pStyle w:val="154"/>
                    <w:rPr>
                      <w:sz w:val="21"/>
                      <w:szCs w:val="21"/>
                    </w:rPr>
                  </w:pPr>
                  <w:r>
                    <w:rPr>
                      <w:sz w:val="21"/>
                      <w:szCs w:val="21"/>
                    </w:rPr>
                    <w:t>废润滑油</w:t>
                  </w:r>
                </w:p>
              </w:tc>
              <w:tc>
                <w:tcPr>
                  <w:tcW w:w="1239" w:type="dxa"/>
                  <w:tcBorders>
                    <w:top w:val="single" w:color="auto" w:sz="6" w:space="0"/>
                    <w:left w:val="single" w:color="auto" w:sz="6" w:space="0"/>
                    <w:bottom w:val="single" w:color="auto" w:sz="6" w:space="0"/>
                    <w:right w:val="single" w:color="auto" w:sz="6" w:space="0"/>
                  </w:tcBorders>
                  <w:vAlign w:val="center"/>
                </w:tcPr>
                <w:p w14:paraId="2DAD823A">
                  <w:pPr>
                    <w:pStyle w:val="154"/>
                    <w:rPr>
                      <w:sz w:val="21"/>
                      <w:szCs w:val="21"/>
                    </w:rPr>
                  </w:pPr>
                  <w:r>
                    <w:rPr>
                      <w:sz w:val="21"/>
                      <w:szCs w:val="21"/>
                    </w:rPr>
                    <w:t>/</w:t>
                  </w:r>
                </w:p>
              </w:tc>
              <w:tc>
                <w:tcPr>
                  <w:tcW w:w="1921" w:type="dxa"/>
                  <w:tcBorders>
                    <w:top w:val="single" w:color="auto" w:sz="6" w:space="0"/>
                    <w:left w:val="single" w:color="auto" w:sz="6" w:space="0"/>
                    <w:bottom w:val="single" w:color="auto" w:sz="6" w:space="0"/>
                    <w:right w:val="single" w:color="auto" w:sz="6" w:space="0"/>
                  </w:tcBorders>
                  <w:vAlign w:val="center"/>
                </w:tcPr>
                <w:p w14:paraId="0C5EEA60">
                  <w:pPr>
                    <w:pStyle w:val="154"/>
                    <w:rPr>
                      <w:sz w:val="21"/>
                      <w:szCs w:val="21"/>
                    </w:rPr>
                  </w:pPr>
                  <w:r>
                    <w:rPr>
                      <w:sz w:val="21"/>
                      <w:szCs w:val="21"/>
                    </w:rPr>
                    <w:t>0.</w:t>
                  </w:r>
                  <w:r>
                    <w:rPr>
                      <w:rFonts w:hint="eastAsia"/>
                      <w:sz w:val="21"/>
                      <w:szCs w:val="21"/>
                    </w:rPr>
                    <w:t>06</w:t>
                  </w:r>
                </w:p>
              </w:tc>
              <w:tc>
                <w:tcPr>
                  <w:tcW w:w="1615" w:type="dxa"/>
                  <w:tcBorders>
                    <w:top w:val="single" w:color="auto" w:sz="6" w:space="0"/>
                    <w:left w:val="single" w:color="auto" w:sz="6" w:space="0"/>
                    <w:bottom w:val="single" w:color="auto" w:sz="6" w:space="0"/>
                    <w:right w:val="single" w:color="auto" w:sz="6" w:space="0"/>
                  </w:tcBorders>
                  <w:vAlign w:val="center"/>
                </w:tcPr>
                <w:p w14:paraId="3205F0DE">
                  <w:pPr>
                    <w:pStyle w:val="154"/>
                    <w:rPr>
                      <w:sz w:val="21"/>
                      <w:szCs w:val="21"/>
                    </w:rPr>
                  </w:pPr>
                  <w:r>
                    <w:rPr>
                      <w:sz w:val="21"/>
                      <w:szCs w:val="21"/>
                    </w:rPr>
                    <w:t>2500</w:t>
                  </w:r>
                </w:p>
              </w:tc>
              <w:tc>
                <w:tcPr>
                  <w:tcW w:w="1482" w:type="dxa"/>
                  <w:tcBorders>
                    <w:top w:val="single" w:color="auto" w:sz="6" w:space="0"/>
                    <w:left w:val="single" w:color="auto" w:sz="6" w:space="0"/>
                    <w:bottom w:val="single" w:color="auto" w:sz="6" w:space="0"/>
                    <w:right w:val="single" w:color="auto" w:sz="12" w:space="0"/>
                  </w:tcBorders>
                  <w:vAlign w:val="center"/>
                </w:tcPr>
                <w:p w14:paraId="7643831B">
                  <w:pPr>
                    <w:pStyle w:val="154"/>
                    <w:rPr>
                      <w:sz w:val="21"/>
                      <w:szCs w:val="21"/>
                    </w:rPr>
                  </w:pPr>
                  <w:r>
                    <w:rPr>
                      <w:sz w:val="21"/>
                      <w:szCs w:val="21"/>
                    </w:rPr>
                    <w:t>0.0000</w:t>
                  </w:r>
                  <w:r>
                    <w:rPr>
                      <w:rFonts w:hint="eastAsia"/>
                      <w:sz w:val="21"/>
                      <w:szCs w:val="21"/>
                    </w:rPr>
                    <w:t>24</w:t>
                  </w:r>
                </w:p>
              </w:tc>
            </w:tr>
            <w:tr w14:paraId="13674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26" w:type="dxa"/>
                  <w:tcBorders>
                    <w:top w:val="single" w:color="auto" w:sz="6" w:space="0"/>
                    <w:left w:val="single" w:color="auto" w:sz="12" w:space="0"/>
                    <w:bottom w:val="single" w:color="auto" w:sz="6" w:space="0"/>
                    <w:right w:val="single" w:color="auto" w:sz="6" w:space="0"/>
                  </w:tcBorders>
                  <w:vAlign w:val="center"/>
                </w:tcPr>
                <w:p w14:paraId="0E60200F">
                  <w:pPr>
                    <w:pStyle w:val="154"/>
                    <w:rPr>
                      <w:sz w:val="21"/>
                      <w:szCs w:val="21"/>
                    </w:rPr>
                  </w:pPr>
                  <w:r>
                    <w:rPr>
                      <w:rFonts w:hint="eastAsia"/>
                      <w:sz w:val="21"/>
                      <w:szCs w:val="21"/>
                    </w:rPr>
                    <w:t>4</w:t>
                  </w:r>
                </w:p>
              </w:tc>
              <w:tc>
                <w:tcPr>
                  <w:tcW w:w="1850" w:type="dxa"/>
                  <w:tcBorders>
                    <w:top w:val="single" w:color="auto" w:sz="6" w:space="0"/>
                    <w:left w:val="single" w:color="auto" w:sz="6" w:space="0"/>
                    <w:bottom w:val="single" w:color="auto" w:sz="6" w:space="0"/>
                    <w:right w:val="single" w:color="auto" w:sz="6" w:space="0"/>
                  </w:tcBorders>
                </w:tcPr>
                <w:p w14:paraId="1BFBEFEA">
                  <w:pPr>
                    <w:pStyle w:val="154"/>
                    <w:rPr>
                      <w:sz w:val="21"/>
                      <w:szCs w:val="21"/>
                    </w:rPr>
                  </w:pPr>
                  <w:r>
                    <w:rPr>
                      <w:sz w:val="21"/>
                      <w:szCs w:val="21"/>
                    </w:rPr>
                    <w:t>废液压油</w:t>
                  </w:r>
                </w:p>
              </w:tc>
              <w:tc>
                <w:tcPr>
                  <w:tcW w:w="1239" w:type="dxa"/>
                  <w:tcBorders>
                    <w:top w:val="single" w:color="auto" w:sz="6" w:space="0"/>
                    <w:left w:val="single" w:color="auto" w:sz="6" w:space="0"/>
                    <w:bottom w:val="single" w:color="auto" w:sz="6" w:space="0"/>
                    <w:right w:val="single" w:color="auto" w:sz="6" w:space="0"/>
                  </w:tcBorders>
                  <w:vAlign w:val="center"/>
                </w:tcPr>
                <w:p w14:paraId="0DFFEAFE">
                  <w:pPr>
                    <w:pStyle w:val="154"/>
                    <w:rPr>
                      <w:sz w:val="21"/>
                      <w:szCs w:val="21"/>
                    </w:rPr>
                  </w:pPr>
                  <w:r>
                    <w:rPr>
                      <w:sz w:val="21"/>
                      <w:szCs w:val="21"/>
                    </w:rPr>
                    <w:t>/</w:t>
                  </w:r>
                </w:p>
              </w:tc>
              <w:tc>
                <w:tcPr>
                  <w:tcW w:w="1921" w:type="dxa"/>
                  <w:tcBorders>
                    <w:top w:val="single" w:color="auto" w:sz="6" w:space="0"/>
                    <w:left w:val="single" w:color="auto" w:sz="6" w:space="0"/>
                    <w:bottom w:val="single" w:color="auto" w:sz="6" w:space="0"/>
                    <w:right w:val="single" w:color="auto" w:sz="6" w:space="0"/>
                  </w:tcBorders>
                  <w:vAlign w:val="center"/>
                </w:tcPr>
                <w:p w14:paraId="548A2825">
                  <w:pPr>
                    <w:pStyle w:val="154"/>
                    <w:rPr>
                      <w:sz w:val="21"/>
                      <w:szCs w:val="21"/>
                    </w:rPr>
                  </w:pPr>
                  <w:r>
                    <w:rPr>
                      <w:sz w:val="21"/>
                      <w:szCs w:val="21"/>
                    </w:rPr>
                    <w:t>0.05</w:t>
                  </w:r>
                </w:p>
              </w:tc>
              <w:tc>
                <w:tcPr>
                  <w:tcW w:w="1615" w:type="dxa"/>
                  <w:tcBorders>
                    <w:top w:val="single" w:color="auto" w:sz="6" w:space="0"/>
                    <w:left w:val="single" w:color="auto" w:sz="6" w:space="0"/>
                    <w:bottom w:val="single" w:color="auto" w:sz="6" w:space="0"/>
                    <w:right w:val="single" w:color="auto" w:sz="6" w:space="0"/>
                  </w:tcBorders>
                  <w:vAlign w:val="center"/>
                </w:tcPr>
                <w:p w14:paraId="6C02830F">
                  <w:pPr>
                    <w:pStyle w:val="154"/>
                    <w:rPr>
                      <w:sz w:val="21"/>
                      <w:szCs w:val="21"/>
                    </w:rPr>
                  </w:pPr>
                  <w:r>
                    <w:rPr>
                      <w:sz w:val="21"/>
                      <w:szCs w:val="21"/>
                    </w:rPr>
                    <w:t>2500</w:t>
                  </w:r>
                </w:p>
              </w:tc>
              <w:tc>
                <w:tcPr>
                  <w:tcW w:w="1482" w:type="dxa"/>
                  <w:tcBorders>
                    <w:top w:val="single" w:color="auto" w:sz="6" w:space="0"/>
                    <w:left w:val="single" w:color="auto" w:sz="6" w:space="0"/>
                    <w:bottom w:val="single" w:color="auto" w:sz="6" w:space="0"/>
                    <w:right w:val="single" w:color="auto" w:sz="12" w:space="0"/>
                  </w:tcBorders>
                  <w:vAlign w:val="center"/>
                </w:tcPr>
                <w:p w14:paraId="2F799EA2">
                  <w:pPr>
                    <w:pStyle w:val="154"/>
                    <w:rPr>
                      <w:sz w:val="21"/>
                      <w:szCs w:val="21"/>
                    </w:rPr>
                  </w:pPr>
                  <w:r>
                    <w:rPr>
                      <w:sz w:val="21"/>
                      <w:szCs w:val="21"/>
                    </w:rPr>
                    <w:t>0.0000</w:t>
                  </w:r>
                  <w:r>
                    <w:rPr>
                      <w:rFonts w:hint="eastAsia"/>
                      <w:sz w:val="21"/>
                      <w:szCs w:val="21"/>
                    </w:rPr>
                    <w:t>2</w:t>
                  </w:r>
                </w:p>
              </w:tc>
            </w:tr>
            <w:tr w14:paraId="431C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26" w:type="dxa"/>
                  <w:tcBorders>
                    <w:top w:val="single" w:color="auto" w:sz="6" w:space="0"/>
                    <w:left w:val="single" w:color="auto" w:sz="12" w:space="0"/>
                    <w:bottom w:val="single" w:color="auto" w:sz="6" w:space="0"/>
                    <w:right w:val="single" w:color="auto" w:sz="6" w:space="0"/>
                  </w:tcBorders>
                  <w:vAlign w:val="center"/>
                </w:tcPr>
                <w:p w14:paraId="4B26025B">
                  <w:pPr>
                    <w:pStyle w:val="154"/>
                    <w:rPr>
                      <w:sz w:val="21"/>
                      <w:szCs w:val="21"/>
                    </w:rPr>
                  </w:pPr>
                  <w:r>
                    <w:rPr>
                      <w:rFonts w:hint="eastAsia"/>
                      <w:sz w:val="21"/>
                      <w:szCs w:val="21"/>
                    </w:rPr>
                    <w:t>5</w:t>
                  </w:r>
                </w:p>
              </w:tc>
              <w:tc>
                <w:tcPr>
                  <w:tcW w:w="1850" w:type="dxa"/>
                  <w:tcBorders>
                    <w:top w:val="single" w:color="auto" w:sz="6" w:space="0"/>
                    <w:left w:val="single" w:color="auto" w:sz="6" w:space="0"/>
                    <w:bottom w:val="single" w:color="auto" w:sz="6" w:space="0"/>
                    <w:right w:val="single" w:color="auto" w:sz="6" w:space="0"/>
                  </w:tcBorders>
                </w:tcPr>
                <w:p w14:paraId="2ABDE163">
                  <w:pPr>
                    <w:pStyle w:val="154"/>
                    <w:rPr>
                      <w:sz w:val="21"/>
                      <w:szCs w:val="21"/>
                    </w:rPr>
                  </w:pPr>
                  <w:r>
                    <w:rPr>
                      <w:rFonts w:hint="eastAsia"/>
                      <w:sz w:val="21"/>
                      <w:szCs w:val="21"/>
                    </w:rPr>
                    <w:t>二丁酯</w:t>
                  </w:r>
                </w:p>
              </w:tc>
              <w:tc>
                <w:tcPr>
                  <w:tcW w:w="1239" w:type="dxa"/>
                  <w:tcBorders>
                    <w:top w:val="single" w:color="auto" w:sz="6" w:space="0"/>
                    <w:left w:val="single" w:color="auto" w:sz="6" w:space="0"/>
                    <w:bottom w:val="single" w:color="auto" w:sz="6" w:space="0"/>
                    <w:right w:val="single" w:color="auto" w:sz="6" w:space="0"/>
                  </w:tcBorders>
                  <w:vAlign w:val="center"/>
                </w:tcPr>
                <w:p w14:paraId="792A427A">
                  <w:pPr>
                    <w:pStyle w:val="154"/>
                    <w:rPr>
                      <w:sz w:val="21"/>
                      <w:szCs w:val="21"/>
                    </w:rPr>
                  </w:pPr>
                  <w:r>
                    <w:rPr>
                      <w:rFonts w:hint="eastAsia"/>
                      <w:sz w:val="21"/>
                      <w:szCs w:val="21"/>
                    </w:rPr>
                    <w:t>84-74-2</w:t>
                  </w:r>
                </w:p>
              </w:tc>
              <w:tc>
                <w:tcPr>
                  <w:tcW w:w="1921" w:type="dxa"/>
                  <w:tcBorders>
                    <w:top w:val="single" w:color="auto" w:sz="6" w:space="0"/>
                    <w:left w:val="single" w:color="auto" w:sz="6" w:space="0"/>
                    <w:bottom w:val="single" w:color="auto" w:sz="6" w:space="0"/>
                    <w:right w:val="single" w:color="auto" w:sz="6" w:space="0"/>
                  </w:tcBorders>
                  <w:vAlign w:val="center"/>
                </w:tcPr>
                <w:p w14:paraId="5750D520">
                  <w:pPr>
                    <w:pStyle w:val="154"/>
                    <w:rPr>
                      <w:sz w:val="21"/>
                      <w:szCs w:val="21"/>
                    </w:rPr>
                  </w:pPr>
                  <w:r>
                    <w:rPr>
                      <w:rFonts w:hint="eastAsia"/>
                      <w:sz w:val="21"/>
                      <w:szCs w:val="21"/>
                    </w:rPr>
                    <w:t>3.0</w:t>
                  </w:r>
                </w:p>
              </w:tc>
              <w:tc>
                <w:tcPr>
                  <w:tcW w:w="1615" w:type="dxa"/>
                  <w:tcBorders>
                    <w:top w:val="single" w:color="auto" w:sz="6" w:space="0"/>
                    <w:left w:val="single" w:color="auto" w:sz="6" w:space="0"/>
                    <w:bottom w:val="single" w:color="auto" w:sz="6" w:space="0"/>
                    <w:right w:val="single" w:color="auto" w:sz="6" w:space="0"/>
                  </w:tcBorders>
                  <w:vAlign w:val="center"/>
                </w:tcPr>
                <w:p w14:paraId="7AF1ACCA">
                  <w:pPr>
                    <w:pStyle w:val="154"/>
                    <w:rPr>
                      <w:sz w:val="21"/>
                      <w:szCs w:val="21"/>
                    </w:rPr>
                  </w:pPr>
                  <w:r>
                    <w:rPr>
                      <w:rFonts w:hint="eastAsia"/>
                      <w:sz w:val="21"/>
                      <w:szCs w:val="21"/>
                    </w:rPr>
                    <w:t>10</w:t>
                  </w:r>
                </w:p>
              </w:tc>
              <w:tc>
                <w:tcPr>
                  <w:tcW w:w="1482" w:type="dxa"/>
                  <w:tcBorders>
                    <w:top w:val="single" w:color="auto" w:sz="6" w:space="0"/>
                    <w:left w:val="single" w:color="auto" w:sz="6" w:space="0"/>
                    <w:bottom w:val="single" w:color="auto" w:sz="6" w:space="0"/>
                    <w:right w:val="single" w:color="auto" w:sz="12" w:space="0"/>
                  </w:tcBorders>
                  <w:vAlign w:val="center"/>
                </w:tcPr>
                <w:p w14:paraId="12B05316">
                  <w:pPr>
                    <w:pStyle w:val="154"/>
                    <w:rPr>
                      <w:sz w:val="21"/>
                      <w:szCs w:val="21"/>
                    </w:rPr>
                  </w:pPr>
                  <w:r>
                    <w:rPr>
                      <w:rFonts w:hint="eastAsia"/>
                      <w:sz w:val="21"/>
                      <w:szCs w:val="21"/>
                    </w:rPr>
                    <w:t>0.3</w:t>
                  </w:r>
                </w:p>
              </w:tc>
            </w:tr>
            <w:tr w14:paraId="1BF89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351" w:type="dxa"/>
                  <w:gridSpan w:val="5"/>
                  <w:tcBorders>
                    <w:top w:val="single" w:color="auto" w:sz="6" w:space="0"/>
                    <w:left w:val="single" w:color="auto" w:sz="12" w:space="0"/>
                    <w:bottom w:val="single" w:color="auto" w:sz="12" w:space="0"/>
                    <w:right w:val="single" w:color="auto" w:sz="6" w:space="0"/>
                  </w:tcBorders>
                </w:tcPr>
                <w:p w14:paraId="2C421373">
                  <w:pPr>
                    <w:pStyle w:val="154"/>
                    <w:rPr>
                      <w:sz w:val="21"/>
                      <w:szCs w:val="21"/>
                    </w:rPr>
                  </w:pPr>
                  <w:r>
                    <w:rPr>
                      <w:sz w:val="21"/>
                      <w:szCs w:val="21"/>
                    </w:rPr>
                    <w:t>项目Q值Σ</w:t>
                  </w:r>
                </w:p>
              </w:tc>
              <w:tc>
                <w:tcPr>
                  <w:tcW w:w="1482" w:type="dxa"/>
                  <w:tcBorders>
                    <w:top w:val="single" w:color="auto" w:sz="6" w:space="0"/>
                    <w:left w:val="single" w:color="auto" w:sz="6" w:space="0"/>
                    <w:bottom w:val="single" w:color="auto" w:sz="12" w:space="0"/>
                    <w:right w:val="single" w:color="auto" w:sz="12" w:space="0"/>
                  </w:tcBorders>
                </w:tcPr>
                <w:p w14:paraId="13F26C7B">
                  <w:pPr>
                    <w:pStyle w:val="154"/>
                    <w:rPr>
                      <w:sz w:val="21"/>
                      <w:szCs w:val="21"/>
                    </w:rPr>
                  </w:pPr>
                  <w:r>
                    <w:rPr>
                      <w:sz w:val="21"/>
                      <w:szCs w:val="21"/>
                    </w:rPr>
                    <w:t>0.</w:t>
                  </w:r>
                  <w:r>
                    <w:rPr>
                      <w:rFonts w:hint="eastAsia"/>
                      <w:sz w:val="21"/>
                      <w:szCs w:val="21"/>
                    </w:rPr>
                    <w:t>5</w:t>
                  </w:r>
                  <w:r>
                    <w:rPr>
                      <w:sz w:val="21"/>
                      <w:szCs w:val="21"/>
                    </w:rPr>
                    <w:t>0</w:t>
                  </w:r>
                  <w:r>
                    <w:rPr>
                      <w:rFonts w:hint="eastAsia"/>
                      <w:sz w:val="21"/>
                      <w:szCs w:val="21"/>
                    </w:rPr>
                    <w:t>20</w:t>
                  </w:r>
                </w:p>
              </w:tc>
            </w:tr>
          </w:tbl>
          <w:p w14:paraId="77412487">
            <w:pPr>
              <w:pStyle w:val="156"/>
              <w:ind w:firstLine="480"/>
              <w:rPr>
                <w:rFonts w:eastAsia="宋体" w:cs="Times New Roman"/>
              </w:rPr>
            </w:pPr>
            <w:r>
              <w:rPr>
                <w:rFonts w:eastAsia="宋体" w:cs="Times New Roman"/>
              </w:rPr>
              <w:t>Q=</w:t>
            </w:r>
            <w:r>
              <w:rPr>
                <w:rFonts w:eastAsia="宋体"/>
              </w:rPr>
              <w:t>0.</w:t>
            </w:r>
            <w:r>
              <w:rPr>
                <w:rFonts w:hint="eastAsia" w:eastAsia="宋体"/>
              </w:rPr>
              <w:t>5020</w:t>
            </w:r>
            <w:r>
              <w:rPr>
                <w:rFonts w:eastAsia="宋体" w:cs="Times New Roman"/>
              </w:rPr>
              <w:t>＜1。</w:t>
            </w:r>
          </w:p>
          <w:p w14:paraId="5EF9259C">
            <w:pPr>
              <w:pStyle w:val="179"/>
            </w:pPr>
            <w:r>
              <w:t>6.3 可能的影响途径</w:t>
            </w:r>
          </w:p>
          <w:p w14:paraId="511E40D5">
            <w:pPr>
              <w:pStyle w:val="156"/>
              <w:ind w:firstLine="480"/>
              <w:rPr>
                <w:rFonts w:eastAsia="宋体" w:cs="Times New Roman"/>
              </w:rPr>
            </w:pPr>
            <w:r>
              <w:rPr>
                <w:rFonts w:eastAsia="宋体" w:cs="Times New Roman"/>
              </w:rPr>
              <w:t>本项目主要影响途径为油类物质在储存过程中发生泄漏，引发火灾、爆炸，会污染大气环境，并危害周围人群和动植物。</w:t>
            </w:r>
          </w:p>
          <w:p w14:paraId="04EE18A0">
            <w:pPr>
              <w:pStyle w:val="179"/>
            </w:pPr>
            <w:r>
              <w:t>6.4 环境风险防范措施</w:t>
            </w:r>
          </w:p>
          <w:p w14:paraId="77E5D5D9">
            <w:pPr>
              <w:pStyle w:val="156"/>
              <w:ind w:firstLine="480"/>
              <w:rPr>
                <w:rFonts w:eastAsia="宋体" w:cs="Times New Roman"/>
              </w:rPr>
            </w:pPr>
            <w:r>
              <w:rPr>
                <w:rFonts w:hint="eastAsia" w:eastAsia="宋体" w:cs="宋体"/>
              </w:rPr>
              <w:t>①</w:t>
            </w:r>
            <w:r>
              <w:rPr>
                <w:rFonts w:hint="eastAsia" w:eastAsia="宋体" w:cs="Times New Roman"/>
              </w:rPr>
              <w:t>二丁酯、油类物质</w:t>
            </w:r>
            <w:r>
              <w:rPr>
                <w:rFonts w:eastAsia="宋体" w:cs="Times New Roman"/>
              </w:rPr>
              <w:t>入库前须进行严格检验数量、质量、包装情况、是否泄漏；遵守各项规章制度和操作规程，严格执行岗位责任制，加强培训教育和考核工作。</w:t>
            </w:r>
          </w:p>
          <w:p w14:paraId="4EDAD9BE">
            <w:pPr>
              <w:pStyle w:val="156"/>
              <w:ind w:firstLine="480"/>
              <w:rPr>
                <w:rFonts w:eastAsia="宋体" w:cs="Times New Roman"/>
              </w:rPr>
            </w:pPr>
            <w:r>
              <w:rPr>
                <w:rFonts w:hint="eastAsia" w:eastAsia="宋体" w:cs="宋体"/>
              </w:rPr>
              <w:t>②</w:t>
            </w:r>
            <w:r>
              <w:rPr>
                <w:rFonts w:hint="eastAsia" w:eastAsia="宋体"/>
              </w:rPr>
              <w:t>设置原料库，将</w:t>
            </w:r>
            <w:r>
              <w:rPr>
                <w:rFonts w:eastAsia="宋体"/>
              </w:rPr>
              <w:t>PU</w:t>
            </w:r>
            <w:r>
              <w:rPr>
                <w:rFonts w:hint="eastAsia" w:eastAsia="宋体"/>
              </w:rPr>
              <w:t>鞋底料（聚氨酯</w:t>
            </w:r>
            <w:r>
              <w:rPr>
                <w:rFonts w:eastAsia="宋体"/>
              </w:rPr>
              <w:t>A</w:t>
            </w:r>
            <w:r>
              <w:rPr>
                <w:rFonts w:hint="eastAsia" w:eastAsia="宋体"/>
              </w:rPr>
              <w:t>料、</w:t>
            </w:r>
            <w:r>
              <w:rPr>
                <w:rFonts w:eastAsia="宋体"/>
              </w:rPr>
              <w:t>B</w:t>
            </w:r>
            <w:r>
              <w:rPr>
                <w:rFonts w:hint="eastAsia" w:eastAsia="宋体"/>
              </w:rPr>
              <w:t>料、</w:t>
            </w:r>
            <w:r>
              <w:rPr>
                <w:rFonts w:eastAsia="宋体"/>
              </w:rPr>
              <w:t>C</w:t>
            </w:r>
            <w:r>
              <w:rPr>
                <w:rFonts w:hint="eastAsia" w:eastAsia="宋体"/>
              </w:rPr>
              <w:t>料、色浆、水性脱模剂等液体料）、</w:t>
            </w:r>
            <w:r>
              <w:rPr>
                <w:rFonts w:hint="eastAsia" w:eastAsia="宋体" w:cs="Times New Roman"/>
              </w:rPr>
              <w:t>二丁酯</w:t>
            </w:r>
            <w:r>
              <w:rPr>
                <w:rFonts w:hint="eastAsia" w:eastAsia="宋体"/>
              </w:rPr>
              <w:t>储存至原料库内，原料库涂刷防渗层、四周设置围堰（围堰高</w:t>
            </w:r>
            <w:r>
              <w:rPr>
                <w:rFonts w:eastAsia="宋体"/>
              </w:rPr>
              <w:t>20cm</w:t>
            </w:r>
            <w:r>
              <w:rPr>
                <w:rFonts w:hint="eastAsia" w:eastAsia="宋体"/>
              </w:rPr>
              <w:t>）。</w:t>
            </w:r>
          </w:p>
          <w:p w14:paraId="644F9E79">
            <w:pPr>
              <w:pStyle w:val="156"/>
              <w:ind w:firstLine="480"/>
              <w:rPr>
                <w:rFonts w:eastAsia="宋体" w:cs="Times New Roman"/>
              </w:rPr>
            </w:pPr>
            <w:r>
              <w:rPr>
                <w:rFonts w:hint="eastAsia" w:eastAsia="宋体" w:cs="宋体"/>
              </w:rPr>
              <w:t>③</w:t>
            </w:r>
            <w:r>
              <w:rPr>
                <w:rFonts w:eastAsia="宋体" w:cs="Times New Roman"/>
              </w:rPr>
              <w:t>危废暂存间涂刷防渗层，四周设置围堰（围堰高20cm）。</w:t>
            </w:r>
          </w:p>
          <w:p w14:paraId="35453E50">
            <w:pPr>
              <w:pStyle w:val="156"/>
              <w:ind w:firstLine="480"/>
              <w:rPr>
                <w:rFonts w:eastAsia="宋体" w:cs="Times New Roman"/>
              </w:rPr>
            </w:pPr>
            <w:r>
              <w:rPr>
                <w:rFonts w:hint="eastAsia" w:eastAsia="宋体" w:cs="Times New Roman"/>
              </w:rPr>
              <w:t>④</w:t>
            </w:r>
            <w:r>
              <w:rPr>
                <w:rFonts w:eastAsia="宋体" w:cs="Times New Roman"/>
              </w:rPr>
              <w:t>厂区严禁明火，应配置足量的相应灭火设备，定期检查灭火状态及其有效期等。</w:t>
            </w:r>
          </w:p>
          <w:p w14:paraId="52E58A4C">
            <w:pPr>
              <w:pStyle w:val="157"/>
            </w:pPr>
            <w:r>
              <w:t>7、环保投资估算</w:t>
            </w:r>
          </w:p>
          <w:p w14:paraId="49071506">
            <w:pPr>
              <w:pStyle w:val="156"/>
              <w:ind w:firstLine="480"/>
              <w:rPr>
                <w:rFonts w:eastAsia="宋体" w:cs="Times New Roman"/>
              </w:rPr>
            </w:pPr>
            <w:r>
              <w:rPr>
                <w:rFonts w:eastAsia="宋体" w:cs="Times New Roman"/>
              </w:rPr>
              <w:t>本项目总投资</w:t>
            </w:r>
            <w:r>
              <w:rPr>
                <w:rFonts w:hint="eastAsia" w:eastAsia="宋体" w:cs="Times New Roman"/>
              </w:rPr>
              <w:t>100</w:t>
            </w:r>
            <w:r>
              <w:rPr>
                <w:rFonts w:eastAsia="宋体" w:cs="Times New Roman"/>
              </w:rPr>
              <w:t>万元，其中环保投资</w:t>
            </w:r>
            <w:r>
              <w:rPr>
                <w:rFonts w:hint="eastAsia" w:eastAsia="宋体" w:cs="Times New Roman"/>
              </w:rPr>
              <w:t>12</w:t>
            </w:r>
            <w:r>
              <w:rPr>
                <w:rFonts w:eastAsia="宋体" w:cs="Times New Roman"/>
              </w:rPr>
              <w:t>万元，环保投资占总投资的</w:t>
            </w:r>
            <w:r>
              <w:rPr>
                <w:rFonts w:hint="eastAsia" w:eastAsia="宋体" w:cs="Times New Roman"/>
              </w:rPr>
              <w:t>12</w:t>
            </w:r>
            <w:r>
              <w:rPr>
                <w:rFonts w:eastAsia="宋体" w:cs="Times New Roman"/>
              </w:rPr>
              <w:t>%。环保投资估算明细表见下表。</w:t>
            </w:r>
          </w:p>
          <w:p w14:paraId="593DA822">
            <w:pPr>
              <w:pStyle w:val="182"/>
              <w:ind w:firstLine="480"/>
            </w:pPr>
            <w:r>
              <w:t>表4-</w:t>
            </w:r>
            <w:r>
              <w:rPr>
                <w:rFonts w:hint="eastAsia"/>
              </w:rPr>
              <w:t>26</w:t>
            </w:r>
            <w:r>
              <w:t xml:space="preserve">         项目拟采取的环保措施及投资一览表</w:t>
            </w:r>
          </w:p>
          <w:tbl>
            <w:tblPr>
              <w:tblStyle w:val="88"/>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591"/>
              <w:gridCol w:w="992"/>
              <w:gridCol w:w="6239"/>
              <w:gridCol w:w="1011"/>
            </w:tblGrid>
            <w:tr w14:paraId="0C14D9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91" w:type="dxa"/>
                  <w:vAlign w:val="center"/>
                </w:tcPr>
                <w:p w14:paraId="66BE7F99">
                  <w:pPr>
                    <w:pStyle w:val="154"/>
                    <w:rPr>
                      <w:sz w:val="21"/>
                      <w:szCs w:val="21"/>
                    </w:rPr>
                  </w:pPr>
                  <w:r>
                    <w:rPr>
                      <w:sz w:val="21"/>
                      <w:szCs w:val="21"/>
                    </w:rPr>
                    <w:t>污染要素</w:t>
                  </w:r>
                </w:p>
              </w:tc>
              <w:tc>
                <w:tcPr>
                  <w:tcW w:w="992" w:type="dxa"/>
                  <w:vAlign w:val="center"/>
                </w:tcPr>
                <w:p w14:paraId="057C932F">
                  <w:pPr>
                    <w:pStyle w:val="154"/>
                    <w:rPr>
                      <w:sz w:val="21"/>
                      <w:szCs w:val="21"/>
                    </w:rPr>
                  </w:pPr>
                  <w:r>
                    <w:rPr>
                      <w:sz w:val="21"/>
                      <w:szCs w:val="21"/>
                    </w:rPr>
                    <w:t>产污环节</w:t>
                  </w:r>
                </w:p>
              </w:tc>
              <w:tc>
                <w:tcPr>
                  <w:tcW w:w="6239" w:type="dxa"/>
                  <w:vAlign w:val="center"/>
                </w:tcPr>
                <w:p w14:paraId="3A240A56">
                  <w:pPr>
                    <w:pStyle w:val="154"/>
                    <w:rPr>
                      <w:sz w:val="21"/>
                      <w:szCs w:val="21"/>
                    </w:rPr>
                  </w:pPr>
                  <w:r>
                    <w:rPr>
                      <w:sz w:val="21"/>
                      <w:szCs w:val="21"/>
                    </w:rPr>
                    <w:t>环保措施</w:t>
                  </w:r>
                </w:p>
              </w:tc>
              <w:tc>
                <w:tcPr>
                  <w:tcW w:w="1011" w:type="dxa"/>
                  <w:vAlign w:val="center"/>
                </w:tcPr>
                <w:p w14:paraId="5E5230F7">
                  <w:pPr>
                    <w:pStyle w:val="154"/>
                    <w:rPr>
                      <w:sz w:val="21"/>
                      <w:szCs w:val="21"/>
                    </w:rPr>
                  </w:pPr>
                  <w:r>
                    <w:rPr>
                      <w:sz w:val="21"/>
                      <w:szCs w:val="21"/>
                    </w:rPr>
                    <w:t>投资估算</w:t>
                  </w:r>
                  <w:r>
                    <w:rPr>
                      <w:sz w:val="21"/>
                      <w:szCs w:val="21"/>
                    </w:rPr>
                    <w:br w:type="textWrapping"/>
                  </w:r>
                  <w:r>
                    <w:rPr>
                      <w:sz w:val="21"/>
                      <w:szCs w:val="21"/>
                    </w:rPr>
                    <w:t>(万元)</w:t>
                  </w:r>
                </w:p>
              </w:tc>
            </w:tr>
            <w:tr w14:paraId="20AB68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2071" w:hRule="atLeast"/>
                <w:jc w:val="center"/>
              </w:trPr>
              <w:tc>
                <w:tcPr>
                  <w:tcW w:w="591" w:type="dxa"/>
                  <w:vAlign w:val="center"/>
                </w:tcPr>
                <w:p w14:paraId="24365A6D">
                  <w:pPr>
                    <w:pStyle w:val="154"/>
                    <w:rPr>
                      <w:sz w:val="21"/>
                      <w:szCs w:val="21"/>
                    </w:rPr>
                  </w:pPr>
                  <w:r>
                    <w:rPr>
                      <w:sz w:val="21"/>
                      <w:szCs w:val="21"/>
                    </w:rPr>
                    <w:t>废气</w:t>
                  </w:r>
                </w:p>
              </w:tc>
              <w:tc>
                <w:tcPr>
                  <w:tcW w:w="992" w:type="dxa"/>
                  <w:vAlign w:val="center"/>
                </w:tcPr>
                <w:p w14:paraId="04B24D8D">
                  <w:pPr>
                    <w:pStyle w:val="154"/>
                    <w:rPr>
                      <w:sz w:val="21"/>
                      <w:szCs w:val="21"/>
                    </w:rPr>
                  </w:pPr>
                  <w:r>
                    <w:rPr>
                      <w:rFonts w:hint="eastAsia"/>
                      <w:sz w:val="21"/>
                      <w:szCs w:val="21"/>
                    </w:rPr>
                    <w:t>注塑工艺生产线、聚氨酯工艺生产线、鞋面布切割工序</w:t>
                  </w:r>
                </w:p>
              </w:tc>
              <w:tc>
                <w:tcPr>
                  <w:tcW w:w="6239" w:type="dxa"/>
                  <w:vAlign w:val="center"/>
                </w:tcPr>
                <w:p w14:paraId="7569777B">
                  <w:pPr>
                    <w:pStyle w:val="154"/>
                    <w:jc w:val="left"/>
                    <w:rPr>
                      <w:sz w:val="21"/>
                      <w:szCs w:val="21"/>
                    </w:rPr>
                  </w:pPr>
                  <w:r>
                    <w:rPr>
                      <w:b/>
                      <w:sz w:val="21"/>
                      <w:szCs w:val="21"/>
                      <w:u w:val="single"/>
                    </w:rPr>
                    <w:t>注</w:t>
                  </w:r>
                  <w:r>
                    <w:rPr>
                      <w:rFonts w:hint="eastAsia"/>
                      <w:b/>
                      <w:sz w:val="21"/>
                      <w:szCs w:val="21"/>
                      <w:u w:val="single"/>
                    </w:rPr>
                    <w:t>塑工艺生产线混合搅拌、破碎过程中产生的含尘、VOCs废气</w:t>
                  </w:r>
                  <w:r>
                    <w:rPr>
                      <w:b/>
                      <w:sz w:val="21"/>
                      <w:szCs w:val="21"/>
                      <w:u w:val="single"/>
                    </w:rPr>
                    <w:t>通过1套</w:t>
                  </w:r>
                  <w:r>
                    <w:rPr>
                      <w:rFonts w:hint="eastAsia"/>
                      <w:b/>
                      <w:sz w:val="21"/>
                      <w:szCs w:val="21"/>
                      <w:u w:val="single"/>
                    </w:rPr>
                    <w:t>覆膜</w:t>
                  </w:r>
                  <w:r>
                    <w:rPr>
                      <w:b/>
                      <w:sz w:val="21"/>
                      <w:szCs w:val="21"/>
                      <w:u w:val="single"/>
                    </w:rPr>
                    <w:t>袋式除尘器</w:t>
                  </w:r>
                  <w:r>
                    <w:rPr>
                      <w:rFonts w:hint="eastAsia"/>
                      <w:b/>
                      <w:sz w:val="21"/>
                      <w:szCs w:val="21"/>
                      <w:u w:val="single"/>
                    </w:rPr>
                    <w:t>处理后，与注塑过程中产生的废气共同</w:t>
                  </w:r>
                  <w:r>
                    <w:rPr>
                      <w:b/>
                      <w:sz w:val="21"/>
                      <w:szCs w:val="21"/>
                      <w:u w:val="single"/>
                    </w:rPr>
                    <w:t>进入</w:t>
                  </w:r>
                  <w:r>
                    <w:rPr>
                      <w:rFonts w:hint="eastAsia"/>
                      <w:b/>
                      <w:sz w:val="21"/>
                      <w:szCs w:val="21"/>
                      <w:u w:val="single"/>
                    </w:rPr>
                    <w:t>主管道；聚氨酯工艺生产线过程中产生的废气进入主管道；鞋面布激光切割产生废气进入主管道；三者合并后经过1套两级活性炭吸附工艺处理通过18m高排气筒（DA001）排放。</w:t>
                  </w:r>
                </w:p>
              </w:tc>
              <w:tc>
                <w:tcPr>
                  <w:tcW w:w="1011" w:type="dxa"/>
                  <w:vAlign w:val="center"/>
                </w:tcPr>
                <w:p w14:paraId="541DAD26">
                  <w:pPr>
                    <w:pStyle w:val="154"/>
                    <w:rPr>
                      <w:sz w:val="21"/>
                      <w:szCs w:val="21"/>
                    </w:rPr>
                  </w:pPr>
                  <w:r>
                    <w:rPr>
                      <w:rFonts w:hint="eastAsia"/>
                      <w:sz w:val="21"/>
                      <w:szCs w:val="21"/>
                    </w:rPr>
                    <w:t>10</w:t>
                  </w:r>
                </w:p>
              </w:tc>
            </w:tr>
            <w:tr w14:paraId="7BEE9C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91" w:type="dxa"/>
                  <w:vAlign w:val="center"/>
                </w:tcPr>
                <w:p w14:paraId="14FDF16B">
                  <w:pPr>
                    <w:pStyle w:val="154"/>
                    <w:rPr>
                      <w:sz w:val="21"/>
                      <w:szCs w:val="21"/>
                    </w:rPr>
                  </w:pPr>
                  <w:r>
                    <w:rPr>
                      <w:sz w:val="21"/>
                      <w:szCs w:val="21"/>
                    </w:rPr>
                    <w:t>噪声</w:t>
                  </w:r>
                </w:p>
              </w:tc>
              <w:tc>
                <w:tcPr>
                  <w:tcW w:w="992" w:type="dxa"/>
                  <w:vAlign w:val="center"/>
                </w:tcPr>
                <w:p w14:paraId="76F8AADD">
                  <w:pPr>
                    <w:pStyle w:val="154"/>
                    <w:rPr>
                      <w:sz w:val="21"/>
                      <w:szCs w:val="21"/>
                    </w:rPr>
                  </w:pPr>
                  <w:r>
                    <w:rPr>
                      <w:sz w:val="21"/>
                      <w:szCs w:val="21"/>
                    </w:rPr>
                    <w:t>设备噪声</w:t>
                  </w:r>
                </w:p>
              </w:tc>
              <w:tc>
                <w:tcPr>
                  <w:tcW w:w="6239" w:type="dxa"/>
                  <w:vAlign w:val="center"/>
                </w:tcPr>
                <w:p w14:paraId="110438D8">
                  <w:pPr>
                    <w:pStyle w:val="28"/>
                    <w:rPr>
                      <w:sz w:val="21"/>
                      <w:szCs w:val="21"/>
                    </w:rPr>
                  </w:pPr>
                  <w:r>
                    <w:rPr>
                      <w:sz w:val="21"/>
                      <w:szCs w:val="21"/>
                    </w:rPr>
                    <w:t>设备基础减震，厂房隔声</w:t>
                  </w:r>
                  <w:r>
                    <w:rPr>
                      <w:rFonts w:hint="eastAsia"/>
                      <w:sz w:val="21"/>
                      <w:szCs w:val="21"/>
                    </w:rPr>
                    <w:t>。</w:t>
                  </w:r>
                </w:p>
              </w:tc>
              <w:tc>
                <w:tcPr>
                  <w:tcW w:w="1011" w:type="dxa"/>
                  <w:vAlign w:val="center"/>
                </w:tcPr>
                <w:p w14:paraId="0990F236">
                  <w:pPr>
                    <w:pStyle w:val="154"/>
                    <w:rPr>
                      <w:sz w:val="21"/>
                      <w:szCs w:val="21"/>
                    </w:rPr>
                  </w:pPr>
                  <w:r>
                    <w:rPr>
                      <w:sz w:val="21"/>
                      <w:szCs w:val="21"/>
                    </w:rPr>
                    <w:t>0</w:t>
                  </w:r>
                </w:p>
              </w:tc>
            </w:tr>
            <w:tr w14:paraId="486855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91" w:type="dxa"/>
                  <w:vMerge w:val="restart"/>
                  <w:vAlign w:val="center"/>
                </w:tcPr>
                <w:p w14:paraId="6435ECB6">
                  <w:pPr>
                    <w:pStyle w:val="154"/>
                    <w:rPr>
                      <w:sz w:val="21"/>
                      <w:szCs w:val="21"/>
                    </w:rPr>
                  </w:pPr>
                  <w:r>
                    <w:rPr>
                      <w:sz w:val="21"/>
                      <w:szCs w:val="21"/>
                    </w:rPr>
                    <w:t>污水</w:t>
                  </w:r>
                </w:p>
              </w:tc>
              <w:tc>
                <w:tcPr>
                  <w:tcW w:w="992" w:type="dxa"/>
                  <w:vAlign w:val="center"/>
                </w:tcPr>
                <w:p w14:paraId="082330C3">
                  <w:pPr>
                    <w:pStyle w:val="154"/>
                    <w:rPr>
                      <w:sz w:val="21"/>
                      <w:szCs w:val="21"/>
                    </w:rPr>
                  </w:pPr>
                  <w:r>
                    <w:rPr>
                      <w:sz w:val="21"/>
                      <w:szCs w:val="21"/>
                    </w:rPr>
                    <w:t>循环</w:t>
                  </w:r>
                </w:p>
                <w:p w14:paraId="2F73CF86">
                  <w:pPr>
                    <w:pStyle w:val="154"/>
                    <w:rPr>
                      <w:sz w:val="21"/>
                      <w:szCs w:val="21"/>
                    </w:rPr>
                  </w:pPr>
                  <w:r>
                    <w:rPr>
                      <w:sz w:val="21"/>
                      <w:szCs w:val="21"/>
                    </w:rPr>
                    <w:t>冷却水</w:t>
                  </w:r>
                </w:p>
              </w:tc>
              <w:tc>
                <w:tcPr>
                  <w:tcW w:w="6239" w:type="dxa"/>
                  <w:vAlign w:val="center"/>
                </w:tcPr>
                <w:p w14:paraId="13F6BF1A">
                  <w:pPr>
                    <w:pStyle w:val="154"/>
                    <w:jc w:val="left"/>
                    <w:rPr>
                      <w:sz w:val="21"/>
                      <w:szCs w:val="21"/>
                    </w:rPr>
                  </w:pPr>
                  <w:r>
                    <w:rPr>
                      <w:sz w:val="21"/>
                      <w:szCs w:val="21"/>
                    </w:rPr>
                    <w:t>循环冷却水每日补充损耗水量，循环使用，不排放。</w:t>
                  </w:r>
                </w:p>
              </w:tc>
              <w:tc>
                <w:tcPr>
                  <w:tcW w:w="1011" w:type="dxa"/>
                  <w:vAlign w:val="center"/>
                </w:tcPr>
                <w:p w14:paraId="67FC9A7B">
                  <w:pPr>
                    <w:pStyle w:val="154"/>
                    <w:rPr>
                      <w:sz w:val="21"/>
                      <w:szCs w:val="21"/>
                    </w:rPr>
                  </w:pPr>
                  <w:r>
                    <w:rPr>
                      <w:rFonts w:hint="eastAsia"/>
                      <w:sz w:val="21"/>
                      <w:szCs w:val="21"/>
                    </w:rPr>
                    <w:t>1</w:t>
                  </w:r>
                </w:p>
              </w:tc>
            </w:tr>
            <w:tr w14:paraId="40ED86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91" w:type="dxa"/>
                  <w:vMerge w:val="continue"/>
                  <w:vAlign w:val="center"/>
                </w:tcPr>
                <w:p w14:paraId="47A0436F">
                  <w:pPr>
                    <w:pStyle w:val="154"/>
                    <w:rPr>
                      <w:sz w:val="21"/>
                      <w:szCs w:val="21"/>
                    </w:rPr>
                  </w:pPr>
                </w:p>
              </w:tc>
              <w:tc>
                <w:tcPr>
                  <w:tcW w:w="992" w:type="dxa"/>
                  <w:vAlign w:val="center"/>
                </w:tcPr>
                <w:p w14:paraId="31175A72">
                  <w:pPr>
                    <w:pStyle w:val="154"/>
                    <w:rPr>
                      <w:sz w:val="21"/>
                      <w:szCs w:val="21"/>
                    </w:rPr>
                  </w:pPr>
                  <w:r>
                    <w:rPr>
                      <w:sz w:val="21"/>
                      <w:szCs w:val="21"/>
                    </w:rPr>
                    <w:t>生活污水</w:t>
                  </w:r>
                </w:p>
              </w:tc>
              <w:tc>
                <w:tcPr>
                  <w:tcW w:w="6239" w:type="dxa"/>
                  <w:vAlign w:val="center"/>
                </w:tcPr>
                <w:p w14:paraId="5A0A6D50">
                  <w:pPr>
                    <w:pStyle w:val="154"/>
                    <w:jc w:val="left"/>
                    <w:rPr>
                      <w:sz w:val="21"/>
                      <w:szCs w:val="21"/>
                    </w:rPr>
                  </w:pPr>
                  <w:r>
                    <w:rPr>
                      <w:sz w:val="21"/>
                      <w:szCs w:val="21"/>
                    </w:rPr>
                    <w:t>生活污水依托厂区化粪池处理后，经市政管网排入洛阳市中州渠人工湿地处理。</w:t>
                  </w:r>
                </w:p>
              </w:tc>
              <w:tc>
                <w:tcPr>
                  <w:tcW w:w="1011" w:type="dxa"/>
                  <w:vAlign w:val="center"/>
                </w:tcPr>
                <w:p w14:paraId="69AF0E5F">
                  <w:pPr>
                    <w:pStyle w:val="154"/>
                    <w:rPr>
                      <w:sz w:val="21"/>
                      <w:szCs w:val="21"/>
                    </w:rPr>
                  </w:pPr>
                  <w:r>
                    <w:rPr>
                      <w:sz w:val="21"/>
                      <w:szCs w:val="21"/>
                    </w:rPr>
                    <w:t>依托现有</w:t>
                  </w:r>
                </w:p>
              </w:tc>
            </w:tr>
            <w:tr w14:paraId="4E5263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91" w:type="dxa"/>
                  <w:vMerge w:val="restart"/>
                  <w:vAlign w:val="center"/>
                </w:tcPr>
                <w:p w14:paraId="54DC24C1">
                  <w:pPr>
                    <w:pStyle w:val="154"/>
                    <w:rPr>
                      <w:sz w:val="21"/>
                      <w:szCs w:val="21"/>
                    </w:rPr>
                  </w:pPr>
                  <w:r>
                    <w:rPr>
                      <w:sz w:val="21"/>
                      <w:szCs w:val="21"/>
                    </w:rPr>
                    <w:t>固废</w:t>
                  </w:r>
                </w:p>
              </w:tc>
              <w:tc>
                <w:tcPr>
                  <w:tcW w:w="992" w:type="dxa"/>
                  <w:vMerge w:val="restart"/>
                  <w:vAlign w:val="center"/>
                </w:tcPr>
                <w:p w14:paraId="3083E68B">
                  <w:pPr>
                    <w:pStyle w:val="154"/>
                    <w:rPr>
                      <w:sz w:val="21"/>
                      <w:szCs w:val="21"/>
                    </w:rPr>
                  </w:pPr>
                  <w:r>
                    <w:rPr>
                      <w:sz w:val="21"/>
                      <w:szCs w:val="21"/>
                    </w:rPr>
                    <w:t>一般固废</w:t>
                  </w:r>
                </w:p>
              </w:tc>
              <w:tc>
                <w:tcPr>
                  <w:tcW w:w="6239" w:type="dxa"/>
                  <w:vAlign w:val="center"/>
                </w:tcPr>
                <w:p w14:paraId="215046BD">
                  <w:pPr>
                    <w:pStyle w:val="154"/>
                    <w:jc w:val="left"/>
                    <w:rPr>
                      <w:sz w:val="21"/>
                      <w:szCs w:val="21"/>
                    </w:rPr>
                  </w:pPr>
                  <w:r>
                    <w:rPr>
                      <w:sz w:val="21"/>
                      <w:szCs w:val="21"/>
                    </w:rPr>
                    <w:t>废包装材料</w:t>
                  </w:r>
                  <w:r>
                    <w:rPr>
                      <w:rFonts w:hint="eastAsia"/>
                      <w:sz w:val="21"/>
                      <w:szCs w:val="21"/>
                    </w:rPr>
                    <w:t>、废包装桶（A料、C料）、废</w:t>
                  </w:r>
                  <w:r>
                    <w:rPr>
                      <w:sz w:val="21"/>
                      <w:szCs w:val="21"/>
                    </w:rPr>
                    <w:t>PU</w:t>
                  </w:r>
                  <w:r>
                    <w:rPr>
                      <w:rFonts w:hint="eastAsia"/>
                      <w:sz w:val="21"/>
                      <w:szCs w:val="21"/>
                    </w:rPr>
                    <w:t>边角料、废滤袋</w:t>
                  </w:r>
                  <w:r>
                    <w:rPr>
                      <w:sz w:val="21"/>
                      <w:szCs w:val="21"/>
                    </w:rPr>
                    <w:t>：收集后集中暂存于一般固废暂存区，定期外售给回收企业。</w:t>
                  </w:r>
                </w:p>
              </w:tc>
              <w:tc>
                <w:tcPr>
                  <w:tcW w:w="1011" w:type="dxa"/>
                  <w:vAlign w:val="center"/>
                </w:tcPr>
                <w:p w14:paraId="414F83F4">
                  <w:pPr>
                    <w:pStyle w:val="154"/>
                    <w:rPr>
                      <w:sz w:val="21"/>
                      <w:szCs w:val="21"/>
                    </w:rPr>
                  </w:pPr>
                  <w:r>
                    <w:rPr>
                      <w:sz w:val="21"/>
                      <w:szCs w:val="21"/>
                    </w:rPr>
                    <w:t>/</w:t>
                  </w:r>
                </w:p>
              </w:tc>
            </w:tr>
            <w:tr w14:paraId="7AFD71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91" w:type="dxa"/>
                  <w:vMerge w:val="continue"/>
                  <w:vAlign w:val="center"/>
                </w:tcPr>
                <w:p w14:paraId="0A4CDFD6">
                  <w:pPr>
                    <w:pStyle w:val="154"/>
                    <w:rPr>
                      <w:sz w:val="21"/>
                      <w:szCs w:val="21"/>
                    </w:rPr>
                  </w:pPr>
                </w:p>
              </w:tc>
              <w:tc>
                <w:tcPr>
                  <w:tcW w:w="992" w:type="dxa"/>
                  <w:vMerge w:val="continue"/>
                  <w:vAlign w:val="center"/>
                </w:tcPr>
                <w:p w14:paraId="0391206A">
                  <w:pPr>
                    <w:pStyle w:val="154"/>
                    <w:rPr>
                      <w:sz w:val="21"/>
                      <w:szCs w:val="21"/>
                    </w:rPr>
                  </w:pPr>
                </w:p>
              </w:tc>
              <w:tc>
                <w:tcPr>
                  <w:tcW w:w="6239" w:type="dxa"/>
                  <w:vAlign w:val="center"/>
                </w:tcPr>
                <w:p w14:paraId="574EC815">
                  <w:pPr>
                    <w:pStyle w:val="154"/>
                    <w:jc w:val="left"/>
                    <w:rPr>
                      <w:sz w:val="21"/>
                      <w:szCs w:val="21"/>
                    </w:rPr>
                  </w:pPr>
                  <w:r>
                    <w:rPr>
                      <w:sz w:val="21"/>
                      <w:szCs w:val="21"/>
                    </w:rPr>
                    <w:t>生活垃圾：集中收集后交由环卫部门统一清运。</w:t>
                  </w:r>
                </w:p>
              </w:tc>
              <w:tc>
                <w:tcPr>
                  <w:tcW w:w="1011" w:type="dxa"/>
                  <w:vAlign w:val="center"/>
                </w:tcPr>
                <w:p w14:paraId="23D643E8">
                  <w:pPr>
                    <w:pStyle w:val="154"/>
                    <w:rPr>
                      <w:sz w:val="21"/>
                      <w:szCs w:val="21"/>
                    </w:rPr>
                  </w:pPr>
                  <w:r>
                    <w:rPr>
                      <w:sz w:val="21"/>
                      <w:szCs w:val="21"/>
                    </w:rPr>
                    <w:t>依托现有</w:t>
                  </w:r>
                </w:p>
              </w:tc>
            </w:tr>
            <w:tr w14:paraId="6A332A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591" w:type="dxa"/>
                  <w:vMerge w:val="continue"/>
                  <w:vAlign w:val="center"/>
                </w:tcPr>
                <w:p w14:paraId="5486C917">
                  <w:pPr>
                    <w:pStyle w:val="154"/>
                    <w:rPr>
                      <w:sz w:val="21"/>
                      <w:szCs w:val="21"/>
                    </w:rPr>
                  </w:pPr>
                </w:p>
              </w:tc>
              <w:tc>
                <w:tcPr>
                  <w:tcW w:w="992" w:type="dxa"/>
                  <w:vAlign w:val="center"/>
                </w:tcPr>
                <w:p w14:paraId="0859F70D">
                  <w:pPr>
                    <w:pStyle w:val="154"/>
                    <w:rPr>
                      <w:sz w:val="21"/>
                      <w:szCs w:val="21"/>
                    </w:rPr>
                  </w:pPr>
                  <w:r>
                    <w:rPr>
                      <w:sz w:val="21"/>
                      <w:szCs w:val="21"/>
                    </w:rPr>
                    <w:t>危险废物</w:t>
                  </w:r>
                </w:p>
              </w:tc>
              <w:tc>
                <w:tcPr>
                  <w:tcW w:w="6239" w:type="dxa"/>
                  <w:vAlign w:val="center"/>
                </w:tcPr>
                <w:p w14:paraId="35BE209B">
                  <w:pPr>
                    <w:pStyle w:val="154"/>
                    <w:jc w:val="left"/>
                    <w:rPr>
                      <w:sz w:val="21"/>
                      <w:szCs w:val="21"/>
                    </w:rPr>
                  </w:pPr>
                  <w:r>
                    <w:rPr>
                      <w:sz w:val="21"/>
                      <w:szCs w:val="21"/>
                    </w:rPr>
                    <w:t>收集暂存于危废间</w:t>
                  </w:r>
                  <w:r>
                    <w:rPr>
                      <w:rFonts w:hint="eastAsia"/>
                      <w:sz w:val="21"/>
                      <w:szCs w:val="21"/>
                    </w:rPr>
                    <w:t>（占地10m</w:t>
                  </w:r>
                  <w:r>
                    <w:rPr>
                      <w:rFonts w:hint="eastAsia"/>
                      <w:sz w:val="21"/>
                      <w:szCs w:val="21"/>
                      <w:vertAlign w:val="superscript"/>
                    </w:rPr>
                    <w:t>2</w:t>
                  </w:r>
                  <w:r>
                    <w:rPr>
                      <w:rFonts w:hint="eastAsia"/>
                      <w:sz w:val="21"/>
                      <w:szCs w:val="21"/>
                    </w:rPr>
                    <w:t>，位于厂区入口东侧一楼）</w:t>
                  </w:r>
                  <w:r>
                    <w:rPr>
                      <w:sz w:val="21"/>
                      <w:szCs w:val="21"/>
                    </w:rPr>
                    <w:t>，定期交由有资质单位处置。</w:t>
                  </w:r>
                </w:p>
              </w:tc>
              <w:tc>
                <w:tcPr>
                  <w:tcW w:w="1011" w:type="dxa"/>
                  <w:vAlign w:val="center"/>
                </w:tcPr>
                <w:p w14:paraId="747A55B8">
                  <w:pPr>
                    <w:pStyle w:val="154"/>
                    <w:rPr>
                      <w:sz w:val="21"/>
                      <w:szCs w:val="21"/>
                    </w:rPr>
                  </w:pPr>
                  <w:r>
                    <w:rPr>
                      <w:rFonts w:hint="eastAsia"/>
                      <w:sz w:val="21"/>
                      <w:szCs w:val="21"/>
                    </w:rPr>
                    <w:t>0.5</w:t>
                  </w:r>
                </w:p>
              </w:tc>
            </w:tr>
            <w:tr w14:paraId="17C92B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583" w:type="dxa"/>
                  <w:gridSpan w:val="2"/>
                  <w:vAlign w:val="center"/>
                </w:tcPr>
                <w:p w14:paraId="3DE67DA7">
                  <w:pPr>
                    <w:pStyle w:val="154"/>
                    <w:rPr>
                      <w:sz w:val="21"/>
                      <w:szCs w:val="21"/>
                    </w:rPr>
                  </w:pPr>
                  <w:r>
                    <w:rPr>
                      <w:sz w:val="21"/>
                      <w:szCs w:val="21"/>
                    </w:rPr>
                    <w:t>风险</w:t>
                  </w:r>
                </w:p>
              </w:tc>
              <w:tc>
                <w:tcPr>
                  <w:tcW w:w="6239" w:type="dxa"/>
                  <w:vAlign w:val="center"/>
                </w:tcPr>
                <w:p w14:paraId="59C065C0">
                  <w:pPr>
                    <w:pStyle w:val="154"/>
                    <w:jc w:val="left"/>
                    <w:rPr>
                      <w:sz w:val="21"/>
                      <w:szCs w:val="21"/>
                    </w:rPr>
                  </w:pPr>
                  <w:r>
                    <w:rPr>
                      <w:rFonts w:hint="eastAsia" w:cs="宋体"/>
                      <w:sz w:val="21"/>
                      <w:szCs w:val="21"/>
                    </w:rPr>
                    <w:t>①</w:t>
                  </w:r>
                  <w:r>
                    <w:rPr>
                      <w:rFonts w:hint="eastAsia"/>
                      <w:sz w:val="21"/>
                      <w:szCs w:val="21"/>
                    </w:rPr>
                    <w:t>二丁酯、油类物质</w:t>
                  </w:r>
                  <w:r>
                    <w:rPr>
                      <w:sz w:val="21"/>
                      <w:szCs w:val="21"/>
                    </w:rPr>
                    <w:t>入库前须进行严格检验数量、质量、包装情况、是否泄漏；遵守各项规章制度和操作规程，严格执行岗位责任制，加强培训教育和考核工作。</w:t>
                  </w:r>
                </w:p>
                <w:p w14:paraId="76DE6AC5">
                  <w:pPr>
                    <w:pStyle w:val="154"/>
                    <w:jc w:val="left"/>
                    <w:rPr>
                      <w:rFonts w:cs="Times New Roman"/>
                      <w:sz w:val="21"/>
                      <w:szCs w:val="21"/>
                    </w:rPr>
                  </w:pPr>
                  <w:r>
                    <w:rPr>
                      <w:rFonts w:hint="eastAsia" w:cs="宋体"/>
                      <w:sz w:val="21"/>
                      <w:szCs w:val="21"/>
                    </w:rPr>
                    <w:t>②</w:t>
                  </w:r>
                  <w:r>
                    <w:rPr>
                      <w:rFonts w:hint="eastAsia"/>
                      <w:sz w:val="21"/>
                      <w:szCs w:val="21"/>
                    </w:rPr>
                    <w:t>设置液体原料库，将</w:t>
                  </w:r>
                  <w:r>
                    <w:rPr>
                      <w:sz w:val="21"/>
                      <w:szCs w:val="21"/>
                    </w:rPr>
                    <w:t>PU</w:t>
                  </w:r>
                  <w:r>
                    <w:rPr>
                      <w:rFonts w:hint="eastAsia"/>
                      <w:sz w:val="21"/>
                      <w:szCs w:val="21"/>
                    </w:rPr>
                    <w:t>鞋底料（聚氨酯</w:t>
                  </w:r>
                  <w:r>
                    <w:rPr>
                      <w:sz w:val="21"/>
                      <w:szCs w:val="21"/>
                    </w:rPr>
                    <w:t>A</w:t>
                  </w:r>
                  <w:r>
                    <w:rPr>
                      <w:rFonts w:hint="eastAsia"/>
                      <w:sz w:val="21"/>
                      <w:szCs w:val="21"/>
                    </w:rPr>
                    <w:t>料、</w:t>
                  </w:r>
                  <w:r>
                    <w:rPr>
                      <w:sz w:val="21"/>
                      <w:szCs w:val="21"/>
                    </w:rPr>
                    <w:t>B</w:t>
                  </w:r>
                  <w:r>
                    <w:rPr>
                      <w:rFonts w:hint="eastAsia"/>
                      <w:sz w:val="21"/>
                      <w:szCs w:val="21"/>
                    </w:rPr>
                    <w:t>料、</w:t>
                  </w:r>
                  <w:r>
                    <w:rPr>
                      <w:sz w:val="21"/>
                      <w:szCs w:val="21"/>
                    </w:rPr>
                    <w:t>C</w:t>
                  </w:r>
                  <w:r>
                    <w:rPr>
                      <w:rFonts w:hint="eastAsia"/>
                      <w:sz w:val="21"/>
                      <w:szCs w:val="21"/>
                    </w:rPr>
                    <w:t>料、色浆、水性脱模剂等液体料）、</w:t>
                  </w:r>
                  <w:r>
                    <w:rPr>
                      <w:rFonts w:hint="eastAsia" w:cs="Times New Roman"/>
                      <w:sz w:val="21"/>
                      <w:szCs w:val="21"/>
                    </w:rPr>
                    <w:t>二丁酯</w:t>
                  </w:r>
                  <w:r>
                    <w:rPr>
                      <w:rFonts w:hint="eastAsia"/>
                      <w:sz w:val="21"/>
                      <w:szCs w:val="21"/>
                    </w:rPr>
                    <w:t>储存至原料库内，原料库涂刷防渗层、四周设置围堰（围堰高</w:t>
                  </w:r>
                  <w:r>
                    <w:rPr>
                      <w:sz w:val="21"/>
                      <w:szCs w:val="21"/>
                    </w:rPr>
                    <w:t>20cm</w:t>
                  </w:r>
                  <w:r>
                    <w:rPr>
                      <w:rFonts w:hint="eastAsia"/>
                      <w:sz w:val="21"/>
                      <w:szCs w:val="21"/>
                    </w:rPr>
                    <w:t>）。</w:t>
                  </w:r>
                </w:p>
                <w:p w14:paraId="6443CED8">
                  <w:pPr>
                    <w:pStyle w:val="154"/>
                    <w:jc w:val="left"/>
                    <w:rPr>
                      <w:sz w:val="21"/>
                      <w:szCs w:val="21"/>
                    </w:rPr>
                  </w:pPr>
                  <w:r>
                    <w:rPr>
                      <w:rFonts w:hint="eastAsia" w:cs="宋体"/>
                      <w:sz w:val="21"/>
                      <w:szCs w:val="21"/>
                    </w:rPr>
                    <w:t>③</w:t>
                  </w:r>
                  <w:r>
                    <w:rPr>
                      <w:sz w:val="21"/>
                      <w:szCs w:val="21"/>
                    </w:rPr>
                    <w:t>危废间涂刷防渗层，四周设置围堰（围堰高20cm）。</w:t>
                  </w:r>
                </w:p>
                <w:p w14:paraId="38FF2AA5">
                  <w:pPr>
                    <w:pStyle w:val="154"/>
                    <w:jc w:val="left"/>
                    <w:rPr>
                      <w:sz w:val="21"/>
                      <w:szCs w:val="21"/>
                    </w:rPr>
                  </w:pPr>
                  <w:r>
                    <w:rPr>
                      <w:rFonts w:hint="eastAsia"/>
                      <w:sz w:val="21"/>
                      <w:szCs w:val="21"/>
                    </w:rPr>
                    <w:t>④</w:t>
                  </w:r>
                  <w:r>
                    <w:rPr>
                      <w:sz w:val="21"/>
                      <w:szCs w:val="21"/>
                    </w:rPr>
                    <w:t>厂区严禁明火，应配置足量的相应灭火设备，定期检查灭火状态及其有效期等。</w:t>
                  </w:r>
                </w:p>
              </w:tc>
              <w:tc>
                <w:tcPr>
                  <w:tcW w:w="1011" w:type="dxa"/>
                  <w:vAlign w:val="center"/>
                </w:tcPr>
                <w:p w14:paraId="5287ADA0">
                  <w:pPr>
                    <w:pStyle w:val="154"/>
                    <w:rPr>
                      <w:sz w:val="21"/>
                      <w:szCs w:val="21"/>
                    </w:rPr>
                  </w:pPr>
                  <w:r>
                    <w:rPr>
                      <w:rFonts w:hint="eastAsia"/>
                      <w:sz w:val="21"/>
                      <w:szCs w:val="21"/>
                    </w:rPr>
                    <w:t>0.5</w:t>
                  </w:r>
                </w:p>
              </w:tc>
            </w:tr>
            <w:tr w14:paraId="2215E7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7822" w:type="dxa"/>
                  <w:gridSpan w:val="3"/>
                  <w:vAlign w:val="center"/>
                </w:tcPr>
                <w:p w14:paraId="790F93F7">
                  <w:pPr>
                    <w:pStyle w:val="154"/>
                    <w:rPr>
                      <w:sz w:val="21"/>
                      <w:szCs w:val="21"/>
                    </w:rPr>
                  </w:pPr>
                  <w:r>
                    <w:rPr>
                      <w:sz w:val="21"/>
                      <w:szCs w:val="21"/>
                    </w:rPr>
                    <w:t>合计</w:t>
                  </w:r>
                </w:p>
              </w:tc>
              <w:tc>
                <w:tcPr>
                  <w:tcW w:w="1011" w:type="dxa"/>
                  <w:vAlign w:val="center"/>
                </w:tcPr>
                <w:p w14:paraId="37144EAD">
                  <w:pPr>
                    <w:pStyle w:val="154"/>
                    <w:rPr>
                      <w:sz w:val="21"/>
                      <w:szCs w:val="21"/>
                    </w:rPr>
                  </w:pPr>
                  <w:r>
                    <w:rPr>
                      <w:rFonts w:hint="eastAsia"/>
                      <w:sz w:val="21"/>
                      <w:szCs w:val="21"/>
                    </w:rPr>
                    <w:t>12</w:t>
                  </w:r>
                </w:p>
              </w:tc>
            </w:tr>
          </w:tbl>
          <w:p w14:paraId="4F4BDA85">
            <w:pPr>
              <w:pStyle w:val="156"/>
              <w:spacing w:line="40" w:lineRule="exact"/>
              <w:ind w:firstLine="480"/>
              <w:rPr>
                <w:rFonts w:eastAsia="宋体" w:cs="Times New Roman"/>
              </w:rPr>
            </w:pPr>
          </w:p>
          <w:p w14:paraId="19D2F660">
            <w:pPr>
              <w:pStyle w:val="157"/>
            </w:pPr>
            <w:r>
              <w:t>9、排污许可类别</w:t>
            </w:r>
          </w:p>
          <w:p w14:paraId="630C4134">
            <w:pPr>
              <w:pStyle w:val="156"/>
              <w:ind w:firstLine="360" w:firstLineChars="150"/>
              <w:rPr>
                <w:rFonts w:eastAsia="宋体" w:cs="Times New Roman"/>
              </w:rPr>
            </w:pPr>
            <w:r>
              <w:rPr>
                <w:rFonts w:eastAsia="宋体" w:cs="Times New Roman"/>
              </w:rPr>
              <w:t>本项目行业类别为</w:t>
            </w:r>
            <w:r>
              <w:rPr>
                <w:rFonts w:eastAsia="宋体" w:cs="Times New Roman"/>
                <w:kern w:val="0"/>
                <w:szCs w:val="24"/>
              </w:rPr>
              <w:t>：十四、皮革、毛皮、羽毛及其制品和制鞋业19：32制鞋业195,国民经济行业类别为：</w:t>
            </w:r>
            <w:r>
              <w:rPr>
                <w:rFonts w:eastAsia="宋体" w:cs="Times New Roman"/>
              </w:rPr>
              <w:t>C1951</w:t>
            </w:r>
            <w:r>
              <w:rPr>
                <w:rFonts w:eastAsia="宋体" w:cs="Times New Roman"/>
                <w:kern w:val="0"/>
                <w:szCs w:val="24"/>
              </w:rPr>
              <w:t>纺织面料鞋制造</w:t>
            </w:r>
            <w:r>
              <w:rPr>
                <w:rFonts w:eastAsia="宋体" w:cs="Times New Roman"/>
              </w:rPr>
              <w:t>。根据《固定污染源排污许可分类管理名录》(2019年版)，本项目排污许可分类为登记管理，划分依据见下表。</w:t>
            </w:r>
          </w:p>
          <w:p w14:paraId="43E71004">
            <w:pPr>
              <w:pStyle w:val="182"/>
              <w:ind w:firstLine="480"/>
            </w:pPr>
          </w:p>
          <w:p w14:paraId="6FB761BF">
            <w:pPr>
              <w:pStyle w:val="182"/>
              <w:ind w:firstLine="480"/>
            </w:pPr>
            <w:r>
              <w:t>表4-</w:t>
            </w:r>
            <w:r>
              <w:rPr>
                <w:rFonts w:hint="eastAsia"/>
              </w:rPr>
              <w:t>27</w:t>
            </w:r>
            <w:r>
              <w:t xml:space="preserve">          固定污染源排污许可分类管理名录</w:t>
            </w:r>
          </w:p>
          <w:tbl>
            <w:tblPr>
              <w:tblStyle w:val="88"/>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93"/>
              <w:gridCol w:w="2268"/>
              <w:gridCol w:w="3261"/>
              <w:gridCol w:w="1726"/>
            </w:tblGrid>
            <w:tr w14:paraId="25BCC5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6" w:hRule="atLeast"/>
              </w:trPr>
              <w:tc>
                <w:tcPr>
                  <w:tcW w:w="1593" w:type="dxa"/>
                  <w:vAlign w:val="center"/>
                </w:tcPr>
                <w:p w14:paraId="4A01DD9C">
                  <w:pPr>
                    <w:pStyle w:val="154"/>
                    <w:rPr>
                      <w:sz w:val="21"/>
                      <w:szCs w:val="21"/>
                    </w:rPr>
                  </w:pPr>
                  <w:r>
                    <w:rPr>
                      <w:sz w:val="21"/>
                      <w:szCs w:val="21"/>
                    </w:rPr>
                    <w:t>行业类别</w:t>
                  </w:r>
                </w:p>
              </w:tc>
              <w:tc>
                <w:tcPr>
                  <w:tcW w:w="2268" w:type="dxa"/>
                  <w:vAlign w:val="center"/>
                </w:tcPr>
                <w:p w14:paraId="234DFFC2">
                  <w:pPr>
                    <w:pStyle w:val="154"/>
                    <w:rPr>
                      <w:sz w:val="21"/>
                      <w:szCs w:val="21"/>
                    </w:rPr>
                  </w:pPr>
                  <w:r>
                    <w:rPr>
                      <w:sz w:val="21"/>
                      <w:szCs w:val="21"/>
                    </w:rPr>
                    <w:t>重点管理</w:t>
                  </w:r>
                </w:p>
              </w:tc>
              <w:tc>
                <w:tcPr>
                  <w:tcW w:w="3261" w:type="dxa"/>
                  <w:vAlign w:val="center"/>
                </w:tcPr>
                <w:p w14:paraId="6EB3E2E1">
                  <w:pPr>
                    <w:pStyle w:val="154"/>
                    <w:rPr>
                      <w:sz w:val="21"/>
                      <w:szCs w:val="21"/>
                    </w:rPr>
                  </w:pPr>
                  <w:r>
                    <w:rPr>
                      <w:sz w:val="21"/>
                      <w:szCs w:val="21"/>
                    </w:rPr>
                    <w:t>简化管理</w:t>
                  </w:r>
                </w:p>
              </w:tc>
              <w:tc>
                <w:tcPr>
                  <w:tcW w:w="1726" w:type="dxa"/>
                  <w:vAlign w:val="center"/>
                </w:tcPr>
                <w:p w14:paraId="7544041A">
                  <w:pPr>
                    <w:pStyle w:val="154"/>
                    <w:rPr>
                      <w:sz w:val="21"/>
                      <w:szCs w:val="21"/>
                    </w:rPr>
                  </w:pPr>
                  <w:r>
                    <w:rPr>
                      <w:sz w:val="21"/>
                      <w:szCs w:val="21"/>
                    </w:rPr>
                    <w:t>登记管理</w:t>
                  </w:r>
                </w:p>
              </w:tc>
            </w:tr>
            <w:tr w14:paraId="2E4FF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0" w:hRule="atLeast"/>
              </w:trPr>
              <w:tc>
                <w:tcPr>
                  <w:tcW w:w="8848" w:type="dxa"/>
                  <w:gridSpan w:val="4"/>
                </w:tcPr>
                <w:p w14:paraId="12B57810">
                  <w:pPr>
                    <w:pStyle w:val="154"/>
                    <w:rPr>
                      <w:sz w:val="21"/>
                      <w:szCs w:val="21"/>
                    </w:rPr>
                  </w:pPr>
                  <w:r>
                    <w:rPr>
                      <w:sz w:val="21"/>
                      <w:szCs w:val="21"/>
                    </w:rPr>
                    <w:t>十四、皮革、毛皮、羽毛及其制品和制鞋业19</w:t>
                  </w:r>
                </w:p>
              </w:tc>
            </w:tr>
            <w:tr w14:paraId="6E4F0F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593" w:type="dxa"/>
                  <w:vAlign w:val="center"/>
                </w:tcPr>
                <w:p w14:paraId="2CF91D13">
                  <w:pPr>
                    <w:pStyle w:val="154"/>
                    <w:rPr>
                      <w:sz w:val="21"/>
                      <w:szCs w:val="21"/>
                    </w:rPr>
                  </w:pPr>
                  <w:r>
                    <w:rPr>
                      <w:sz w:val="21"/>
                      <w:szCs w:val="21"/>
                    </w:rPr>
                    <w:t>32.制鞋业 195</w:t>
                  </w:r>
                </w:p>
              </w:tc>
              <w:tc>
                <w:tcPr>
                  <w:tcW w:w="2268" w:type="dxa"/>
                  <w:vAlign w:val="center"/>
                </w:tcPr>
                <w:p w14:paraId="562F1C97">
                  <w:pPr>
                    <w:pStyle w:val="154"/>
                    <w:rPr>
                      <w:sz w:val="21"/>
                      <w:szCs w:val="21"/>
                    </w:rPr>
                  </w:pPr>
                  <w:r>
                    <w:rPr>
                      <w:sz w:val="21"/>
                      <w:szCs w:val="21"/>
                    </w:rPr>
                    <w:t>纳入重点排污单位名录的</w:t>
                  </w:r>
                </w:p>
              </w:tc>
              <w:tc>
                <w:tcPr>
                  <w:tcW w:w="3261" w:type="dxa"/>
                  <w:vAlign w:val="center"/>
                </w:tcPr>
                <w:p w14:paraId="6715049C">
                  <w:pPr>
                    <w:pStyle w:val="154"/>
                    <w:rPr>
                      <w:sz w:val="21"/>
                      <w:szCs w:val="21"/>
                    </w:rPr>
                  </w:pPr>
                  <w:r>
                    <w:rPr>
                      <w:sz w:val="21"/>
                      <w:szCs w:val="21"/>
                    </w:rPr>
                    <w:t>除重点管理以外的年使用10吨及以上溶剂型胶粘剂或3吨及以上溶剂型处理剂的</w:t>
                  </w:r>
                </w:p>
              </w:tc>
              <w:tc>
                <w:tcPr>
                  <w:tcW w:w="1726" w:type="dxa"/>
                  <w:vAlign w:val="center"/>
                </w:tcPr>
                <w:p w14:paraId="290AEEFF">
                  <w:pPr>
                    <w:pStyle w:val="154"/>
                    <w:rPr>
                      <w:sz w:val="21"/>
                      <w:szCs w:val="21"/>
                    </w:rPr>
                  </w:pPr>
                  <w:r>
                    <w:rPr>
                      <w:sz w:val="21"/>
                      <w:szCs w:val="21"/>
                    </w:rPr>
                    <w:t>其他（本项目）</w:t>
                  </w:r>
                </w:p>
              </w:tc>
            </w:tr>
          </w:tbl>
          <w:p w14:paraId="5F6FC00C">
            <w:pPr>
              <w:pStyle w:val="156"/>
              <w:ind w:firstLine="480"/>
              <w:rPr>
                <w:rFonts w:eastAsia="宋体" w:cs="Times New Roman"/>
              </w:rPr>
            </w:pPr>
            <w:r>
              <w:rPr>
                <w:rFonts w:eastAsia="宋体" w:cs="Times New Roman"/>
              </w:rPr>
              <w:t>由上表可知，本项目排污许可类别属于登记管理，项目建成后，建设单位应及时在全国排污许可证管理平台上进行排污许可登记。</w:t>
            </w:r>
          </w:p>
          <w:p w14:paraId="4B834FF8">
            <w:pPr>
              <w:pStyle w:val="156"/>
              <w:ind w:firstLine="480"/>
              <w:rPr>
                <w:rFonts w:eastAsia="宋体" w:cs="Times New Roman"/>
              </w:rPr>
            </w:pPr>
          </w:p>
          <w:p w14:paraId="25BA6AF7">
            <w:pPr>
              <w:pStyle w:val="156"/>
              <w:ind w:firstLine="480"/>
              <w:rPr>
                <w:rFonts w:eastAsia="宋体" w:cs="Times New Roman"/>
              </w:rPr>
            </w:pPr>
          </w:p>
          <w:p w14:paraId="6FFC6DDD">
            <w:pPr>
              <w:pStyle w:val="156"/>
              <w:ind w:firstLine="480"/>
              <w:rPr>
                <w:rFonts w:eastAsia="宋体" w:cs="Times New Roman"/>
              </w:rPr>
            </w:pPr>
          </w:p>
          <w:p w14:paraId="38698409">
            <w:pPr>
              <w:pStyle w:val="156"/>
              <w:ind w:firstLine="480"/>
              <w:rPr>
                <w:rFonts w:eastAsia="宋体" w:cs="Times New Roman"/>
              </w:rPr>
            </w:pPr>
          </w:p>
          <w:p w14:paraId="6D642F4D">
            <w:pPr>
              <w:pStyle w:val="156"/>
              <w:ind w:firstLine="480"/>
              <w:rPr>
                <w:rFonts w:eastAsia="宋体" w:cs="Times New Roman"/>
              </w:rPr>
            </w:pPr>
          </w:p>
          <w:p w14:paraId="7DC7359E">
            <w:pPr>
              <w:pStyle w:val="156"/>
              <w:ind w:firstLine="480"/>
              <w:rPr>
                <w:rFonts w:eastAsia="宋体" w:cs="Times New Roman"/>
              </w:rPr>
            </w:pPr>
          </w:p>
          <w:p w14:paraId="1DA918A3">
            <w:pPr>
              <w:pStyle w:val="156"/>
              <w:ind w:firstLine="480"/>
              <w:rPr>
                <w:rFonts w:eastAsia="宋体" w:cs="Times New Roman"/>
              </w:rPr>
            </w:pPr>
          </w:p>
          <w:p w14:paraId="37ACE863">
            <w:pPr>
              <w:pStyle w:val="156"/>
              <w:ind w:firstLine="480"/>
              <w:rPr>
                <w:rFonts w:eastAsia="宋体" w:cs="Times New Roman"/>
              </w:rPr>
            </w:pPr>
          </w:p>
          <w:p w14:paraId="1259DC23">
            <w:pPr>
              <w:pStyle w:val="156"/>
              <w:ind w:firstLine="480"/>
              <w:rPr>
                <w:rFonts w:eastAsia="宋体" w:cs="Times New Roman"/>
              </w:rPr>
            </w:pPr>
          </w:p>
          <w:p w14:paraId="66067DFF">
            <w:pPr>
              <w:pStyle w:val="156"/>
              <w:ind w:firstLine="480"/>
              <w:rPr>
                <w:rFonts w:eastAsia="宋体" w:cs="Times New Roman"/>
              </w:rPr>
            </w:pPr>
          </w:p>
          <w:p w14:paraId="3D442AE3">
            <w:pPr>
              <w:pStyle w:val="156"/>
              <w:ind w:firstLine="480"/>
              <w:rPr>
                <w:rFonts w:eastAsia="宋体" w:cs="Times New Roman"/>
              </w:rPr>
            </w:pPr>
          </w:p>
          <w:p w14:paraId="58F64C11">
            <w:pPr>
              <w:pStyle w:val="156"/>
              <w:ind w:firstLine="0" w:firstLineChars="0"/>
              <w:rPr>
                <w:rFonts w:eastAsia="宋体" w:cs="Times New Roman"/>
              </w:rPr>
            </w:pPr>
          </w:p>
        </w:tc>
      </w:tr>
    </w:tbl>
    <w:p w14:paraId="06AB1FFF">
      <w:pPr>
        <w:pStyle w:val="152"/>
      </w:pPr>
      <w:r>
        <w:t>五、环境保护措施监督检查清单</w:t>
      </w:r>
    </w:p>
    <w:tbl>
      <w:tblPr>
        <w:tblStyle w:val="88"/>
        <w:tblW w:w="90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76"/>
        <w:gridCol w:w="1418"/>
        <w:gridCol w:w="1417"/>
        <w:gridCol w:w="2296"/>
        <w:gridCol w:w="2834"/>
      </w:tblGrid>
      <w:tr w14:paraId="743D9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1076" w:type="dxa"/>
            <w:tcBorders>
              <w:top w:val="single" w:color="auto" w:sz="12" w:space="0"/>
              <w:left w:val="single" w:color="auto" w:sz="12" w:space="0"/>
              <w:bottom w:val="single" w:color="auto" w:sz="6" w:space="0"/>
              <w:right w:val="single" w:color="auto" w:sz="6" w:space="0"/>
            </w:tcBorders>
          </w:tcPr>
          <w:p w14:paraId="3CC199FC">
            <w:pPr>
              <w:pStyle w:val="154"/>
              <w:rPr>
                <w:sz w:val="21"/>
                <w:szCs w:val="21"/>
              </w:rPr>
            </w:pPr>
            <w:r>
              <w:rPr>
                <w:sz w:val="21"/>
                <w:szCs w:val="21"/>
              </w:rPr>
              <w:t>内容</w:t>
            </w:r>
          </w:p>
          <w:p w14:paraId="0BB1A441">
            <w:pPr>
              <w:pStyle w:val="154"/>
              <w:rPr>
                <w:sz w:val="21"/>
                <w:szCs w:val="21"/>
              </w:rPr>
            </w:pPr>
            <w:r>
              <w:rPr>
                <w:sz w:val="21"/>
                <w:szCs w:val="21"/>
              </w:rPr>
              <w:t>要素</w:t>
            </w:r>
          </w:p>
        </w:tc>
        <w:tc>
          <w:tcPr>
            <w:tcW w:w="1418" w:type="dxa"/>
            <w:tcBorders>
              <w:top w:val="single" w:color="auto" w:sz="12" w:space="0"/>
              <w:left w:val="single" w:color="auto" w:sz="6" w:space="0"/>
              <w:bottom w:val="single" w:color="auto" w:sz="6" w:space="0"/>
              <w:right w:val="single" w:color="auto" w:sz="6" w:space="0"/>
            </w:tcBorders>
            <w:vAlign w:val="center"/>
          </w:tcPr>
          <w:p w14:paraId="7FA598D5">
            <w:pPr>
              <w:pStyle w:val="154"/>
              <w:rPr>
                <w:sz w:val="21"/>
                <w:szCs w:val="21"/>
              </w:rPr>
            </w:pPr>
            <w:r>
              <w:rPr>
                <w:sz w:val="21"/>
                <w:szCs w:val="21"/>
              </w:rPr>
              <w:t>排放口(编号、</w:t>
            </w:r>
          </w:p>
          <w:p w14:paraId="6217B36E">
            <w:pPr>
              <w:pStyle w:val="154"/>
              <w:rPr>
                <w:sz w:val="21"/>
                <w:szCs w:val="21"/>
              </w:rPr>
            </w:pPr>
            <w:r>
              <w:rPr>
                <w:sz w:val="21"/>
                <w:szCs w:val="21"/>
              </w:rPr>
              <w:t>名称)/污染源</w:t>
            </w:r>
          </w:p>
        </w:tc>
        <w:tc>
          <w:tcPr>
            <w:tcW w:w="1417" w:type="dxa"/>
            <w:tcBorders>
              <w:top w:val="single" w:color="auto" w:sz="12" w:space="0"/>
              <w:left w:val="single" w:color="auto" w:sz="6" w:space="0"/>
              <w:bottom w:val="single" w:color="auto" w:sz="6" w:space="0"/>
              <w:right w:val="single" w:color="auto" w:sz="6" w:space="0"/>
            </w:tcBorders>
            <w:vAlign w:val="center"/>
          </w:tcPr>
          <w:p w14:paraId="03F83FE0">
            <w:pPr>
              <w:pStyle w:val="154"/>
              <w:rPr>
                <w:sz w:val="21"/>
                <w:szCs w:val="21"/>
              </w:rPr>
            </w:pPr>
            <w:r>
              <w:rPr>
                <w:sz w:val="21"/>
                <w:szCs w:val="21"/>
              </w:rPr>
              <w:t>污染物项目</w:t>
            </w:r>
          </w:p>
        </w:tc>
        <w:tc>
          <w:tcPr>
            <w:tcW w:w="2296" w:type="dxa"/>
            <w:tcBorders>
              <w:top w:val="single" w:color="auto" w:sz="12" w:space="0"/>
              <w:left w:val="single" w:color="auto" w:sz="6" w:space="0"/>
              <w:bottom w:val="single" w:color="auto" w:sz="6" w:space="0"/>
              <w:right w:val="single" w:color="auto" w:sz="6" w:space="0"/>
            </w:tcBorders>
            <w:vAlign w:val="center"/>
          </w:tcPr>
          <w:p w14:paraId="41CCD11C">
            <w:pPr>
              <w:pStyle w:val="154"/>
              <w:rPr>
                <w:sz w:val="21"/>
                <w:szCs w:val="21"/>
              </w:rPr>
            </w:pPr>
            <w:r>
              <w:rPr>
                <w:sz w:val="21"/>
                <w:szCs w:val="21"/>
              </w:rPr>
              <w:t>环境保护措施</w:t>
            </w:r>
          </w:p>
        </w:tc>
        <w:tc>
          <w:tcPr>
            <w:tcW w:w="2834" w:type="dxa"/>
            <w:tcBorders>
              <w:top w:val="single" w:color="auto" w:sz="12" w:space="0"/>
              <w:left w:val="single" w:color="auto" w:sz="6" w:space="0"/>
              <w:bottom w:val="single" w:color="auto" w:sz="6" w:space="0"/>
              <w:right w:val="single" w:color="auto" w:sz="12" w:space="0"/>
            </w:tcBorders>
            <w:vAlign w:val="center"/>
          </w:tcPr>
          <w:p w14:paraId="3125CF22">
            <w:pPr>
              <w:pStyle w:val="154"/>
              <w:rPr>
                <w:sz w:val="21"/>
                <w:szCs w:val="21"/>
              </w:rPr>
            </w:pPr>
            <w:r>
              <w:rPr>
                <w:sz w:val="21"/>
                <w:szCs w:val="21"/>
              </w:rPr>
              <w:t>执行标准</w:t>
            </w:r>
          </w:p>
        </w:tc>
      </w:tr>
      <w:tr w14:paraId="71CE6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22" w:hRule="atLeast"/>
          <w:jc w:val="center"/>
        </w:trPr>
        <w:tc>
          <w:tcPr>
            <w:tcW w:w="1076" w:type="dxa"/>
            <w:vMerge w:val="restart"/>
            <w:tcBorders>
              <w:left w:val="single" w:color="auto" w:sz="12" w:space="0"/>
              <w:right w:val="single" w:color="auto" w:sz="6" w:space="0"/>
            </w:tcBorders>
            <w:vAlign w:val="center"/>
          </w:tcPr>
          <w:p w14:paraId="0B8B37EC">
            <w:pPr>
              <w:pStyle w:val="154"/>
              <w:rPr>
                <w:sz w:val="21"/>
                <w:szCs w:val="21"/>
              </w:rPr>
            </w:pPr>
            <w:r>
              <w:rPr>
                <w:sz w:val="21"/>
                <w:szCs w:val="21"/>
              </w:rPr>
              <w:t>大气环境</w:t>
            </w:r>
          </w:p>
        </w:tc>
        <w:tc>
          <w:tcPr>
            <w:tcW w:w="1418" w:type="dxa"/>
            <w:vMerge w:val="restart"/>
            <w:tcBorders>
              <w:top w:val="single" w:color="auto" w:sz="6" w:space="0"/>
              <w:left w:val="single" w:color="auto" w:sz="6" w:space="0"/>
              <w:right w:val="single" w:color="auto" w:sz="6" w:space="0"/>
            </w:tcBorders>
            <w:vAlign w:val="center"/>
          </w:tcPr>
          <w:p w14:paraId="6DD62464">
            <w:pPr>
              <w:pStyle w:val="154"/>
              <w:rPr>
                <w:sz w:val="21"/>
                <w:szCs w:val="21"/>
              </w:rPr>
            </w:pPr>
            <w:r>
              <w:rPr>
                <w:rFonts w:hint="eastAsia"/>
                <w:sz w:val="21"/>
                <w:szCs w:val="21"/>
              </w:rPr>
              <w:t>DA001</w:t>
            </w:r>
          </w:p>
          <w:p w14:paraId="03FD529F">
            <w:pPr>
              <w:pStyle w:val="154"/>
              <w:rPr>
                <w:sz w:val="21"/>
              </w:rPr>
            </w:pPr>
            <w:r>
              <w:rPr>
                <w:rFonts w:hint="eastAsia"/>
                <w:sz w:val="21"/>
                <w:szCs w:val="21"/>
              </w:rPr>
              <w:t>（注塑生产线废气、聚氨酯生产线废气、鞋面布切割废气）</w:t>
            </w:r>
          </w:p>
        </w:tc>
        <w:tc>
          <w:tcPr>
            <w:tcW w:w="1417" w:type="dxa"/>
            <w:tcBorders>
              <w:top w:val="single" w:color="auto" w:sz="6" w:space="0"/>
              <w:left w:val="single" w:color="auto" w:sz="6" w:space="0"/>
              <w:right w:val="single" w:color="auto" w:sz="6" w:space="0"/>
            </w:tcBorders>
            <w:vAlign w:val="center"/>
          </w:tcPr>
          <w:p w14:paraId="6FFC8A33">
            <w:pPr>
              <w:pStyle w:val="154"/>
              <w:rPr>
                <w:sz w:val="21"/>
                <w:szCs w:val="21"/>
              </w:rPr>
            </w:pPr>
            <w:r>
              <w:rPr>
                <w:sz w:val="21"/>
                <w:szCs w:val="21"/>
              </w:rPr>
              <w:t>非甲烷总烃</w:t>
            </w:r>
          </w:p>
        </w:tc>
        <w:tc>
          <w:tcPr>
            <w:tcW w:w="2296" w:type="dxa"/>
            <w:vMerge w:val="restart"/>
            <w:tcBorders>
              <w:top w:val="single" w:color="auto" w:sz="6" w:space="0"/>
              <w:left w:val="single" w:color="auto" w:sz="6" w:space="0"/>
              <w:right w:val="single" w:color="auto" w:sz="6" w:space="0"/>
            </w:tcBorders>
            <w:vAlign w:val="center"/>
          </w:tcPr>
          <w:p w14:paraId="65CB6D01">
            <w:pPr>
              <w:pStyle w:val="154"/>
              <w:jc w:val="left"/>
              <w:rPr>
                <w:b/>
                <w:sz w:val="21"/>
                <w:szCs w:val="21"/>
                <w:u w:val="single"/>
              </w:rPr>
            </w:pPr>
            <w:r>
              <w:rPr>
                <w:b/>
                <w:sz w:val="21"/>
                <w:szCs w:val="21"/>
                <w:u w:val="single"/>
              </w:rPr>
              <w:t>注</w:t>
            </w:r>
            <w:r>
              <w:rPr>
                <w:rFonts w:hint="eastAsia"/>
                <w:b/>
                <w:sz w:val="21"/>
                <w:szCs w:val="21"/>
                <w:u w:val="single"/>
              </w:rPr>
              <w:t>塑工艺生产线混合搅拌、破碎过程中产生的含尘、VOCs废气</w:t>
            </w:r>
            <w:r>
              <w:rPr>
                <w:b/>
                <w:sz w:val="21"/>
                <w:szCs w:val="21"/>
                <w:u w:val="single"/>
              </w:rPr>
              <w:t>通过1套</w:t>
            </w:r>
            <w:r>
              <w:rPr>
                <w:rFonts w:hint="eastAsia"/>
                <w:b/>
                <w:sz w:val="21"/>
                <w:szCs w:val="21"/>
                <w:u w:val="single"/>
              </w:rPr>
              <w:t>覆膜</w:t>
            </w:r>
            <w:r>
              <w:rPr>
                <w:b/>
                <w:sz w:val="21"/>
                <w:szCs w:val="21"/>
                <w:u w:val="single"/>
              </w:rPr>
              <w:t>袋式除尘器</w:t>
            </w:r>
            <w:r>
              <w:rPr>
                <w:rFonts w:hint="eastAsia"/>
                <w:b/>
                <w:sz w:val="21"/>
                <w:szCs w:val="21"/>
                <w:u w:val="single"/>
              </w:rPr>
              <w:t>处理后，与注塑过程中产生的废气共同</w:t>
            </w:r>
            <w:r>
              <w:rPr>
                <w:b/>
                <w:sz w:val="21"/>
                <w:szCs w:val="21"/>
                <w:u w:val="single"/>
              </w:rPr>
              <w:t>进入</w:t>
            </w:r>
            <w:r>
              <w:rPr>
                <w:rFonts w:hint="eastAsia"/>
                <w:b/>
                <w:sz w:val="21"/>
                <w:szCs w:val="21"/>
                <w:u w:val="single"/>
              </w:rPr>
              <w:t>主管道；聚氨酯工艺生产线过程中产生的废气进入主管道；鞋面布激光切割产生废气进入主管道；三者合并后经过1套两级活性炭吸附工艺处理通过18m高排气筒（DA001）排放。</w:t>
            </w:r>
          </w:p>
        </w:tc>
        <w:tc>
          <w:tcPr>
            <w:tcW w:w="2834" w:type="dxa"/>
            <w:vMerge w:val="restart"/>
            <w:tcBorders>
              <w:top w:val="single" w:color="auto" w:sz="6" w:space="0"/>
              <w:left w:val="single" w:color="auto" w:sz="6" w:space="0"/>
              <w:right w:val="single" w:color="auto" w:sz="12" w:space="0"/>
            </w:tcBorders>
            <w:vAlign w:val="center"/>
          </w:tcPr>
          <w:p w14:paraId="78E5BBE8">
            <w:pPr>
              <w:pStyle w:val="154"/>
              <w:jc w:val="both"/>
              <w:rPr>
                <w:b/>
                <w:sz w:val="21"/>
                <w:szCs w:val="21"/>
                <w:u w:val="single"/>
              </w:rPr>
            </w:pPr>
            <w:r>
              <w:rPr>
                <w:b/>
                <w:sz w:val="21"/>
                <w:szCs w:val="21"/>
                <w:u w:val="single"/>
              </w:rPr>
              <w:t>同时满足《大气污染物综合排放标准》（GB16297-1996）</w:t>
            </w:r>
            <w:r>
              <w:rPr>
                <w:rFonts w:hint="eastAsia"/>
                <w:b/>
                <w:sz w:val="21"/>
                <w:szCs w:val="21"/>
                <w:u w:val="single"/>
              </w:rPr>
              <w:t>；</w:t>
            </w:r>
            <w:r>
              <w:rPr>
                <w:rFonts w:cs="Times New Roman" w:hAnsiTheme="minorEastAsia"/>
                <w:b/>
                <w:color w:val="000000" w:themeColor="text1"/>
                <w:sz w:val="21"/>
                <w:szCs w:val="21"/>
                <w:u w:val="single"/>
              </w:rPr>
              <w:t>非甲烷总烃和颗粒物需同时满足《重污染天气重点行业应急减排措施制定技术指南（</w:t>
            </w:r>
            <w:r>
              <w:rPr>
                <w:rFonts w:cs="Times New Roman"/>
                <w:b/>
                <w:color w:val="000000" w:themeColor="text1"/>
                <w:sz w:val="21"/>
                <w:szCs w:val="21"/>
                <w:u w:val="single"/>
              </w:rPr>
              <w:t>2020</w:t>
            </w:r>
            <w:r>
              <w:rPr>
                <w:rFonts w:cs="Times New Roman" w:hAnsiTheme="minorEastAsia"/>
                <w:b/>
                <w:color w:val="000000" w:themeColor="text1"/>
                <w:sz w:val="21"/>
                <w:szCs w:val="21"/>
                <w:u w:val="single"/>
              </w:rPr>
              <w:t>年修订版）》（环办大气函〔</w:t>
            </w:r>
            <w:r>
              <w:rPr>
                <w:rFonts w:cs="Times New Roman"/>
                <w:b/>
                <w:color w:val="000000" w:themeColor="text1"/>
                <w:sz w:val="21"/>
                <w:szCs w:val="21"/>
                <w:u w:val="single"/>
              </w:rPr>
              <w:t>2020</w:t>
            </w:r>
            <w:r>
              <w:rPr>
                <w:rFonts w:cs="Times New Roman" w:hAnsiTheme="minorEastAsia"/>
                <w:b/>
                <w:color w:val="000000" w:themeColor="text1"/>
                <w:sz w:val="21"/>
                <w:szCs w:val="21"/>
                <w:u w:val="single"/>
              </w:rPr>
              <w:t>〕</w:t>
            </w:r>
            <w:r>
              <w:rPr>
                <w:rFonts w:cs="Times New Roman"/>
                <w:b/>
                <w:color w:val="000000" w:themeColor="text1"/>
                <w:sz w:val="21"/>
                <w:szCs w:val="21"/>
                <w:u w:val="single"/>
              </w:rPr>
              <w:t>340</w:t>
            </w:r>
            <w:r>
              <w:rPr>
                <w:rFonts w:cs="Times New Roman" w:hAnsiTheme="minorEastAsia"/>
                <w:b/>
                <w:color w:val="000000" w:themeColor="text1"/>
                <w:sz w:val="21"/>
                <w:szCs w:val="21"/>
                <w:u w:val="single"/>
              </w:rPr>
              <w:t>号）中制鞋工业绩效引领性指标排放限值要求；非甲烷总烃还需</w:t>
            </w:r>
            <w:r>
              <w:rPr>
                <w:b/>
                <w:sz w:val="21"/>
                <w:szCs w:val="21"/>
                <w:u w:val="single"/>
              </w:rPr>
              <w:t>满足《</w:t>
            </w:r>
            <w:r>
              <w:rPr>
                <w:rFonts w:hint="eastAsia"/>
                <w:b/>
                <w:sz w:val="21"/>
                <w:szCs w:val="21"/>
                <w:u w:val="single"/>
              </w:rPr>
              <w:t>合成树脂工业污染物排放标准》(GB31572-2015 含2024年修改单)表5大气污染物特别排放限值；</w:t>
            </w:r>
          </w:p>
        </w:tc>
      </w:tr>
      <w:tr w14:paraId="45357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22" w:hRule="atLeast"/>
          <w:jc w:val="center"/>
        </w:trPr>
        <w:tc>
          <w:tcPr>
            <w:tcW w:w="1076" w:type="dxa"/>
            <w:vMerge w:val="continue"/>
            <w:tcBorders>
              <w:left w:val="single" w:color="auto" w:sz="12" w:space="0"/>
              <w:right w:val="single" w:color="auto" w:sz="6" w:space="0"/>
            </w:tcBorders>
            <w:vAlign w:val="center"/>
          </w:tcPr>
          <w:p w14:paraId="6E75AD2D">
            <w:pPr>
              <w:pStyle w:val="154"/>
              <w:rPr>
                <w:sz w:val="21"/>
                <w:szCs w:val="21"/>
              </w:rPr>
            </w:pPr>
          </w:p>
        </w:tc>
        <w:tc>
          <w:tcPr>
            <w:tcW w:w="1418" w:type="dxa"/>
            <w:vMerge w:val="continue"/>
            <w:tcBorders>
              <w:left w:val="single" w:color="auto" w:sz="6" w:space="0"/>
              <w:right w:val="single" w:color="auto" w:sz="6" w:space="0"/>
            </w:tcBorders>
            <w:vAlign w:val="center"/>
          </w:tcPr>
          <w:p w14:paraId="4B51B442">
            <w:pPr>
              <w:pStyle w:val="154"/>
              <w:rPr>
                <w:sz w:val="21"/>
                <w:szCs w:val="21"/>
              </w:rPr>
            </w:pPr>
          </w:p>
        </w:tc>
        <w:tc>
          <w:tcPr>
            <w:tcW w:w="1417" w:type="dxa"/>
            <w:tcBorders>
              <w:top w:val="single" w:color="auto" w:sz="6" w:space="0"/>
              <w:left w:val="single" w:color="auto" w:sz="6" w:space="0"/>
              <w:right w:val="single" w:color="auto" w:sz="6" w:space="0"/>
            </w:tcBorders>
            <w:vAlign w:val="center"/>
          </w:tcPr>
          <w:p w14:paraId="4CD2FAA9">
            <w:pPr>
              <w:pStyle w:val="154"/>
              <w:rPr>
                <w:sz w:val="21"/>
                <w:szCs w:val="21"/>
              </w:rPr>
            </w:pPr>
            <w:r>
              <w:rPr>
                <w:sz w:val="21"/>
                <w:szCs w:val="21"/>
              </w:rPr>
              <w:t>氯化氢</w:t>
            </w:r>
          </w:p>
        </w:tc>
        <w:tc>
          <w:tcPr>
            <w:tcW w:w="2296" w:type="dxa"/>
            <w:vMerge w:val="continue"/>
            <w:tcBorders>
              <w:left w:val="single" w:color="auto" w:sz="6" w:space="0"/>
              <w:right w:val="single" w:color="auto" w:sz="6" w:space="0"/>
            </w:tcBorders>
            <w:vAlign w:val="center"/>
          </w:tcPr>
          <w:p w14:paraId="650A06CF">
            <w:pPr>
              <w:pStyle w:val="154"/>
              <w:jc w:val="left"/>
              <w:rPr>
                <w:b/>
                <w:sz w:val="21"/>
                <w:szCs w:val="21"/>
                <w:u w:val="single"/>
              </w:rPr>
            </w:pPr>
          </w:p>
        </w:tc>
        <w:tc>
          <w:tcPr>
            <w:tcW w:w="2834" w:type="dxa"/>
            <w:vMerge w:val="continue"/>
            <w:tcBorders>
              <w:left w:val="single" w:color="auto" w:sz="6" w:space="0"/>
              <w:right w:val="single" w:color="auto" w:sz="12" w:space="0"/>
            </w:tcBorders>
            <w:vAlign w:val="center"/>
          </w:tcPr>
          <w:p w14:paraId="5A7CD6E2">
            <w:pPr>
              <w:pStyle w:val="154"/>
              <w:jc w:val="both"/>
              <w:rPr>
                <w:sz w:val="21"/>
                <w:szCs w:val="21"/>
              </w:rPr>
            </w:pPr>
          </w:p>
        </w:tc>
      </w:tr>
      <w:tr w14:paraId="6A7E5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22" w:hRule="atLeast"/>
          <w:jc w:val="center"/>
        </w:trPr>
        <w:tc>
          <w:tcPr>
            <w:tcW w:w="1076" w:type="dxa"/>
            <w:vMerge w:val="continue"/>
            <w:tcBorders>
              <w:left w:val="single" w:color="auto" w:sz="12" w:space="0"/>
              <w:right w:val="single" w:color="auto" w:sz="6" w:space="0"/>
            </w:tcBorders>
            <w:vAlign w:val="center"/>
          </w:tcPr>
          <w:p w14:paraId="12DEA7D7">
            <w:pPr>
              <w:pStyle w:val="154"/>
              <w:rPr>
                <w:sz w:val="21"/>
                <w:szCs w:val="21"/>
              </w:rPr>
            </w:pPr>
          </w:p>
        </w:tc>
        <w:tc>
          <w:tcPr>
            <w:tcW w:w="1418" w:type="dxa"/>
            <w:vMerge w:val="continue"/>
            <w:tcBorders>
              <w:left w:val="single" w:color="auto" w:sz="6" w:space="0"/>
              <w:right w:val="single" w:color="auto" w:sz="6" w:space="0"/>
            </w:tcBorders>
            <w:vAlign w:val="center"/>
          </w:tcPr>
          <w:p w14:paraId="47B84274">
            <w:pPr>
              <w:pStyle w:val="154"/>
              <w:rPr>
                <w:sz w:val="21"/>
                <w:szCs w:val="21"/>
              </w:rPr>
            </w:pPr>
          </w:p>
        </w:tc>
        <w:tc>
          <w:tcPr>
            <w:tcW w:w="1417" w:type="dxa"/>
            <w:tcBorders>
              <w:top w:val="single" w:color="auto" w:sz="6" w:space="0"/>
              <w:left w:val="single" w:color="auto" w:sz="6" w:space="0"/>
              <w:right w:val="single" w:color="auto" w:sz="6" w:space="0"/>
            </w:tcBorders>
            <w:vAlign w:val="center"/>
          </w:tcPr>
          <w:p w14:paraId="5D40E350">
            <w:pPr>
              <w:pStyle w:val="154"/>
              <w:rPr>
                <w:sz w:val="21"/>
                <w:szCs w:val="21"/>
              </w:rPr>
            </w:pPr>
            <w:r>
              <w:rPr>
                <w:sz w:val="21"/>
                <w:szCs w:val="21"/>
              </w:rPr>
              <w:t>颗粒物</w:t>
            </w:r>
          </w:p>
        </w:tc>
        <w:tc>
          <w:tcPr>
            <w:tcW w:w="2296" w:type="dxa"/>
            <w:vMerge w:val="continue"/>
            <w:tcBorders>
              <w:left w:val="single" w:color="auto" w:sz="6" w:space="0"/>
              <w:right w:val="single" w:color="auto" w:sz="6" w:space="0"/>
            </w:tcBorders>
            <w:vAlign w:val="center"/>
          </w:tcPr>
          <w:p w14:paraId="3DBCC0EB">
            <w:pPr>
              <w:pStyle w:val="154"/>
              <w:jc w:val="left"/>
              <w:rPr>
                <w:b/>
                <w:sz w:val="21"/>
                <w:szCs w:val="21"/>
                <w:u w:val="single"/>
              </w:rPr>
            </w:pPr>
          </w:p>
        </w:tc>
        <w:tc>
          <w:tcPr>
            <w:tcW w:w="2834" w:type="dxa"/>
            <w:vMerge w:val="continue"/>
            <w:tcBorders>
              <w:left w:val="single" w:color="auto" w:sz="6" w:space="0"/>
              <w:right w:val="single" w:color="auto" w:sz="12" w:space="0"/>
            </w:tcBorders>
            <w:vAlign w:val="center"/>
          </w:tcPr>
          <w:p w14:paraId="4748CE60">
            <w:pPr>
              <w:pStyle w:val="154"/>
              <w:jc w:val="both"/>
              <w:rPr>
                <w:sz w:val="21"/>
                <w:szCs w:val="21"/>
              </w:rPr>
            </w:pPr>
          </w:p>
        </w:tc>
      </w:tr>
      <w:tr w14:paraId="17F08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75" w:hRule="atLeast"/>
          <w:jc w:val="center"/>
        </w:trPr>
        <w:tc>
          <w:tcPr>
            <w:tcW w:w="1076" w:type="dxa"/>
            <w:vMerge w:val="restart"/>
            <w:tcBorders>
              <w:top w:val="single" w:color="auto" w:sz="6" w:space="0"/>
              <w:left w:val="single" w:color="auto" w:sz="12" w:space="0"/>
              <w:right w:val="single" w:color="auto" w:sz="6" w:space="0"/>
            </w:tcBorders>
            <w:vAlign w:val="center"/>
          </w:tcPr>
          <w:p w14:paraId="72F138D1">
            <w:pPr>
              <w:pStyle w:val="154"/>
              <w:rPr>
                <w:sz w:val="21"/>
                <w:szCs w:val="21"/>
              </w:rPr>
            </w:pPr>
            <w:r>
              <w:rPr>
                <w:sz w:val="21"/>
                <w:szCs w:val="21"/>
              </w:rPr>
              <w:t>地表水环境</w:t>
            </w:r>
          </w:p>
        </w:tc>
        <w:tc>
          <w:tcPr>
            <w:tcW w:w="1418" w:type="dxa"/>
            <w:tcBorders>
              <w:top w:val="single" w:color="auto" w:sz="6" w:space="0"/>
              <w:left w:val="single" w:color="auto" w:sz="6" w:space="0"/>
              <w:right w:val="single" w:color="auto" w:sz="6" w:space="0"/>
            </w:tcBorders>
            <w:shd w:val="clear" w:color="auto" w:fill="auto"/>
            <w:vAlign w:val="center"/>
          </w:tcPr>
          <w:p w14:paraId="577F4F0B">
            <w:pPr>
              <w:pStyle w:val="154"/>
              <w:rPr>
                <w:sz w:val="21"/>
                <w:szCs w:val="21"/>
              </w:rPr>
            </w:pPr>
            <w:r>
              <w:rPr>
                <w:sz w:val="21"/>
                <w:szCs w:val="21"/>
              </w:rPr>
              <w:t>生活污水</w:t>
            </w:r>
          </w:p>
        </w:tc>
        <w:tc>
          <w:tcPr>
            <w:tcW w:w="1417" w:type="dxa"/>
            <w:tcBorders>
              <w:top w:val="single" w:color="auto" w:sz="6" w:space="0"/>
              <w:left w:val="single" w:color="auto" w:sz="6" w:space="0"/>
              <w:right w:val="single" w:color="auto" w:sz="6" w:space="0"/>
            </w:tcBorders>
            <w:shd w:val="clear" w:color="auto" w:fill="auto"/>
            <w:vAlign w:val="center"/>
          </w:tcPr>
          <w:p w14:paraId="5D7F648E">
            <w:pPr>
              <w:pStyle w:val="154"/>
              <w:rPr>
                <w:sz w:val="21"/>
                <w:szCs w:val="21"/>
              </w:rPr>
            </w:pPr>
            <w:r>
              <w:rPr>
                <w:sz w:val="21"/>
                <w:szCs w:val="21"/>
              </w:rPr>
              <w:t>COD、BOD</w:t>
            </w:r>
            <w:r>
              <w:rPr>
                <w:sz w:val="21"/>
                <w:szCs w:val="21"/>
                <w:vertAlign w:val="subscript"/>
              </w:rPr>
              <w:t>5</w:t>
            </w:r>
            <w:r>
              <w:rPr>
                <w:sz w:val="21"/>
                <w:szCs w:val="21"/>
              </w:rPr>
              <w:t>、SS、NH</w:t>
            </w:r>
            <w:r>
              <w:rPr>
                <w:sz w:val="21"/>
                <w:szCs w:val="21"/>
                <w:vertAlign w:val="subscript"/>
              </w:rPr>
              <w:t>3</w:t>
            </w:r>
            <w:r>
              <w:rPr>
                <w:sz w:val="21"/>
                <w:szCs w:val="21"/>
              </w:rPr>
              <w:t>-N</w:t>
            </w:r>
          </w:p>
        </w:tc>
        <w:tc>
          <w:tcPr>
            <w:tcW w:w="2296" w:type="dxa"/>
            <w:tcBorders>
              <w:top w:val="single" w:color="auto" w:sz="6" w:space="0"/>
              <w:left w:val="single" w:color="auto" w:sz="6" w:space="0"/>
              <w:right w:val="single" w:color="auto" w:sz="6" w:space="0"/>
            </w:tcBorders>
            <w:shd w:val="clear" w:color="auto" w:fill="auto"/>
            <w:vAlign w:val="center"/>
          </w:tcPr>
          <w:p w14:paraId="1E11EF86">
            <w:pPr>
              <w:pStyle w:val="154"/>
              <w:jc w:val="left"/>
              <w:rPr>
                <w:sz w:val="21"/>
                <w:szCs w:val="21"/>
              </w:rPr>
            </w:pPr>
            <w:r>
              <w:rPr>
                <w:sz w:val="21"/>
                <w:szCs w:val="21"/>
              </w:rPr>
              <w:t>生活污水</w:t>
            </w:r>
            <w:r>
              <w:rPr>
                <w:rFonts w:hint="eastAsia"/>
                <w:sz w:val="21"/>
                <w:szCs w:val="21"/>
              </w:rPr>
              <w:t>经</w:t>
            </w:r>
            <w:r>
              <w:rPr>
                <w:sz w:val="21"/>
                <w:szCs w:val="21"/>
              </w:rPr>
              <w:t>厂区现有化粪池预处理，由总排口外排</w:t>
            </w:r>
            <w:r>
              <w:rPr>
                <w:rFonts w:hint="eastAsia"/>
                <w:sz w:val="21"/>
                <w:szCs w:val="21"/>
              </w:rPr>
              <w:t>经</w:t>
            </w:r>
            <w:r>
              <w:rPr>
                <w:sz w:val="21"/>
                <w:szCs w:val="21"/>
              </w:rPr>
              <w:t>市政污水管网</w:t>
            </w:r>
            <w:r>
              <w:rPr>
                <w:rFonts w:hint="eastAsia"/>
                <w:sz w:val="21"/>
                <w:szCs w:val="21"/>
              </w:rPr>
              <w:t>排入洛阳市中洲渠人工湿地</w:t>
            </w:r>
            <w:r>
              <w:rPr>
                <w:sz w:val="21"/>
                <w:szCs w:val="21"/>
              </w:rPr>
              <w:t>。</w:t>
            </w:r>
          </w:p>
        </w:tc>
        <w:tc>
          <w:tcPr>
            <w:tcW w:w="2834" w:type="dxa"/>
            <w:tcBorders>
              <w:top w:val="single" w:color="auto" w:sz="6" w:space="0"/>
              <w:left w:val="single" w:color="auto" w:sz="6" w:space="0"/>
              <w:right w:val="single" w:color="auto" w:sz="12" w:space="0"/>
            </w:tcBorders>
            <w:vAlign w:val="center"/>
          </w:tcPr>
          <w:p w14:paraId="44C567CC">
            <w:pPr>
              <w:pStyle w:val="154"/>
              <w:jc w:val="left"/>
              <w:rPr>
                <w:sz w:val="21"/>
                <w:szCs w:val="21"/>
              </w:rPr>
            </w:pPr>
            <w:r>
              <w:rPr>
                <w:sz w:val="21"/>
                <w:szCs w:val="21"/>
              </w:rPr>
              <w:t>同时满足《污水综合排放标准》（GB8978-1996）三级标准和洛阳市中州渠人工湿地进水水质要求</w:t>
            </w:r>
          </w:p>
        </w:tc>
      </w:tr>
      <w:tr w14:paraId="686A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0" w:hRule="atLeast"/>
          <w:jc w:val="center"/>
        </w:trPr>
        <w:tc>
          <w:tcPr>
            <w:tcW w:w="1076" w:type="dxa"/>
            <w:vMerge w:val="continue"/>
            <w:tcBorders>
              <w:left w:val="single" w:color="auto" w:sz="12" w:space="0"/>
              <w:right w:val="single" w:color="auto" w:sz="6" w:space="0"/>
            </w:tcBorders>
            <w:vAlign w:val="center"/>
          </w:tcPr>
          <w:p w14:paraId="578B7232">
            <w:pPr>
              <w:pStyle w:val="154"/>
              <w:rPr>
                <w:sz w:val="21"/>
                <w:szCs w:val="21"/>
              </w:rPr>
            </w:pPr>
          </w:p>
        </w:tc>
        <w:tc>
          <w:tcPr>
            <w:tcW w:w="1418" w:type="dxa"/>
            <w:tcBorders>
              <w:top w:val="single" w:color="auto" w:sz="6" w:space="0"/>
              <w:left w:val="single" w:color="auto" w:sz="6" w:space="0"/>
              <w:right w:val="single" w:color="auto" w:sz="6" w:space="0"/>
            </w:tcBorders>
            <w:shd w:val="clear" w:color="auto" w:fill="auto"/>
            <w:vAlign w:val="center"/>
          </w:tcPr>
          <w:p w14:paraId="6200B8B1">
            <w:pPr>
              <w:pStyle w:val="154"/>
              <w:rPr>
                <w:sz w:val="21"/>
                <w:szCs w:val="21"/>
              </w:rPr>
            </w:pPr>
            <w:r>
              <w:rPr>
                <w:rFonts w:hint="eastAsia"/>
                <w:sz w:val="21"/>
                <w:szCs w:val="21"/>
              </w:rPr>
              <w:t>循环冷却水</w:t>
            </w:r>
          </w:p>
        </w:tc>
        <w:tc>
          <w:tcPr>
            <w:tcW w:w="1417" w:type="dxa"/>
            <w:tcBorders>
              <w:top w:val="single" w:color="auto" w:sz="6" w:space="0"/>
              <w:left w:val="single" w:color="auto" w:sz="6" w:space="0"/>
              <w:right w:val="single" w:color="auto" w:sz="6" w:space="0"/>
            </w:tcBorders>
            <w:shd w:val="clear" w:color="auto" w:fill="auto"/>
            <w:vAlign w:val="center"/>
          </w:tcPr>
          <w:p w14:paraId="08FCB472">
            <w:pPr>
              <w:pStyle w:val="154"/>
              <w:rPr>
                <w:sz w:val="21"/>
                <w:szCs w:val="21"/>
              </w:rPr>
            </w:pPr>
            <w:r>
              <w:rPr>
                <w:rFonts w:hint="eastAsia"/>
                <w:sz w:val="21"/>
                <w:szCs w:val="21"/>
              </w:rPr>
              <w:t>SS</w:t>
            </w:r>
          </w:p>
        </w:tc>
        <w:tc>
          <w:tcPr>
            <w:tcW w:w="2296" w:type="dxa"/>
            <w:tcBorders>
              <w:top w:val="single" w:color="auto" w:sz="6" w:space="0"/>
              <w:left w:val="single" w:color="auto" w:sz="6" w:space="0"/>
              <w:right w:val="single" w:color="auto" w:sz="6" w:space="0"/>
            </w:tcBorders>
            <w:shd w:val="clear" w:color="auto" w:fill="auto"/>
            <w:vAlign w:val="center"/>
          </w:tcPr>
          <w:p w14:paraId="2FEB4ECA">
            <w:pPr>
              <w:pStyle w:val="154"/>
              <w:jc w:val="left"/>
              <w:rPr>
                <w:sz w:val="21"/>
                <w:szCs w:val="21"/>
              </w:rPr>
            </w:pPr>
            <w:r>
              <w:rPr>
                <w:sz w:val="21"/>
                <w:szCs w:val="21"/>
              </w:rPr>
              <w:t>循环冷却水每日补充损耗水量，循环使用</w:t>
            </w:r>
            <w:r>
              <w:rPr>
                <w:rFonts w:hint="eastAsia"/>
                <w:sz w:val="21"/>
                <w:szCs w:val="21"/>
              </w:rPr>
              <w:t>，不排放。</w:t>
            </w:r>
          </w:p>
        </w:tc>
        <w:tc>
          <w:tcPr>
            <w:tcW w:w="2834" w:type="dxa"/>
            <w:tcBorders>
              <w:top w:val="single" w:color="auto" w:sz="6" w:space="0"/>
              <w:left w:val="single" w:color="auto" w:sz="6" w:space="0"/>
              <w:right w:val="single" w:color="auto" w:sz="12" w:space="0"/>
            </w:tcBorders>
            <w:shd w:val="clear" w:color="auto" w:fill="auto"/>
            <w:vAlign w:val="center"/>
          </w:tcPr>
          <w:p w14:paraId="09EA9F9B">
            <w:pPr>
              <w:pStyle w:val="154"/>
              <w:jc w:val="left"/>
              <w:rPr>
                <w:sz w:val="21"/>
                <w:szCs w:val="21"/>
              </w:rPr>
            </w:pPr>
            <w:r>
              <w:rPr>
                <w:rFonts w:hint="eastAsia"/>
                <w:sz w:val="21"/>
                <w:szCs w:val="21"/>
              </w:rPr>
              <w:t>不排放</w:t>
            </w:r>
          </w:p>
        </w:tc>
      </w:tr>
      <w:tr w14:paraId="36AE8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076" w:type="dxa"/>
            <w:tcBorders>
              <w:top w:val="single" w:color="auto" w:sz="6" w:space="0"/>
              <w:left w:val="single" w:color="auto" w:sz="12" w:space="0"/>
              <w:bottom w:val="single" w:color="auto" w:sz="6" w:space="0"/>
              <w:right w:val="single" w:color="auto" w:sz="6" w:space="0"/>
            </w:tcBorders>
            <w:vAlign w:val="center"/>
          </w:tcPr>
          <w:p w14:paraId="1F6BD697">
            <w:pPr>
              <w:pStyle w:val="154"/>
              <w:rPr>
                <w:sz w:val="21"/>
                <w:szCs w:val="21"/>
              </w:rPr>
            </w:pPr>
            <w:r>
              <w:rPr>
                <w:sz w:val="21"/>
                <w:szCs w:val="21"/>
              </w:rPr>
              <w:t>声环境</w:t>
            </w:r>
          </w:p>
        </w:tc>
        <w:tc>
          <w:tcPr>
            <w:tcW w:w="1418" w:type="dxa"/>
            <w:tcBorders>
              <w:top w:val="single" w:color="auto" w:sz="6" w:space="0"/>
              <w:left w:val="single" w:color="auto" w:sz="6" w:space="0"/>
              <w:bottom w:val="single" w:color="auto" w:sz="6" w:space="0"/>
              <w:right w:val="single" w:color="auto" w:sz="6" w:space="0"/>
            </w:tcBorders>
            <w:vAlign w:val="center"/>
          </w:tcPr>
          <w:p w14:paraId="70FE6774">
            <w:pPr>
              <w:pStyle w:val="154"/>
              <w:rPr>
                <w:sz w:val="21"/>
                <w:szCs w:val="21"/>
              </w:rPr>
            </w:pPr>
            <w:r>
              <w:rPr>
                <w:sz w:val="21"/>
                <w:szCs w:val="21"/>
              </w:rPr>
              <w:t>设备噪声</w:t>
            </w:r>
          </w:p>
        </w:tc>
        <w:tc>
          <w:tcPr>
            <w:tcW w:w="1417" w:type="dxa"/>
            <w:tcBorders>
              <w:top w:val="single" w:color="auto" w:sz="6" w:space="0"/>
              <w:left w:val="single" w:color="auto" w:sz="6" w:space="0"/>
              <w:bottom w:val="single" w:color="auto" w:sz="6" w:space="0"/>
              <w:right w:val="single" w:color="auto" w:sz="6" w:space="0"/>
            </w:tcBorders>
            <w:vAlign w:val="center"/>
          </w:tcPr>
          <w:p w14:paraId="49E8420C">
            <w:pPr>
              <w:pStyle w:val="154"/>
              <w:rPr>
                <w:sz w:val="21"/>
                <w:szCs w:val="21"/>
              </w:rPr>
            </w:pPr>
            <w:r>
              <w:rPr>
                <w:sz w:val="21"/>
                <w:szCs w:val="21"/>
              </w:rPr>
              <w:t>等效连续A声级</w:t>
            </w:r>
          </w:p>
        </w:tc>
        <w:tc>
          <w:tcPr>
            <w:tcW w:w="2296" w:type="dxa"/>
            <w:tcBorders>
              <w:top w:val="single" w:color="auto" w:sz="6" w:space="0"/>
              <w:left w:val="single" w:color="auto" w:sz="6" w:space="0"/>
              <w:bottom w:val="single" w:color="auto" w:sz="6" w:space="0"/>
              <w:right w:val="single" w:color="auto" w:sz="6" w:space="0"/>
            </w:tcBorders>
            <w:vAlign w:val="center"/>
          </w:tcPr>
          <w:p w14:paraId="78E7A9DF">
            <w:pPr>
              <w:pStyle w:val="154"/>
              <w:rPr>
                <w:sz w:val="21"/>
                <w:szCs w:val="21"/>
              </w:rPr>
            </w:pPr>
            <w:r>
              <w:rPr>
                <w:sz w:val="21"/>
                <w:szCs w:val="21"/>
              </w:rPr>
              <w:t>减震、隔声</w:t>
            </w:r>
            <w:r>
              <w:rPr>
                <w:rFonts w:hint="eastAsia"/>
                <w:sz w:val="21"/>
                <w:szCs w:val="21"/>
              </w:rPr>
              <w:t>。</w:t>
            </w:r>
          </w:p>
        </w:tc>
        <w:tc>
          <w:tcPr>
            <w:tcW w:w="2834" w:type="dxa"/>
            <w:tcBorders>
              <w:top w:val="single" w:color="auto" w:sz="6" w:space="0"/>
              <w:left w:val="single" w:color="auto" w:sz="6" w:space="0"/>
              <w:bottom w:val="single" w:color="auto" w:sz="6" w:space="0"/>
              <w:right w:val="single" w:color="auto" w:sz="12" w:space="0"/>
            </w:tcBorders>
            <w:vAlign w:val="center"/>
          </w:tcPr>
          <w:p w14:paraId="7EF86A93">
            <w:pPr>
              <w:pStyle w:val="154"/>
              <w:jc w:val="left"/>
              <w:rPr>
                <w:sz w:val="21"/>
                <w:szCs w:val="21"/>
              </w:rPr>
            </w:pPr>
            <w:r>
              <w:rPr>
                <w:sz w:val="21"/>
                <w:szCs w:val="21"/>
              </w:rPr>
              <w:t>《工业企业厂界环境噪声排放标准》（GB12348-2008）中3类标准</w:t>
            </w:r>
          </w:p>
        </w:tc>
      </w:tr>
      <w:tr w14:paraId="6C52A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6" w:hRule="atLeast"/>
          <w:jc w:val="center"/>
        </w:trPr>
        <w:tc>
          <w:tcPr>
            <w:tcW w:w="1076" w:type="dxa"/>
            <w:tcBorders>
              <w:top w:val="single" w:color="auto" w:sz="6" w:space="0"/>
              <w:left w:val="single" w:color="auto" w:sz="12" w:space="0"/>
              <w:bottom w:val="single" w:color="auto" w:sz="6" w:space="0"/>
              <w:right w:val="single" w:color="auto" w:sz="6" w:space="0"/>
            </w:tcBorders>
            <w:vAlign w:val="center"/>
          </w:tcPr>
          <w:p w14:paraId="43FC68AF">
            <w:pPr>
              <w:pStyle w:val="154"/>
              <w:rPr>
                <w:sz w:val="21"/>
                <w:szCs w:val="21"/>
              </w:rPr>
            </w:pPr>
            <w:r>
              <w:rPr>
                <w:sz w:val="21"/>
                <w:szCs w:val="21"/>
              </w:rPr>
              <w:t>电磁辐射</w:t>
            </w:r>
          </w:p>
        </w:tc>
        <w:tc>
          <w:tcPr>
            <w:tcW w:w="1418" w:type="dxa"/>
            <w:tcBorders>
              <w:top w:val="single" w:color="auto" w:sz="6" w:space="0"/>
              <w:left w:val="single" w:color="auto" w:sz="6" w:space="0"/>
              <w:bottom w:val="single" w:color="auto" w:sz="6" w:space="0"/>
              <w:right w:val="single" w:color="auto" w:sz="6" w:space="0"/>
            </w:tcBorders>
            <w:vAlign w:val="center"/>
          </w:tcPr>
          <w:p w14:paraId="39A89AE2">
            <w:pPr>
              <w:pStyle w:val="154"/>
              <w:rPr>
                <w:sz w:val="21"/>
                <w:szCs w:val="21"/>
              </w:rPr>
            </w:pPr>
            <w:r>
              <w:rPr>
                <w:sz w:val="21"/>
                <w:szCs w:val="21"/>
              </w:rPr>
              <w:t>/</w:t>
            </w:r>
          </w:p>
        </w:tc>
        <w:tc>
          <w:tcPr>
            <w:tcW w:w="1417" w:type="dxa"/>
            <w:tcBorders>
              <w:top w:val="single" w:color="auto" w:sz="6" w:space="0"/>
              <w:left w:val="single" w:color="auto" w:sz="6" w:space="0"/>
              <w:bottom w:val="single" w:color="auto" w:sz="6" w:space="0"/>
              <w:right w:val="single" w:color="auto" w:sz="6" w:space="0"/>
            </w:tcBorders>
            <w:vAlign w:val="center"/>
          </w:tcPr>
          <w:p w14:paraId="0F3BD601">
            <w:pPr>
              <w:pStyle w:val="154"/>
              <w:rPr>
                <w:sz w:val="21"/>
                <w:szCs w:val="21"/>
              </w:rPr>
            </w:pPr>
            <w:r>
              <w:rPr>
                <w:sz w:val="21"/>
                <w:szCs w:val="21"/>
              </w:rPr>
              <w:t>/</w:t>
            </w:r>
          </w:p>
        </w:tc>
        <w:tc>
          <w:tcPr>
            <w:tcW w:w="2296" w:type="dxa"/>
            <w:tcBorders>
              <w:top w:val="single" w:color="auto" w:sz="6" w:space="0"/>
              <w:left w:val="single" w:color="auto" w:sz="6" w:space="0"/>
              <w:bottom w:val="single" w:color="auto" w:sz="6" w:space="0"/>
              <w:right w:val="single" w:color="auto" w:sz="6" w:space="0"/>
            </w:tcBorders>
            <w:vAlign w:val="center"/>
          </w:tcPr>
          <w:p w14:paraId="4E68044E">
            <w:pPr>
              <w:pStyle w:val="154"/>
              <w:rPr>
                <w:sz w:val="21"/>
                <w:szCs w:val="21"/>
              </w:rPr>
            </w:pPr>
            <w:r>
              <w:rPr>
                <w:sz w:val="21"/>
                <w:szCs w:val="21"/>
              </w:rPr>
              <w:t>/</w:t>
            </w:r>
          </w:p>
        </w:tc>
        <w:tc>
          <w:tcPr>
            <w:tcW w:w="2834" w:type="dxa"/>
            <w:tcBorders>
              <w:top w:val="single" w:color="auto" w:sz="6" w:space="0"/>
              <w:left w:val="single" w:color="auto" w:sz="6" w:space="0"/>
              <w:bottom w:val="single" w:color="auto" w:sz="6" w:space="0"/>
              <w:right w:val="single" w:color="auto" w:sz="12" w:space="0"/>
            </w:tcBorders>
            <w:vAlign w:val="center"/>
          </w:tcPr>
          <w:p w14:paraId="626A8B59">
            <w:pPr>
              <w:pStyle w:val="154"/>
              <w:rPr>
                <w:sz w:val="21"/>
                <w:szCs w:val="21"/>
              </w:rPr>
            </w:pPr>
            <w:r>
              <w:rPr>
                <w:sz w:val="21"/>
                <w:szCs w:val="21"/>
              </w:rPr>
              <w:t>/</w:t>
            </w:r>
          </w:p>
        </w:tc>
      </w:tr>
      <w:tr w14:paraId="7C413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64" w:hRule="atLeast"/>
          <w:jc w:val="center"/>
        </w:trPr>
        <w:tc>
          <w:tcPr>
            <w:tcW w:w="1076" w:type="dxa"/>
            <w:tcBorders>
              <w:top w:val="single" w:color="auto" w:sz="6" w:space="0"/>
              <w:left w:val="single" w:color="auto" w:sz="12" w:space="0"/>
              <w:bottom w:val="single" w:color="auto" w:sz="6" w:space="0"/>
              <w:right w:val="single" w:color="auto" w:sz="6" w:space="0"/>
            </w:tcBorders>
            <w:vAlign w:val="center"/>
          </w:tcPr>
          <w:p w14:paraId="0E08FA86">
            <w:pPr>
              <w:pStyle w:val="154"/>
              <w:rPr>
                <w:sz w:val="21"/>
                <w:szCs w:val="21"/>
              </w:rPr>
            </w:pPr>
            <w:r>
              <w:rPr>
                <w:sz w:val="21"/>
                <w:szCs w:val="21"/>
              </w:rPr>
              <w:t>固体废物</w:t>
            </w:r>
          </w:p>
        </w:tc>
        <w:tc>
          <w:tcPr>
            <w:tcW w:w="7965" w:type="dxa"/>
            <w:gridSpan w:val="4"/>
            <w:tcBorders>
              <w:top w:val="single" w:color="auto" w:sz="6" w:space="0"/>
              <w:left w:val="single" w:color="auto" w:sz="6" w:space="0"/>
              <w:bottom w:val="single" w:color="auto" w:sz="6" w:space="0"/>
              <w:right w:val="single" w:color="auto" w:sz="12" w:space="0"/>
            </w:tcBorders>
            <w:vAlign w:val="center"/>
          </w:tcPr>
          <w:p w14:paraId="5074E1D3">
            <w:pPr>
              <w:pStyle w:val="154"/>
              <w:jc w:val="left"/>
              <w:rPr>
                <w:sz w:val="21"/>
                <w:szCs w:val="21"/>
              </w:rPr>
            </w:pPr>
            <w:r>
              <w:rPr>
                <w:sz w:val="21"/>
                <w:szCs w:val="21"/>
              </w:rPr>
              <w:t>（1）一般固废：</w:t>
            </w:r>
          </w:p>
          <w:p w14:paraId="20881589">
            <w:pPr>
              <w:pStyle w:val="154"/>
              <w:jc w:val="left"/>
              <w:rPr>
                <w:sz w:val="21"/>
                <w:szCs w:val="21"/>
              </w:rPr>
            </w:pPr>
            <w:r>
              <w:rPr>
                <w:sz w:val="21"/>
                <w:szCs w:val="21"/>
              </w:rPr>
              <w:t>废包装材料</w:t>
            </w:r>
            <w:r>
              <w:rPr>
                <w:rFonts w:hint="eastAsia"/>
                <w:sz w:val="21"/>
                <w:szCs w:val="21"/>
              </w:rPr>
              <w:t>、废包装桶（A料、C料）、废</w:t>
            </w:r>
            <w:r>
              <w:rPr>
                <w:sz w:val="21"/>
                <w:szCs w:val="21"/>
              </w:rPr>
              <w:t>PU</w:t>
            </w:r>
            <w:r>
              <w:rPr>
                <w:rFonts w:hint="eastAsia"/>
                <w:sz w:val="21"/>
                <w:szCs w:val="21"/>
              </w:rPr>
              <w:t>边角料、废滤袋</w:t>
            </w:r>
            <w:r>
              <w:rPr>
                <w:sz w:val="21"/>
                <w:szCs w:val="21"/>
              </w:rPr>
              <w:t>：车间内设置一般固废暂存区，收集后外售给回收单位。</w:t>
            </w:r>
            <w:r>
              <w:rPr>
                <w:rFonts w:hint="eastAsia"/>
                <w:sz w:val="21"/>
                <w:szCs w:val="21"/>
              </w:rPr>
              <w:t xml:space="preserve"> </w:t>
            </w:r>
          </w:p>
          <w:p w14:paraId="73AF1D6A">
            <w:pPr>
              <w:pStyle w:val="154"/>
              <w:jc w:val="left"/>
              <w:rPr>
                <w:sz w:val="21"/>
                <w:szCs w:val="21"/>
              </w:rPr>
            </w:pPr>
            <w:r>
              <w:rPr>
                <w:sz w:val="21"/>
                <w:szCs w:val="21"/>
              </w:rPr>
              <w:t>生活垃圾：设置生活垃圾收集桶，每天收集后，交由环保部门统一清运。</w:t>
            </w:r>
          </w:p>
          <w:p w14:paraId="3851BE20">
            <w:pPr>
              <w:pStyle w:val="154"/>
              <w:jc w:val="left"/>
              <w:rPr>
                <w:sz w:val="21"/>
                <w:szCs w:val="21"/>
              </w:rPr>
            </w:pPr>
            <w:r>
              <w:rPr>
                <w:sz w:val="21"/>
                <w:szCs w:val="21"/>
              </w:rPr>
              <w:t>（</w:t>
            </w:r>
            <w:r>
              <w:rPr>
                <w:rFonts w:hint="eastAsia"/>
                <w:sz w:val="21"/>
                <w:szCs w:val="21"/>
              </w:rPr>
              <w:t>2</w:t>
            </w:r>
            <w:r>
              <w:rPr>
                <w:sz w:val="21"/>
                <w:szCs w:val="21"/>
              </w:rPr>
              <w:t>）危险废物：收集暂存于危废暂存间</w:t>
            </w:r>
            <w:r>
              <w:rPr>
                <w:rFonts w:hint="eastAsia"/>
                <w:sz w:val="21"/>
                <w:szCs w:val="21"/>
              </w:rPr>
              <w:t>（位于厂区入口东侧一楼楼梯间，占地10</w:t>
            </w:r>
            <w:r>
              <w:rPr>
                <w:sz w:val="21"/>
                <w:szCs w:val="21"/>
              </w:rPr>
              <w:t>m</w:t>
            </w:r>
            <w:r>
              <w:rPr>
                <w:sz w:val="21"/>
                <w:szCs w:val="21"/>
                <w:vertAlign w:val="superscript"/>
              </w:rPr>
              <w:t>2</w:t>
            </w:r>
            <w:r>
              <w:rPr>
                <w:rFonts w:hint="eastAsia"/>
                <w:sz w:val="21"/>
                <w:szCs w:val="21"/>
              </w:rPr>
              <w:t>）</w:t>
            </w:r>
            <w:r>
              <w:rPr>
                <w:sz w:val="21"/>
                <w:szCs w:val="21"/>
              </w:rPr>
              <w:t>，定期交由有资质单位处置。</w:t>
            </w:r>
          </w:p>
        </w:tc>
      </w:tr>
      <w:tr w14:paraId="48736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65" w:hRule="atLeast"/>
          <w:jc w:val="center"/>
        </w:trPr>
        <w:tc>
          <w:tcPr>
            <w:tcW w:w="1076" w:type="dxa"/>
            <w:tcBorders>
              <w:top w:val="single" w:color="auto" w:sz="6" w:space="0"/>
              <w:left w:val="single" w:color="auto" w:sz="12" w:space="0"/>
              <w:bottom w:val="single" w:color="auto" w:sz="6" w:space="0"/>
              <w:right w:val="single" w:color="auto" w:sz="6" w:space="0"/>
            </w:tcBorders>
            <w:vAlign w:val="center"/>
          </w:tcPr>
          <w:p w14:paraId="05DDA95C">
            <w:pPr>
              <w:pStyle w:val="154"/>
              <w:rPr>
                <w:sz w:val="21"/>
                <w:szCs w:val="21"/>
              </w:rPr>
            </w:pPr>
            <w:r>
              <w:rPr>
                <w:sz w:val="21"/>
                <w:szCs w:val="21"/>
              </w:rPr>
              <w:t>土壤及地下水</w:t>
            </w:r>
          </w:p>
          <w:p w14:paraId="766C626A">
            <w:pPr>
              <w:pStyle w:val="154"/>
              <w:rPr>
                <w:sz w:val="21"/>
                <w:szCs w:val="21"/>
              </w:rPr>
            </w:pPr>
            <w:r>
              <w:rPr>
                <w:sz w:val="21"/>
                <w:szCs w:val="21"/>
              </w:rPr>
              <w:t>污染防治措施</w:t>
            </w:r>
          </w:p>
        </w:tc>
        <w:tc>
          <w:tcPr>
            <w:tcW w:w="7965" w:type="dxa"/>
            <w:gridSpan w:val="4"/>
            <w:tcBorders>
              <w:top w:val="single" w:color="auto" w:sz="6" w:space="0"/>
              <w:left w:val="single" w:color="auto" w:sz="6" w:space="0"/>
              <w:bottom w:val="single" w:color="auto" w:sz="6" w:space="0"/>
              <w:right w:val="single" w:color="auto" w:sz="12" w:space="0"/>
            </w:tcBorders>
            <w:vAlign w:val="center"/>
          </w:tcPr>
          <w:p w14:paraId="1C26FB09">
            <w:pPr>
              <w:pStyle w:val="154"/>
              <w:jc w:val="left"/>
              <w:rPr>
                <w:sz w:val="21"/>
                <w:szCs w:val="21"/>
              </w:rPr>
            </w:pPr>
            <w:r>
              <w:rPr>
                <w:sz w:val="21"/>
                <w:szCs w:val="21"/>
              </w:rPr>
              <w:t>项目生产车间内设置单独的固废堆存区，地面硬化；车间设置有危废暂存间，建设满足</w:t>
            </w:r>
            <w:r>
              <w:rPr>
                <w:rFonts w:hint="eastAsia"/>
                <w:sz w:val="21"/>
                <w:szCs w:val="21"/>
              </w:rPr>
              <w:t>《</w:t>
            </w:r>
            <w:r>
              <w:rPr>
                <w:sz w:val="21"/>
                <w:szCs w:val="21"/>
              </w:rPr>
              <w:t>危险废物贮存污染控制标准</w:t>
            </w:r>
            <w:r>
              <w:rPr>
                <w:rFonts w:hint="eastAsia"/>
                <w:sz w:val="21"/>
                <w:szCs w:val="21"/>
              </w:rPr>
              <w:t>》</w:t>
            </w:r>
            <w:r>
              <w:rPr>
                <w:sz w:val="21"/>
                <w:szCs w:val="21"/>
              </w:rPr>
              <w:t>（GB18597-2023）相关要求；生活垃圾均设置垃圾收集桶，定点收集。厂内化粪池的池壁采用高标号的防水混凝土，内壁涂防水涂料，满足防渗要求</w:t>
            </w:r>
            <w:r>
              <w:rPr>
                <w:rFonts w:hint="eastAsia"/>
                <w:sz w:val="21"/>
                <w:szCs w:val="21"/>
              </w:rPr>
              <w:t>；办公区采用水泥防渗。</w:t>
            </w:r>
          </w:p>
        </w:tc>
      </w:tr>
      <w:tr w14:paraId="1845D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5" w:hRule="atLeast"/>
          <w:jc w:val="center"/>
        </w:trPr>
        <w:tc>
          <w:tcPr>
            <w:tcW w:w="1076" w:type="dxa"/>
            <w:tcBorders>
              <w:top w:val="single" w:color="auto" w:sz="6" w:space="0"/>
              <w:left w:val="single" w:color="auto" w:sz="12" w:space="0"/>
              <w:bottom w:val="single" w:color="auto" w:sz="6" w:space="0"/>
              <w:right w:val="single" w:color="auto" w:sz="6" w:space="0"/>
            </w:tcBorders>
            <w:vAlign w:val="center"/>
          </w:tcPr>
          <w:p w14:paraId="40F8440F">
            <w:pPr>
              <w:pStyle w:val="154"/>
              <w:rPr>
                <w:sz w:val="21"/>
                <w:szCs w:val="21"/>
              </w:rPr>
            </w:pPr>
            <w:r>
              <w:rPr>
                <w:sz w:val="21"/>
                <w:szCs w:val="21"/>
              </w:rPr>
              <w:t>生态保护措施</w:t>
            </w:r>
          </w:p>
        </w:tc>
        <w:tc>
          <w:tcPr>
            <w:tcW w:w="7965" w:type="dxa"/>
            <w:gridSpan w:val="4"/>
            <w:tcBorders>
              <w:top w:val="single" w:color="auto" w:sz="6" w:space="0"/>
              <w:left w:val="single" w:color="auto" w:sz="6" w:space="0"/>
              <w:bottom w:val="single" w:color="auto" w:sz="6" w:space="0"/>
              <w:right w:val="single" w:color="auto" w:sz="12" w:space="0"/>
            </w:tcBorders>
            <w:vAlign w:val="center"/>
          </w:tcPr>
          <w:p w14:paraId="22949C3E">
            <w:pPr>
              <w:pStyle w:val="154"/>
              <w:rPr>
                <w:sz w:val="21"/>
                <w:szCs w:val="21"/>
              </w:rPr>
            </w:pPr>
            <w:r>
              <w:rPr>
                <w:sz w:val="21"/>
                <w:szCs w:val="21"/>
              </w:rPr>
              <w:t>/</w:t>
            </w:r>
          </w:p>
        </w:tc>
      </w:tr>
      <w:tr w14:paraId="6941E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6" w:hRule="atLeast"/>
          <w:jc w:val="center"/>
        </w:trPr>
        <w:tc>
          <w:tcPr>
            <w:tcW w:w="1076" w:type="dxa"/>
            <w:tcBorders>
              <w:top w:val="single" w:color="auto" w:sz="6" w:space="0"/>
              <w:left w:val="single" w:color="auto" w:sz="12" w:space="0"/>
              <w:bottom w:val="single" w:color="auto" w:sz="6" w:space="0"/>
              <w:right w:val="single" w:color="auto" w:sz="6" w:space="0"/>
            </w:tcBorders>
            <w:vAlign w:val="center"/>
          </w:tcPr>
          <w:p w14:paraId="5C8643D9">
            <w:pPr>
              <w:pStyle w:val="154"/>
              <w:rPr>
                <w:sz w:val="21"/>
                <w:szCs w:val="21"/>
              </w:rPr>
            </w:pPr>
            <w:r>
              <w:rPr>
                <w:sz w:val="21"/>
                <w:szCs w:val="21"/>
              </w:rPr>
              <w:t>环境风险</w:t>
            </w:r>
          </w:p>
          <w:p w14:paraId="6D75409F">
            <w:pPr>
              <w:pStyle w:val="154"/>
              <w:rPr>
                <w:sz w:val="21"/>
                <w:szCs w:val="21"/>
              </w:rPr>
            </w:pPr>
            <w:r>
              <w:rPr>
                <w:sz w:val="21"/>
                <w:szCs w:val="21"/>
              </w:rPr>
              <w:t>防范措施</w:t>
            </w:r>
          </w:p>
        </w:tc>
        <w:tc>
          <w:tcPr>
            <w:tcW w:w="7965" w:type="dxa"/>
            <w:gridSpan w:val="4"/>
            <w:tcBorders>
              <w:top w:val="single" w:color="auto" w:sz="6" w:space="0"/>
              <w:left w:val="single" w:color="auto" w:sz="6" w:space="0"/>
              <w:bottom w:val="single" w:color="auto" w:sz="6" w:space="0"/>
              <w:right w:val="single" w:color="auto" w:sz="12" w:space="0"/>
            </w:tcBorders>
            <w:vAlign w:val="center"/>
          </w:tcPr>
          <w:p w14:paraId="125D72A4">
            <w:pPr>
              <w:pStyle w:val="154"/>
              <w:jc w:val="left"/>
              <w:rPr>
                <w:sz w:val="21"/>
                <w:szCs w:val="21"/>
              </w:rPr>
            </w:pPr>
            <w:r>
              <w:rPr>
                <w:rFonts w:hint="eastAsia" w:cs="宋体"/>
                <w:sz w:val="21"/>
                <w:szCs w:val="21"/>
              </w:rPr>
              <w:t>（1）</w:t>
            </w:r>
            <w:r>
              <w:rPr>
                <w:rFonts w:hint="eastAsia"/>
                <w:sz w:val="21"/>
                <w:szCs w:val="21"/>
              </w:rPr>
              <w:t>二丁酯、油类物质</w:t>
            </w:r>
            <w:r>
              <w:rPr>
                <w:sz w:val="21"/>
                <w:szCs w:val="21"/>
              </w:rPr>
              <w:t>入库前须进行严格检验数量、质量、包装情况、是否泄漏；遵守各项规章制度和操作规程，严格执行岗位责任制，加强培训教育和考核工作。</w:t>
            </w:r>
          </w:p>
          <w:p w14:paraId="652C2177">
            <w:pPr>
              <w:pStyle w:val="154"/>
              <w:jc w:val="left"/>
              <w:rPr>
                <w:rFonts w:cs="Times New Roman"/>
                <w:sz w:val="21"/>
                <w:szCs w:val="21"/>
              </w:rPr>
            </w:pPr>
            <w:r>
              <w:rPr>
                <w:rFonts w:hint="eastAsia" w:cs="宋体"/>
                <w:sz w:val="21"/>
                <w:szCs w:val="21"/>
              </w:rPr>
              <w:t>（2）</w:t>
            </w:r>
            <w:r>
              <w:rPr>
                <w:rFonts w:hint="eastAsia"/>
                <w:sz w:val="21"/>
                <w:szCs w:val="21"/>
              </w:rPr>
              <w:t>设置液体原料库，将</w:t>
            </w:r>
            <w:r>
              <w:rPr>
                <w:sz w:val="21"/>
                <w:szCs w:val="21"/>
              </w:rPr>
              <w:t>PU</w:t>
            </w:r>
            <w:r>
              <w:rPr>
                <w:rFonts w:hint="eastAsia"/>
                <w:sz w:val="21"/>
                <w:szCs w:val="21"/>
              </w:rPr>
              <w:t>鞋底料（聚氨酯</w:t>
            </w:r>
            <w:r>
              <w:rPr>
                <w:sz w:val="21"/>
                <w:szCs w:val="21"/>
              </w:rPr>
              <w:t>A</w:t>
            </w:r>
            <w:r>
              <w:rPr>
                <w:rFonts w:hint="eastAsia"/>
                <w:sz w:val="21"/>
                <w:szCs w:val="21"/>
              </w:rPr>
              <w:t>料、</w:t>
            </w:r>
            <w:r>
              <w:rPr>
                <w:sz w:val="21"/>
                <w:szCs w:val="21"/>
              </w:rPr>
              <w:t>B</w:t>
            </w:r>
            <w:r>
              <w:rPr>
                <w:rFonts w:hint="eastAsia"/>
                <w:sz w:val="21"/>
                <w:szCs w:val="21"/>
              </w:rPr>
              <w:t>料、</w:t>
            </w:r>
            <w:r>
              <w:rPr>
                <w:sz w:val="21"/>
                <w:szCs w:val="21"/>
              </w:rPr>
              <w:t>C</w:t>
            </w:r>
            <w:r>
              <w:rPr>
                <w:rFonts w:hint="eastAsia"/>
                <w:sz w:val="21"/>
                <w:szCs w:val="21"/>
              </w:rPr>
              <w:t>料、色浆、水性脱模剂等液体料）、</w:t>
            </w:r>
            <w:r>
              <w:rPr>
                <w:rFonts w:hint="eastAsia" w:cs="Times New Roman"/>
                <w:sz w:val="21"/>
                <w:szCs w:val="21"/>
              </w:rPr>
              <w:t>二丁酯</w:t>
            </w:r>
            <w:r>
              <w:rPr>
                <w:rFonts w:hint="eastAsia"/>
                <w:sz w:val="21"/>
                <w:szCs w:val="21"/>
              </w:rPr>
              <w:t>储存至原料库内，原料库涂刷防渗层、四周设置围堰（围堰高</w:t>
            </w:r>
            <w:r>
              <w:rPr>
                <w:sz w:val="21"/>
                <w:szCs w:val="21"/>
              </w:rPr>
              <w:t>20cm</w:t>
            </w:r>
            <w:r>
              <w:rPr>
                <w:rFonts w:hint="eastAsia"/>
                <w:sz w:val="21"/>
                <w:szCs w:val="21"/>
              </w:rPr>
              <w:t>）。</w:t>
            </w:r>
          </w:p>
          <w:p w14:paraId="3909A5F9">
            <w:pPr>
              <w:pStyle w:val="154"/>
              <w:jc w:val="left"/>
              <w:rPr>
                <w:sz w:val="21"/>
                <w:szCs w:val="21"/>
              </w:rPr>
            </w:pPr>
            <w:r>
              <w:rPr>
                <w:rFonts w:hint="eastAsia" w:cs="宋体"/>
                <w:sz w:val="21"/>
                <w:szCs w:val="21"/>
              </w:rPr>
              <w:t>（3）</w:t>
            </w:r>
            <w:r>
              <w:rPr>
                <w:sz w:val="21"/>
                <w:szCs w:val="21"/>
              </w:rPr>
              <w:t>危废暂存间涂刷防渗层，四周设置围堰（围堰高20cm）。</w:t>
            </w:r>
          </w:p>
          <w:p w14:paraId="559AC6D6">
            <w:pPr>
              <w:pStyle w:val="154"/>
              <w:jc w:val="left"/>
              <w:rPr>
                <w:sz w:val="21"/>
                <w:szCs w:val="21"/>
              </w:rPr>
            </w:pPr>
            <w:r>
              <w:rPr>
                <w:rFonts w:hint="eastAsia"/>
                <w:sz w:val="21"/>
                <w:szCs w:val="21"/>
              </w:rPr>
              <w:t>（4）</w:t>
            </w:r>
            <w:r>
              <w:rPr>
                <w:sz w:val="21"/>
                <w:szCs w:val="21"/>
              </w:rPr>
              <w:t>厂区严禁明火，应配置足量的相应灭火设备，定期检查灭火状态及其有效期等。</w:t>
            </w:r>
          </w:p>
        </w:tc>
      </w:tr>
      <w:tr w14:paraId="74CA3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7" w:hRule="atLeast"/>
          <w:jc w:val="center"/>
        </w:trPr>
        <w:tc>
          <w:tcPr>
            <w:tcW w:w="1076" w:type="dxa"/>
            <w:tcBorders>
              <w:top w:val="single" w:color="auto" w:sz="6" w:space="0"/>
              <w:left w:val="single" w:color="auto" w:sz="12" w:space="0"/>
              <w:bottom w:val="single" w:color="auto" w:sz="12" w:space="0"/>
              <w:right w:val="single" w:color="auto" w:sz="6" w:space="0"/>
            </w:tcBorders>
            <w:vAlign w:val="center"/>
          </w:tcPr>
          <w:p w14:paraId="6E5AE9CE">
            <w:pPr>
              <w:pStyle w:val="154"/>
              <w:rPr>
                <w:sz w:val="21"/>
                <w:szCs w:val="21"/>
              </w:rPr>
            </w:pPr>
            <w:r>
              <w:rPr>
                <w:sz w:val="21"/>
                <w:szCs w:val="21"/>
              </w:rPr>
              <w:t>其他环境</w:t>
            </w:r>
          </w:p>
          <w:p w14:paraId="5352B291">
            <w:pPr>
              <w:pStyle w:val="154"/>
              <w:rPr>
                <w:sz w:val="21"/>
                <w:szCs w:val="21"/>
              </w:rPr>
            </w:pPr>
            <w:r>
              <w:rPr>
                <w:sz w:val="21"/>
                <w:szCs w:val="21"/>
              </w:rPr>
              <w:t>管理要求</w:t>
            </w:r>
          </w:p>
        </w:tc>
        <w:tc>
          <w:tcPr>
            <w:tcW w:w="7965" w:type="dxa"/>
            <w:gridSpan w:val="4"/>
            <w:tcBorders>
              <w:top w:val="single" w:color="auto" w:sz="6" w:space="0"/>
              <w:left w:val="single" w:color="auto" w:sz="6" w:space="0"/>
              <w:bottom w:val="single" w:color="auto" w:sz="12" w:space="0"/>
              <w:right w:val="single" w:color="auto" w:sz="12" w:space="0"/>
            </w:tcBorders>
            <w:vAlign w:val="center"/>
          </w:tcPr>
          <w:p w14:paraId="5ECF1156">
            <w:pPr>
              <w:pStyle w:val="154"/>
              <w:jc w:val="left"/>
              <w:rPr>
                <w:sz w:val="21"/>
                <w:szCs w:val="21"/>
              </w:rPr>
            </w:pPr>
            <w:r>
              <w:rPr>
                <w:sz w:val="21"/>
                <w:szCs w:val="21"/>
              </w:rPr>
              <w:t>（</w:t>
            </w:r>
            <w:r>
              <w:rPr>
                <w:rFonts w:hint="eastAsia"/>
                <w:sz w:val="21"/>
                <w:szCs w:val="21"/>
              </w:rPr>
              <w:t>1</w:t>
            </w:r>
            <w:r>
              <w:rPr>
                <w:sz w:val="21"/>
                <w:szCs w:val="21"/>
              </w:rPr>
              <w:t>）项目建设过程中主体工程、环保设施应同时设计、同时施工、同时投产运行</w:t>
            </w:r>
            <w:r>
              <w:rPr>
                <w:rFonts w:hint="eastAsia"/>
                <w:sz w:val="21"/>
                <w:szCs w:val="21"/>
              </w:rPr>
              <w:t>：</w:t>
            </w:r>
            <w:r>
              <w:rPr>
                <w:sz w:val="21"/>
                <w:szCs w:val="21"/>
              </w:rPr>
              <w:t>项目建成后按照《建设项目竣工环境保护验收暂行办法》(国环规环评(2017)]4号)要求开展项目竣工环境保护验收工作；</w:t>
            </w:r>
          </w:p>
          <w:p w14:paraId="4F94FE0D">
            <w:pPr>
              <w:pStyle w:val="154"/>
              <w:jc w:val="left"/>
              <w:rPr>
                <w:sz w:val="21"/>
                <w:szCs w:val="21"/>
              </w:rPr>
            </w:pPr>
            <w:r>
              <w:rPr>
                <w:sz w:val="21"/>
                <w:szCs w:val="21"/>
              </w:rPr>
              <w:t>（</w:t>
            </w:r>
            <w:r>
              <w:rPr>
                <w:rFonts w:hint="eastAsia"/>
                <w:sz w:val="21"/>
                <w:szCs w:val="21"/>
              </w:rPr>
              <w:t>2</w:t>
            </w:r>
            <w:r>
              <w:rPr>
                <w:sz w:val="21"/>
                <w:szCs w:val="21"/>
              </w:rPr>
              <w:t>）按照《排污许可管理条例》(国务院令第736号)的相关要求开展固定污染源排污许可证申报；</w:t>
            </w:r>
          </w:p>
          <w:p w14:paraId="65763491">
            <w:pPr>
              <w:pStyle w:val="154"/>
              <w:jc w:val="left"/>
              <w:rPr>
                <w:sz w:val="21"/>
                <w:szCs w:val="21"/>
              </w:rPr>
            </w:pPr>
            <w:r>
              <w:rPr>
                <w:sz w:val="21"/>
                <w:szCs w:val="21"/>
              </w:rPr>
              <w:t>（</w:t>
            </w:r>
            <w:r>
              <w:rPr>
                <w:rFonts w:hint="eastAsia"/>
                <w:sz w:val="21"/>
                <w:szCs w:val="21"/>
              </w:rPr>
              <w:t>3</w:t>
            </w:r>
            <w:r>
              <w:rPr>
                <w:sz w:val="21"/>
                <w:szCs w:val="21"/>
              </w:rPr>
              <w:t>）项目营运过程中建立环境管理台账制度,落实环境管理台账记录的责任人明确工作职责，包括台账的记录、整理、维护和管理等。台账记录频次和内容须满足排污许可证环境管理要求，并对台账记录结果的真实性、完整性和规范性负责。台账按照电子化储存和纸质储存两种形式同步管理。</w:t>
            </w:r>
          </w:p>
        </w:tc>
      </w:tr>
    </w:tbl>
    <w:p w14:paraId="5A609762">
      <w:pPr>
        <w:pStyle w:val="152"/>
      </w:pPr>
      <w:r>
        <w:t>六、结论</w:t>
      </w:r>
    </w:p>
    <w:tbl>
      <w:tblPr>
        <w:tblStyle w:val="88"/>
        <w:tblW w:w="90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072"/>
      </w:tblGrid>
      <w:tr w14:paraId="09EE13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862" w:hRule="atLeast"/>
          <w:jc w:val="center"/>
        </w:trPr>
        <w:tc>
          <w:tcPr>
            <w:tcW w:w="8522" w:type="dxa"/>
          </w:tcPr>
          <w:p w14:paraId="41C7A8D6">
            <w:pPr>
              <w:pStyle w:val="156"/>
              <w:ind w:firstLine="480"/>
              <w:rPr>
                <w:rFonts w:eastAsia="宋体" w:cs="Times New Roman"/>
              </w:rPr>
            </w:pPr>
            <w:r>
              <w:rPr>
                <w:rFonts w:hint="eastAsia"/>
              </w:rPr>
              <w:t>洛阳市迈威鞋业有限公司年产50万双布鞋</w:t>
            </w:r>
            <w:r>
              <w:rPr>
                <w:rFonts w:hint="eastAsia" w:ascii="Calibri" w:hAnsi="Calibri" w:eastAsia="宋体" w:cs="Times New Roman"/>
                <w:color w:val="000000"/>
                <w:kern w:val="0"/>
              </w:rPr>
              <w:t>、</w:t>
            </w:r>
            <w:r>
              <w:rPr>
                <w:rFonts w:hint="eastAsia"/>
              </w:rPr>
              <w:t>100万双鞋底片项目</w:t>
            </w:r>
            <w:r>
              <w:rPr>
                <w:rFonts w:eastAsia="宋体" w:cs="Times New Roman"/>
              </w:rPr>
              <w:t>符合国家产业政策，选址可行并符合相关规划。项目拟采取的污染防治措施可行，各项污染物均能满足达标排放和总量控制要求，对环境产生的影响较小。在加强生产管理及监督，保证各项环保措施正常运行的前提下，从环保角度出发，本项目是可行的。</w:t>
            </w:r>
          </w:p>
          <w:p w14:paraId="197C9F9F">
            <w:pPr>
              <w:pStyle w:val="156"/>
              <w:ind w:firstLine="480"/>
              <w:rPr>
                <w:rFonts w:eastAsia="宋体" w:cs="Times New Roman"/>
              </w:rPr>
            </w:pPr>
          </w:p>
          <w:p w14:paraId="4ECC6922">
            <w:pPr>
              <w:pStyle w:val="156"/>
              <w:ind w:firstLine="480"/>
              <w:rPr>
                <w:rFonts w:eastAsia="宋体" w:cs="Times New Roman"/>
              </w:rPr>
            </w:pPr>
          </w:p>
          <w:p w14:paraId="30FE72B0">
            <w:pPr>
              <w:pStyle w:val="156"/>
              <w:ind w:firstLine="480"/>
              <w:rPr>
                <w:rFonts w:eastAsia="宋体" w:cs="Times New Roman"/>
              </w:rPr>
            </w:pPr>
          </w:p>
          <w:p w14:paraId="6CCBC403">
            <w:pPr>
              <w:pStyle w:val="156"/>
              <w:ind w:firstLine="480"/>
              <w:rPr>
                <w:rFonts w:eastAsia="宋体" w:cs="Times New Roman"/>
              </w:rPr>
            </w:pPr>
          </w:p>
          <w:p w14:paraId="7DB2D233">
            <w:pPr>
              <w:pStyle w:val="156"/>
              <w:ind w:firstLine="480"/>
              <w:rPr>
                <w:rFonts w:eastAsia="宋体" w:cs="Times New Roman"/>
              </w:rPr>
            </w:pPr>
          </w:p>
          <w:p w14:paraId="10300AB7">
            <w:pPr>
              <w:pStyle w:val="156"/>
              <w:ind w:firstLine="480"/>
              <w:rPr>
                <w:rFonts w:eastAsia="宋体" w:cs="Times New Roman"/>
              </w:rPr>
            </w:pPr>
          </w:p>
          <w:p w14:paraId="4577A6A8">
            <w:pPr>
              <w:pStyle w:val="156"/>
              <w:ind w:firstLine="480"/>
              <w:rPr>
                <w:rFonts w:eastAsia="宋体" w:cs="Times New Roman"/>
              </w:rPr>
            </w:pPr>
          </w:p>
          <w:p w14:paraId="1BA5E5C8">
            <w:pPr>
              <w:pStyle w:val="156"/>
              <w:ind w:firstLine="480"/>
              <w:rPr>
                <w:rFonts w:eastAsia="宋体" w:cs="Times New Roman"/>
              </w:rPr>
            </w:pPr>
          </w:p>
          <w:p w14:paraId="1B944035">
            <w:pPr>
              <w:pStyle w:val="156"/>
              <w:ind w:firstLine="480"/>
              <w:rPr>
                <w:rFonts w:eastAsia="宋体" w:cs="Times New Roman"/>
              </w:rPr>
            </w:pPr>
          </w:p>
          <w:p w14:paraId="6434AE8A">
            <w:pPr>
              <w:pStyle w:val="156"/>
              <w:ind w:firstLine="480"/>
              <w:rPr>
                <w:rFonts w:eastAsia="宋体" w:cs="Times New Roman"/>
              </w:rPr>
            </w:pPr>
          </w:p>
        </w:tc>
      </w:tr>
    </w:tbl>
    <w:p w14:paraId="1AB0EA3A">
      <w:pPr>
        <w:rPr>
          <w:rFonts w:ascii="Times New Roman" w:hAnsi="Times New Roman"/>
        </w:rPr>
        <w:sectPr>
          <w:pgSz w:w="11907" w:h="16840"/>
          <w:pgMar w:top="1440" w:right="1800" w:bottom="1440" w:left="1800" w:header="851" w:footer="992" w:gutter="0"/>
          <w:cols w:space="425" w:num="1"/>
          <w:docGrid w:type="linesAndChars" w:linePitch="312" w:charSpace="0"/>
        </w:sectPr>
      </w:pPr>
    </w:p>
    <w:tbl>
      <w:tblPr>
        <w:tblStyle w:val="88"/>
        <w:tblW w:w="5000" w:type="pct"/>
        <w:jc w:val="center"/>
        <w:tblLayout w:type="autofit"/>
        <w:tblCellMar>
          <w:top w:w="0" w:type="dxa"/>
          <w:left w:w="108" w:type="dxa"/>
          <w:bottom w:w="0" w:type="dxa"/>
          <w:right w:w="108" w:type="dxa"/>
        </w:tblCellMar>
      </w:tblPr>
      <w:tblGrid>
        <w:gridCol w:w="1212"/>
        <w:gridCol w:w="2374"/>
        <w:gridCol w:w="1593"/>
        <w:gridCol w:w="1302"/>
        <w:gridCol w:w="1737"/>
        <w:gridCol w:w="1593"/>
        <w:gridCol w:w="1304"/>
        <w:gridCol w:w="1882"/>
        <w:gridCol w:w="1179"/>
      </w:tblGrid>
      <w:tr w14:paraId="1F2AB427">
        <w:tblPrEx>
          <w:tblCellMar>
            <w:top w:w="0" w:type="dxa"/>
            <w:left w:w="108" w:type="dxa"/>
            <w:bottom w:w="0" w:type="dxa"/>
            <w:right w:w="108" w:type="dxa"/>
          </w:tblCellMar>
        </w:tblPrEx>
        <w:trPr>
          <w:jc w:val="center"/>
        </w:trPr>
        <w:tc>
          <w:tcPr>
            <w:tcW w:w="14176" w:type="dxa"/>
            <w:gridSpan w:val="9"/>
            <w:tcBorders>
              <w:top w:val="nil"/>
              <w:left w:val="nil"/>
              <w:bottom w:val="single" w:color="auto" w:sz="12" w:space="0"/>
              <w:right w:val="nil"/>
            </w:tcBorders>
            <w:shd w:val="clear" w:color="auto" w:fill="auto"/>
            <w:noWrap/>
            <w:vAlign w:val="center"/>
          </w:tcPr>
          <w:p w14:paraId="42515CE0">
            <w:pPr>
              <w:pStyle w:val="152"/>
            </w:pPr>
            <w:r>
              <w:t>建设项目污染物排放量汇总表</w:t>
            </w:r>
          </w:p>
        </w:tc>
      </w:tr>
      <w:tr w14:paraId="2C468774">
        <w:tblPrEx>
          <w:tblCellMar>
            <w:top w:w="0" w:type="dxa"/>
            <w:left w:w="108" w:type="dxa"/>
            <w:bottom w:w="0" w:type="dxa"/>
            <w:right w:w="108" w:type="dxa"/>
          </w:tblCellMar>
        </w:tblPrEx>
        <w:trPr>
          <w:trHeight w:val="883" w:hRule="atLeast"/>
          <w:jc w:val="center"/>
        </w:trPr>
        <w:tc>
          <w:tcPr>
            <w:tcW w:w="1212" w:type="dxa"/>
            <w:tcBorders>
              <w:top w:val="single" w:color="auto" w:sz="12" w:space="0"/>
              <w:left w:val="single" w:color="auto" w:sz="12" w:space="0"/>
              <w:bottom w:val="single" w:color="auto" w:sz="6" w:space="0"/>
              <w:right w:val="single" w:color="auto" w:sz="6" w:space="0"/>
              <w:tl2br w:val="single" w:color="auto" w:sz="6" w:space="0"/>
            </w:tcBorders>
            <w:shd w:val="clear" w:color="auto" w:fill="auto"/>
            <w:vAlign w:val="center"/>
          </w:tcPr>
          <w:p w14:paraId="77C768D8">
            <w:pPr>
              <w:pStyle w:val="154"/>
              <w:rPr>
                <w:rFonts w:ascii="黑体" w:hAnsi="黑体" w:eastAsia="黑体"/>
                <w:sz w:val="21"/>
                <w:szCs w:val="21"/>
              </w:rPr>
            </w:pPr>
            <w:r>
              <w:rPr>
                <w:rFonts w:ascii="黑体" w:hAnsi="黑体" w:eastAsia="黑体"/>
                <w:sz w:val="21"/>
                <w:szCs w:val="21"/>
              </w:rPr>
              <w:t>项目</w:t>
            </w:r>
            <w:r>
              <w:rPr>
                <w:rFonts w:ascii="黑体" w:hAnsi="黑体" w:eastAsia="黑体"/>
                <w:sz w:val="21"/>
                <w:szCs w:val="21"/>
              </w:rPr>
              <w:br w:type="textWrapping"/>
            </w:r>
            <w:r>
              <w:rPr>
                <w:rFonts w:ascii="黑体" w:hAnsi="黑体" w:eastAsia="黑体"/>
                <w:sz w:val="21"/>
                <w:szCs w:val="21"/>
              </w:rPr>
              <w:br w:type="textWrapping"/>
            </w:r>
            <w:r>
              <w:rPr>
                <w:rFonts w:ascii="黑体" w:hAnsi="黑体" w:eastAsia="黑体"/>
                <w:sz w:val="21"/>
                <w:szCs w:val="21"/>
              </w:rPr>
              <w:t>分类</w:t>
            </w:r>
          </w:p>
        </w:tc>
        <w:tc>
          <w:tcPr>
            <w:tcW w:w="2374" w:type="dxa"/>
            <w:tcBorders>
              <w:top w:val="single" w:color="auto" w:sz="12" w:space="0"/>
              <w:left w:val="single" w:color="auto" w:sz="6" w:space="0"/>
              <w:bottom w:val="single" w:color="auto" w:sz="6" w:space="0"/>
              <w:right w:val="single" w:color="auto" w:sz="6" w:space="0"/>
            </w:tcBorders>
            <w:shd w:val="clear" w:color="auto" w:fill="auto"/>
            <w:vAlign w:val="center"/>
          </w:tcPr>
          <w:p w14:paraId="16A2C19B">
            <w:pPr>
              <w:pStyle w:val="154"/>
              <w:rPr>
                <w:rFonts w:ascii="黑体" w:hAnsi="黑体" w:eastAsia="黑体"/>
                <w:sz w:val="21"/>
                <w:szCs w:val="21"/>
              </w:rPr>
            </w:pPr>
            <w:r>
              <w:rPr>
                <w:rFonts w:ascii="黑体" w:hAnsi="黑体" w:eastAsia="黑体"/>
                <w:sz w:val="21"/>
                <w:szCs w:val="21"/>
              </w:rPr>
              <w:t>污染物名称</w:t>
            </w:r>
          </w:p>
        </w:tc>
        <w:tc>
          <w:tcPr>
            <w:tcW w:w="1593" w:type="dxa"/>
            <w:tcBorders>
              <w:top w:val="single" w:color="auto" w:sz="12" w:space="0"/>
              <w:left w:val="single" w:color="auto" w:sz="6" w:space="0"/>
              <w:bottom w:val="single" w:color="auto" w:sz="6" w:space="0"/>
              <w:right w:val="single" w:color="auto" w:sz="6" w:space="0"/>
            </w:tcBorders>
            <w:shd w:val="clear" w:color="auto" w:fill="auto"/>
            <w:vAlign w:val="center"/>
          </w:tcPr>
          <w:p w14:paraId="46954E88">
            <w:pPr>
              <w:pStyle w:val="154"/>
              <w:rPr>
                <w:rFonts w:ascii="黑体" w:hAnsi="黑体" w:eastAsia="黑体"/>
                <w:sz w:val="21"/>
                <w:szCs w:val="21"/>
              </w:rPr>
            </w:pPr>
            <w:r>
              <w:rPr>
                <w:rFonts w:ascii="黑体" w:hAnsi="黑体" w:eastAsia="黑体"/>
                <w:sz w:val="21"/>
                <w:szCs w:val="21"/>
              </w:rPr>
              <w:t>现有工程排放量（固体废物产生量）</w:t>
            </w:r>
            <w:r>
              <w:rPr>
                <w:rFonts w:hint="eastAsia" w:ascii="黑体" w:hAnsi="黑体" w:eastAsia="黑体" w:cs="宋体"/>
                <w:sz w:val="21"/>
                <w:szCs w:val="21"/>
              </w:rPr>
              <w:t>①</w:t>
            </w:r>
          </w:p>
        </w:tc>
        <w:tc>
          <w:tcPr>
            <w:tcW w:w="1302" w:type="dxa"/>
            <w:tcBorders>
              <w:top w:val="single" w:color="auto" w:sz="12" w:space="0"/>
              <w:left w:val="single" w:color="auto" w:sz="6" w:space="0"/>
              <w:bottom w:val="single" w:color="auto" w:sz="6" w:space="0"/>
              <w:right w:val="single" w:color="auto" w:sz="6" w:space="0"/>
            </w:tcBorders>
            <w:shd w:val="clear" w:color="auto" w:fill="auto"/>
            <w:vAlign w:val="center"/>
          </w:tcPr>
          <w:p w14:paraId="672A3CAE">
            <w:pPr>
              <w:pStyle w:val="154"/>
              <w:rPr>
                <w:rFonts w:ascii="黑体" w:hAnsi="黑体" w:eastAsia="黑体"/>
                <w:sz w:val="21"/>
                <w:szCs w:val="21"/>
              </w:rPr>
            </w:pPr>
            <w:r>
              <w:rPr>
                <w:rFonts w:ascii="黑体" w:hAnsi="黑体" w:eastAsia="黑体"/>
                <w:sz w:val="21"/>
                <w:szCs w:val="21"/>
              </w:rPr>
              <w:t>现有工程</w:t>
            </w:r>
            <w:r>
              <w:rPr>
                <w:rFonts w:ascii="黑体" w:hAnsi="黑体" w:eastAsia="黑体"/>
                <w:sz w:val="21"/>
                <w:szCs w:val="21"/>
              </w:rPr>
              <w:br w:type="textWrapping"/>
            </w:r>
            <w:r>
              <w:rPr>
                <w:rFonts w:ascii="黑体" w:hAnsi="黑体" w:eastAsia="黑体"/>
                <w:sz w:val="21"/>
                <w:szCs w:val="21"/>
              </w:rPr>
              <w:t>许可排放量</w:t>
            </w:r>
            <w:r>
              <w:rPr>
                <w:rFonts w:hint="eastAsia" w:ascii="黑体" w:hAnsi="黑体" w:eastAsia="黑体" w:cs="宋体"/>
                <w:sz w:val="21"/>
                <w:szCs w:val="21"/>
              </w:rPr>
              <w:t>②</w:t>
            </w:r>
          </w:p>
        </w:tc>
        <w:tc>
          <w:tcPr>
            <w:tcW w:w="1737" w:type="dxa"/>
            <w:tcBorders>
              <w:top w:val="single" w:color="auto" w:sz="12" w:space="0"/>
              <w:left w:val="single" w:color="auto" w:sz="6" w:space="0"/>
              <w:bottom w:val="single" w:color="auto" w:sz="6" w:space="0"/>
              <w:right w:val="single" w:color="auto" w:sz="6" w:space="0"/>
            </w:tcBorders>
            <w:shd w:val="clear" w:color="auto" w:fill="auto"/>
            <w:vAlign w:val="center"/>
          </w:tcPr>
          <w:p w14:paraId="0B97C3A0">
            <w:pPr>
              <w:pStyle w:val="154"/>
              <w:rPr>
                <w:rFonts w:ascii="黑体" w:hAnsi="黑体" w:eastAsia="黑体"/>
                <w:sz w:val="21"/>
                <w:szCs w:val="21"/>
              </w:rPr>
            </w:pPr>
            <w:r>
              <w:rPr>
                <w:rFonts w:ascii="黑体" w:hAnsi="黑体" w:eastAsia="黑体"/>
                <w:sz w:val="21"/>
                <w:szCs w:val="21"/>
              </w:rPr>
              <w:t>在建工程</w:t>
            </w:r>
            <w:r>
              <w:rPr>
                <w:rFonts w:ascii="黑体" w:hAnsi="黑体" w:eastAsia="黑体"/>
                <w:sz w:val="21"/>
                <w:szCs w:val="21"/>
              </w:rPr>
              <w:br w:type="textWrapping"/>
            </w:r>
            <w:r>
              <w:rPr>
                <w:rFonts w:ascii="黑体" w:hAnsi="黑体" w:eastAsia="黑体"/>
                <w:sz w:val="21"/>
                <w:szCs w:val="21"/>
              </w:rPr>
              <w:t>排放量（固体废物产生量）</w:t>
            </w:r>
            <w:r>
              <w:rPr>
                <w:rFonts w:hint="eastAsia" w:ascii="黑体" w:hAnsi="黑体" w:eastAsia="黑体" w:cs="宋体"/>
                <w:sz w:val="21"/>
                <w:szCs w:val="21"/>
              </w:rPr>
              <w:t>③</w:t>
            </w:r>
          </w:p>
        </w:tc>
        <w:tc>
          <w:tcPr>
            <w:tcW w:w="1593" w:type="dxa"/>
            <w:tcBorders>
              <w:top w:val="single" w:color="auto" w:sz="12" w:space="0"/>
              <w:left w:val="single" w:color="auto" w:sz="6" w:space="0"/>
              <w:bottom w:val="single" w:color="auto" w:sz="6" w:space="0"/>
              <w:right w:val="single" w:color="auto" w:sz="6" w:space="0"/>
            </w:tcBorders>
            <w:shd w:val="clear" w:color="auto" w:fill="auto"/>
            <w:vAlign w:val="center"/>
          </w:tcPr>
          <w:p w14:paraId="2374BEF8">
            <w:pPr>
              <w:pStyle w:val="154"/>
              <w:rPr>
                <w:rFonts w:ascii="黑体" w:hAnsi="黑体" w:eastAsia="黑体"/>
                <w:sz w:val="21"/>
                <w:szCs w:val="21"/>
              </w:rPr>
            </w:pPr>
            <w:r>
              <w:rPr>
                <w:rFonts w:ascii="黑体" w:hAnsi="黑体" w:eastAsia="黑体"/>
                <w:sz w:val="21"/>
                <w:szCs w:val="21"/>
              </w:rPr>
              <w:t>本项目</w:t>
            </w:r>
            <w:r>
              <w:rPr>
                <w:rFonts w:ascii="黑体" w:hAnsi="黑体" w:eastAsia="黑体"/>
                <w:sz w:val="21"/>
                <w:szCs w:val="21"/>
              </w:rPr>
              <w:br w:type="textWrapping"/>
            </w:r>
            <w:r>
              <w:rPr>
                <w:rFonts w:ascii="黑体" w:hAnsi="黑体" w:eastAsia="黑体"/>
                <w:sz w:val="21"/>
                <w:szCs w:val="21"/>
              </w:rPr>
              <w:t>排放量（固体废物产生量）</w:t>
            </w:r>
            <w:r>
              <w:rPr>
                <w:rFonts w:hint="eastAsia" w:ascii="黑体" w:hAnsi="黑体" w:eastAsia="黑体" w:cs="宋体"/>
                <w:sz w:val="21"/>
                <w:szCs w:val="21"/>
              </w:rPr>
              <w:t>④</w:t>
            </w:r>
          </w:p>
        </w:tc>
        <w:tc>
          <w:tcPr>
            <w:tcW w:w="1304" w:type="dxa"/>
            <w:tcBorders>
              <w:top w:val="single" w:color="auto" w:sz="12" w:space="0"/>
              <w:left w:val="single" w:color="auto" w:sz="6" w:space="0"/>
              <w:bottom w:val="single" w:color="auto" w:sz="6" w:space="0"/>
              <w:right w:val="single" w:color="auto" w:sz="6" w:space="0"/>
            </w:tcBorders>
            <w:shd w:val="clear" w:color="auto" w:fill="auto"/>
            <w:vAlign w:val="center"/>
          </w:tcPr>
          <w:p w14:paraId="1C2BF1DB">
            <w:pPr>
              <w:pStyle w:val="154"/>
              <w:rPr>
                <w:rFonts w:ascii="黑体" w:hAnsi="黑体" w:eastAsia="黑体"/>
                <w:sz w:val="21"/>
                <w:szCs w:val="21"/>
              </w:rPr>
            </w:pPr>
            <w:r>
              <w:rPr>
                <w:rFonts w:ascii="黑体" w:hAnsi="黑体" w:eastAsia="黑体"/>
                <w:sz w:val="21"/>
                <w:szCs w:val="21"/>
              </w:rPr>
              <w:t>以新带老削减量（新建项目不填）</w:t>
            </w:r>
            <w:r>
              <w:rPr>
                <w:rFonts w:hint="eastAsia" w:ascii="黑体" w:hAnsi="黑体" w:eastAsia="黑体" w:cs="宋体"/>
                <w:sz w:val="21"/>
                <w:szCs w:val="21"/>
              </w:rPr>
              <w:t>⑤</w:t>
            </w:r>
          </w:p>
        </w:tc>
        <w:tc>
          <w:tcPr>
            <w:tcW w:w="1882" w:type="dxa"/>
            <w:tcBorders>
              <w:top w:val="single" w:color="auto" w:sz="12" w:space="0"/>
              <w:left w:val="single" w:color="auto" w:sz="6" w:space="0"/>
              <w:bottom w:val="single" w:color="auto" w:sz="6" w:space="0"/>
              <w:right w:val="single" w:color="auto" w:sz="6" w:space="0"/>
            </w:tcBorders>
            <w:shd w:val="clear" w:color="auto" w:fill="auto"/>
            <w:vAlign w:val="center"/>
          </w:tcPr>
          <w:p w14:paraId="53509E75">
            <w:pPr>
              <w:pStyle w:val="154"/>
              <w:rPr>
                <w:rFonts w:ascii="黑体" w:hAnsi="黑体" w:eastAsia="黑体"/>
                <w:sz w:val="21"/>
                <w:szCs w:val="21"/>
              </w:rPr>
            </w:pPr>
            <w:r>
              <w:rPr>
                <w:rFonts w:ascii="黑体" w:hAnsi="黑体" w:eastAsia="黑体"/>
                <w:sz w:val="21"/>
                <w:szCs w:val="21"/>
              </w:rPr>
              <w:t>本项目建成后</w:t>
            </w:r>
            <w:r>
              <w:rPr>
                <w:rFonts w:ascii="黑体" w:hAnsi="黑体" w:eastAsia="黑体"/>
                <w:sz w:val="21"/>
                <w:szCs w:val="21"/>
              </w:rPr>
              <w:br w:type="textWrapping"/>
            </w:r>
            <w:r>
              <w:rPr>
                <w:rFonts w:ascii="黑体" w:hAnsi="黑体" w:eastAsia="黑体"/>
                <w:sz w:val="21"/>
                <w:szCs w:val="21"/>
              </w:rPr>
              <w:t>全厂排放量（固体废物产生量）</w:t>
            </w:r>
            <w:r>
              <w:rPr>
                <w:rFonts w:hint="eastAsia" w:ascii="黑体" w:hAnsi="黑体" w:eastAsia="黑体" w:cs="宋体"/>
                <w:sz w:val="21"/>
                <w:szCs w:val="21"/>
              </w:rPr>
              <w:t>⑥</w:t>
            </w:r>
          </w:p>
        </w:tc>
        <w:tc>
          <w:tcPr>
            <w:tcW w:w="1179" w:type="dxa"/>
            <w:tcBorders>
              <w:top w:val="single" w:color="auto" w:sz="12" w:space="0"/>
              <w:left w:val="single" w:color="auto" w:sz="6" w:space="0"/>
              <w:bottom w:val="single" w:color="auto" w:sz="6" w:space="0"/>
              <w:right w:val="single" w:color="auto" w:sz="12" w:space="0"/>
            </w:tcBorders>
            <w:shd w:val="clear" w:color="auto" w:fill="auto"/>
            <w:vAlign w:val="center"/>
          </w:tcPr>
          <w:p w14:paraId="6E73064E">
            <w:pPr>
              <w:pStyle w:val="154"/>
              <w:rPr>
                <w:rFonts w:ascii="黑体" w:hAnsi="黑体" w:eastAsia="黑体"/>
                <w:sz w:val="21"/>
                <w:szCs w:val="21"/>
              </w:rPr>
            </w:pPr>
            <w:r>
              <w:rPr>
                <w:rFonts w:ascii="黑体" w:hAnsi="黑体" w:eastAsia="黑体"/>
                <w:sz w:val="21"/>
                <w:szCs w:val="21"/>
              </w:rPr>
              <w:t>变化量</w:t>
            </w:r>
            <w:r>
              <w:rPr>
                <w:rFonts w:ascii="黑体" w:hAnsi="黑体" w:eastAsia="黑体"/>
                <w:sz w:val="21"/>
                <w:szCs w:val="21"/>
              </w:rPr>
              <w:br w:type="textWrapping"/>
            </w:r>
            <w:r>
              <w:rPr>
                <w:rFonts w:hint="eastAsia" w:ascii="黑体" w:hAnsi="黑体" w:eastAsia="黑体" w:cs="宋体"/>
                <w:sz w:val="21"/>
                <w:szCs w:val="21"/>
              </w:rPr>
              <w:t>⑦</w:t>
            </w:r>
          </w:p>
        </w:tc>
      </w:tr>
      <w:tr w14:paraId="223B2C36">
        <w:tblPrEx>
          <w:tblCellMar>
            <w:top w:w="0" w:type="dxa"/>
            <w:left w:w="108" w:type="dxa"/>
            <w:bottom w:w="0" w:type="dxa"/>
            <w:right w:w="108" w:type="dxa"/>
          </w:tblCellMar>
        </w:tblPrEx>
        <w:trPr>
          <w:trHeight w:val="284" w:hRule="atLeast"/>
          <w:jc w:val="center"/>
        </w:trPr>
        <w:tc>
          <w:tcPr>
            <w:tcW w:w="1212" w:type="dxa"/>
            <w:vMerge w:val="restart"/>
            <w:tcBorders>
              <w:top w:val="single" w:color="auto" w:sz="6" w:space="0"/>
              <w:left w:val="single" w:color="auto" w:sz="12" w:space="0"/>
              <w:right w:val="single" w:color="auto" w:sz="6" w:space="0"/>
            </w:tcBorders>
            <w:shd w:val="clear" w:color="auto" w:fill="auto"/>
            <w:vAlign w:val="center"/>
          </w:tcPr>
          <w:p w14:paraId="133D36A8">
            <w:pPr>
              <w:pStyle w:val="154"/>
              <w:rPr>
                <w:rFonts w:eastAsia="宋体"/>
                <w:sz w:val="21"/>
                <w:szCs w:val="21"/>
              </w:rPr>
            </w:pPr>
            <w:r>
              <w:rPr>
                <w:rFonts w:eastAsia="宋体"/>
                <w:sz w:val="21"/>
                <w:szCs w:val="21"/>
              </w:rPr>
              <w:t>废气</w:t>
            </w: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73D16434">
            <w:pPr>
              <w:pStyle w:val="154"/>
              <w:rPr>
                <w:rFonts w:eastAsia="宋体"/>
                <w:sz w:val="21"/>
                <w:szCs w:val="21"/>
              </w:rPr>
            </w:pPr>
            <w:r>
              <w:rPr>
                <w:rFonts w:eastAsia="宋体"/>
                <w:sz w:val="21"/>
                <w:szCs w:val="21"/>
              </w:rPr>
              <w:t>非甲烷总烃</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6C5B1D3E">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49AC2E48">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355381AA">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C789ED4">
            <w:pPr>
              <w:pStyle w:val="154"/>
              <w:rPr>
                <w:rFonts w:eastAsia="宋体" w:cs="Times New Roman"/>
                <w:b/>
                <w:sz w:val="21"/>
                <w:szCs w:val="21"/>
                <w:u w:val="single"/>
              </w:rPr>
            </w:pPr>
            <w:r>
              <w:rPr>
                <w:rFonts w:hint="eastAsia" w:eastAsia="宋体" w:cs="Times New Roman"/>
                <w:b/>
                <w:sz w:val="21"/>
                <w:szCs w:val="21"/>
                <w:u w:val="single"/>
              </w:rPr>
              <w:t>0.2354</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2E265D7E">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45013DA9">
            <w:pPr>
              <w:pStyle w:val="154"/>
              <w:rPr>
                <w:rFonts w:eastAsia="宋体" w:cs="Times New Roman"/>
                <w:b/>
                <w:sz w:val="21"/>
                <w:szCs w:val="21"/>
                <w:u w:val="single"/>
              </w:rPr>
            </w:pPr>
            <w:r>
              <w:rPr>
                <w:rFonts w:hint="eastAsia" w:eastAsia="宋体" w:cs="Times New Roman"/>
                <w:b/>
                <w:sz w:val="21"/>
                <w:szCs w:val="21"/>
                <w:u w:val="single"/>
              </w:rPr>
              <w:t>0.2354</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3615C4B0">
            <w:pPr>
              <w:pStyle w:val="154"/>
              <w:rPr>
                <w:rFonts w:eastAsia="宋体" w:cs="Times New Roman"/>
                <w:b/>
                <w:sz w:val="21"/>
                <w:szCs w:val="21"/>
                <w:u w:val="single"/>
              </w:rPr>
            </w:pPr>
            <w:r>
              <w:rPr>
                <w:rFonts w:eastAsia="宋体"/>
                <w:b/>
                <w:sz w:val="21"/>
                <w:szCs w:val="21"/>
                <w:u w:val="single"/>
              </w:rPr>
              <w:t>+</w:t>
            </w:r>
            <w:r>
              <w:rPr>
                <w:rFonts w:hint="eastAsia" w:eastAsia="宋体" w:cs="Times New Roman"/>
                <w:b/>
                <w:sz w:val="21"/>
                <w:szCs w:val="21"/>
                <w:u w:val="single"/>
              </w:rPr>
              <w:t>0.2354</w:t>
            </w:r>
          </w:p>
        </w:tc>
      </w:tr>
      <w:tr w14:paraId="23B8FC15">
        <w:tblPrEx>
          <w:tblCellMar>
            <w:top w:w="0" w:type="dxa"/>
            <w:left w:w="108" w:type="dxa"/>
            <w:bottom w:w="0" w:type="dxa"/>
            <w:right w:w="108" w:type="dxa"/>
          </w:tblCellMar>
        </w:tblPrEx>
        <w:trPr>
          <w:trHeight w:val="284" w:hRule="atLeast"/>
          <w:jc w:val="center"/>
        </w:trPr>
        <w:tc>
          <w:tcPr>
            <w:tcW w:w="1212" w:type="dxa"/>
            <w:vMerge w:val="continue"/>
            <w:tcBorders>
              <w:left w:val="single" w:color="auto" w:sz="12" w:space="0"/>
              <w:right w:val="single" w:color="auto" w:sz="6" w:space="0"/>
            </w:tcBorders>
            <w:shd w:val="clear" w:color="auto" w:fill="auto"/>
            <w:vAlign w:val="center"/>
          </w:tcPr>
          <w:p w14:paraId="6BF94BC3">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0C2ED1F7">
            <w:pPr>
              <w:pStyle w:val="154"/>
              <w:rPr>
                <w:rFonts w:eastAsia="宋体"/>
                <w:sz w:val="21"/>
                <w:szCs w:val="21"/>
              </w:rPr>
            </w:pPr>
            <w:r>
              <w:rPr>
                <w:rFonts w:eastAsia="宋体"/>
                <w:sz w:val="21"/>
                <w:szCs w:val="21"/>
              </w:rPr>
              <w:t>氯化氢</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14A8D364">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561D1DF8">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56CB336D">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6120B40">
            <w:pPr>
              <w:pStyle w:val="154"/>
              <w:rPr>
                <w:rFonts w:eastAsia="宋体" w:cs="Times New Roman"/>
                <w:sz w:val="21"/>
                <w:szCs w:val="21"/>
              </w:rPr>
            </w:pPr>
            <w:r>
              <w:rPr>
                <w:rFonts w:eastAsia="宋体" w:cs="Times New Roman"/>
                <w:sz w:val="21"/>
                <w:szCs w:val="21"/>
              </w:rPr>
              <w:t>0.00</w:t>
            </w:r>
            <w:r>
              <w:rPr>
                <w:rFonts w:hint="eastAsia" w:eastAsia="宋体" w:cs="Times New Roman"/>
                <w:sz w:val="21"/>
                <w:szCs w:val="21"/>
              </w:rPr>
              <w:t>88</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2B999C53">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7295FF9D">
            <w:pPr>
              <w:pStyle w:val="154"/>
              <w:rPr>
                <w:rFonts w:eastAsia="宋体" w:cs="Times New Roman"/>
                <w:sz w:val="21"/>
                <w:szCs w:val="21"/>
              </w:rPr>
            </w:pPr>
            <w:r>
              <w:rPr>
                <w:rFonts w:eastAsia="宋体" w:cs="Times New Roman"/>
                <w:sz w:val="21"/>
                <w:szCs w:val="21"/>
              </w:rPr>
              <w:t>0.00</w:t>
            </w:r>
            <w:r>
              <w:rPr>
                <w:rFonts w:hint="eastAsia" w:eastAsia="宋体" w:cs="Times New Roman"/>
                <w:sz w:val="21"/>
                <w:szCs w:val="21"/>
              </w:rPr>
              <w:t>88</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2D10E294">
            <w:pPr>
              <w:pStyle w:val="154"/>
              <w:rPr>
                <w:rFonts w:eastAsia="宋体" w:cs="Times New Roman"/>
                <w:sz w:val="21"/>
                <w:szCs w:val="21"/>
              </w:rPr>
            </w:pPr>
            <w:r>
              <w:rPr>
                <w:rFonts w:eastAsia="宋体"/>
                <w:sz w:val="21"/>
                <w:szCs w:val="21"/>
              </w:rPr>
              <w:t>+</w:t>
            </w:r>
            <w:r>
              <w:rPr>
                <w:rFonts w:eastAsia="宋体" w:cs="Times New Roman"/>
                <w:sz w:val="21"/>
                <w:szCs w:val="21"/>
              </w:rPr>
              <w:t>0.00</w:t>
            </w:r>
            <w:r>
              <w:rPr>
                <w:rFonts w:hint="eastAsia" w:eastAsia="宋体" w:cs="Times New Roman"/>
                <w:sz w:val="21"/>
                <w:szCs w:val="21"/>
              </w:rPr>
              <w:t>88</w:t>
            </w:r>
          </w:p>
        </w:tc>
      </w:tr>
      <w:tr w14:paraId="48B30A16">
        <w:tblPrEx>
          <w:tblCellMar>
            <w:top w:w="0" w:type="dxa"/>
            <w:left w:w="108" w:type="dxa"/>
            <w:bottom w:w="0" w:type="dxa"/>
            <w:right w:w="108" w:type="dxa"/>
          </w:tblCellMar>
        </w:tblPrEx>
        <w:trPr>
          <w:trHeight w:val="284" w:hRule="atLeast"/>
          <w:jc w:val="center"/>
        </w:trPr>
        <w:tc>
          <w:tcPr>
            <w:tcW w:w="1212" w:type="dxa"/>
            <w:vMerge w:val="continue"/>
            <w:tcBorders>
              <w:left w:val="single" w:color="auto" w:sz="12" w:space="0"/>
              <w:bottom w:val="single" w:color="auto" w:sz="6" w:space="0"/>
              <w:right w:val="single" w:color="auto" w:sz="6" w:space="0"/>
            </w:tcBorders>
            <w:shd w:val="clear" w:color="auto" w:fill="auto"/>
            <w:vAlign w:val="center"/>
          </w:tcPr>
          <w:p w14:paraId="4E5D51DA">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555096B3">
            <w:pPr>
              <w:pStyle w:val="154"/>
              <w:rPr>
                <w:rFonts w:eastAsia="宋体"/>
                <w:sz w:val="21"/>
                <w:szCs w:val="21"/>
              </w:rPr>
            </w:pPr>
            <w:r>
              <w:rPr>
                <w:rFonts w:eastAsia="宋体"/>
                <w:sz w:val="21"/>
                <w:szCs w:val="21"/>
              </w:rPr>
              <w:t>颗粒物</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469C02F5">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7449267C">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161C17B4">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2413939">
            <w:pPr>
              <w:pStyle w:val="154"/>
              <w:rPr>
                <w:rFonts w:eastAsia="宋体" w:cs="Times New Roman"/>
                <w:sz w:val="21"/>
                <w:szCs w:val="21"/>
              </w:rPr>
            </w:pPr>
            <w:r>
              <w:rPr>
                <w:rFonts w:hint="eastAsia" w:eastAsia="宋体" w:cs="Times New Roman"/>
                <w:sz w:val="21"/>
                <w:szCs w:val="21"/>
              </w:rPr>
              <w:t>0.5942</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265AACBA">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180E7FD8">
            <w:pPr>
              <w:pStyle w:val="154"/>
              <w:rPr>
                <w:rFonts w:eastAsia="宋体" w:cs="Times New Roman"/>
                <w:sz w:val="21"/>
                <w:szCs w:val="21"/>
              </w:rPr>
            </w:pPr>
            <w:r>
              <w:rPr>
                <w:rFonts w:hint="eastAsia" w:eastAsia="宋体" w:cs="Times New Roman"/>
                <w:sz w:val="21"/>
                <w:szCs w:val="21"/>
              </w:rPr>
              <w:t>0.5942</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23622379">
            <w:pPr>
              <w:pStyle w:val="154"/>
              <w:rPr>
                <w:rFonts w:eastAsia="宋体" w:cs="Times New Roman"/>
                <w:sz w:val="21"/>
                <w:szCs w:val="21"/>
              </w:rPr>
            </w:pPr>
            <w:r>
              <w:rPr>
                <w:rFonts w:eastAsia="宋体"/>
                <w:sz w:val="21"/>
                <w:szCs w:val="21"/>
              </w:rPr>
              <w:t>+</w:t>
            </w:r>
            <w:r>
              <w:rPr>
                <w:rFonts w:hint="eastAsia" w:eastAsia="宋体" w:cs="Times New Roman"/>
                <w:sz w:val="21"/>
                <w:szCs w:val="21"/>
              </w:rPr>
              <w:t>0.5942</w:t>
            </w:r>
          </w:p>
        </w:tc>
      </w:tr>
      <w:tr w14:paraId="6FC93345">
        <w:tblPrEx>
          <w:tblCellMar>
            <w:top w:w="0" w:type="dxa"/>
            <w:left w:w="108" w:type="dxa"/>
            <w:bottom w:w="0" w:type="dxa"/>
            <w:right w:w="108" w:type="dxa"/>
          </w:tblCellMar>
        </w:tblPrEx>
        <w:trPr>
          <w:trHeight w:val="284" w:hRule="atLeast"/>
          <w:jc w:val="center"/>
        </w:trPr>
        <w:tc>
          <w:tcPr>
            <w:tcW w:w="1212" w:type="dxa"/>
            <w:vMerge w:val="restart"/>
            <w:tcBorders>
              <w:top w:val="single" w:color="auto" w:sz="6" w:space="0"/>
              <w:left w:val="single" w:color="auto" w:sz="12" w:space="0"/>
              <w:right w:val="single" w:color="auto" w:sz="6" w:space="0"/>
            </w:tcBorders>
            <w:shd w:val="clear" w:color="auto" w:fill="auto"/>
            <w:vAlign w:val="center"/>
          </w:tcPr>
          <w:p w14:paraId="626B369C">
            <w:pPr>
              <w:pStyle w:val="154"/>
              <w:rPr>
                <w:rFonts w:eastAsia="宋体"/>
                <w:sz w:val="21"/>
                <w:szCs w:val="21"/>
              </w:rPr>
            </w:pPr>
            <w:r>
              <w:rPr>
                <w:rFonts w:eastAsia="宋体"/>
                <w:sz w:val="21"/>
                <w:szCs w:val="21"/>
              </w:rPr>
              <w:t>废水</w:t>
            </w: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76CC6D25">
            <w:pPr>
              <w:pStyle w:val="154"/>
              <w:rPr>
                <w:rFonts w:eastAsia="宋体"/>
                <w:sz w:val="21"/>
                <w:szCs w:val="21"/>
              </w:rPr>
            </w:pPr>
            <w:r>
              <w:rPr>
                <w:rFonts w:eastAsia="宋体"/>
                <w:sz w:val="21"/>
                <w:szCs w:val="21"/>
              </w:rPr>
              <w:t>COD</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10171FF1">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0210AE10">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0A0E640E">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6CBBA6A1">
            <w:pPr>
              <w:pStyle w:val="154"/>
              <w:rPr>
                <w:rFonts w:eastAsia="宋体" w:cs="Times New Roman"/>
                <w:sz w:val="21"/>
                <w:szCs w:val="21"/>
              </w:rPr>
            </w:pPr>
            <w:r>
              <w:rPr>
                <w:rFonts w:eastAsia="宋体" w:cs="Times New Roman"/>
                <w:sz w:val="21"/>
                <w:szCs w:val="21"/>
              </w:rPr>
              <w:t>0.05</w:t>
            </w:r>
            <w:r>
              <w:rPr>
                <w:rFonts w:hint="eastAsia" w:eastAsia="宋体" w:cs="Times New Roman"/>
                <w:sz w:val="21"/>
                <w:szCs w:val="21"/>
              </w:rPr>
              <w:t>4</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70BE33FC">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2E294CA3">
            <w:pPr>
              <w:pStyle w:val="154"/>
              <w:rPr>
                <w:rFonts w:eastAsia="宋体" w:cs="Times New Roman"/>
                <w:sz w:val="21"/>
                <w:szCs w:val="21"/>
              </w:rPr>
            </w:pPr>
            <w:r>
              <w:rPr>
                <w:rFonts w:eastAsia="宋体" w:cs="Times New Roman"/>
                <w:sz w:val="21"/>
                <w:szCs w:val="21"/>
              </w:rPr>
              <w:t>0.05</w:t>
            </w:r>
            <w:r>
              <w:rPr>
                <w:rFonts w:hint="eastAsia" w:eastAsia="宋体" w:cs="Times New Roman"/>
                <w:sz w:val="21"/>
                <w:szCs w:val="21"/>
              </w:rPr>
              <w:t>4</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4462FC37">
            <w:pPr>
              <w:pStyle w:val="154"/>
              <w:rPr>
                <w:rFonts w:eastAsia="宋体" w:cs="Times New Roman"/>
                <w:sz w:val="21"/>
                <w:szCs w:val="21"/>
              </w:rPr>
            </w:pPr>
            <w:r>
              <w:rPr>
                <w:rFonts w:eastAsia="宋体"/>
                <w:sz w:val="21"/>
                <w:szCs w:val="21"/>
              </w:rPr>
              <w:t>+</w:t>
            </w:r>
            <w:r>
              <w:rPr>
                <w:rFonts w:eastAsia="宋体" w:cs="Times New Roman"/>
                <w:sz w:val="21"/>
                <w:szCs w:val="21"/>
              </w:rPr>
              <w:t>0.05</w:t>
            </w:r>
            <w:r>
              <w:rPr>
                <w:rFonts w:hint="eastAsia" w:eastAsia="宋体" w:cs="Times New Roman"/>
                <w:sz w:val="21"/>
                <w:szCs w:val="21"/>
              </w:rPr>
              <w:t>4</w:t>
            </w:r>
          </w:p>
        </w:tc>
      </w:tr>
      <w:tr w14:paraId="3863AFCF">
        <w:tblPrEx>
          <w:tblCellMar>
            <w:top w:w="0" w:type="dxa"/>
            <w:left w:w="108" w:type="dxa"/>
            <w:bottom w:w="0" w:type="dxa"/>
            <w:right w:w="108" w:type="dxa"/>
          </w:tblCellMar>
        </w:tblPrEx>
        <w:trPr>
          <w:trHeight w:val="284" w:hRule="atLeast"/>
          <w:jc w:val="center"/>
        </w:trPr>
        <w:tc>
          <w:tcPr>
            <w:tcW w:w="1212" w:type="dxa"/>
            <w:vMerge w:val="continue"/>
            <w:tcBorders>
              <w:left w:val="single" w:color="auto" w:sz="12" w:space="0"/>
              <w:right w:val="single" w:color="auto" w:sz="6" w:space="0"/>
            </w:tcBorders>
            <w:shd w:val="clear" w:color="auto" w:fill="auto"/>
            <w:vAlign w:val="center"/>
          </w:tcPr>
          <w:p w14:paraId="1E8CEAFB">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2F65ABA0">
            <w:pPr>
              <w:pStyle w:val="154"/>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3C14A014">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1289D667">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6E15AA6F">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C0D1864">
            <w:pPr>
              <w:pStyle w:val="154"/>
              <w:rPr>
                <w:rFonts w:eastAsia="宋体" w:cs="Times New Roman"/>
                <w:sz w:val="21"/>
                <w:szCs w:val="21"/>
              </w:rPr>
            </w:pPr>
            <w:r>
              <w:rPr>
                <w:rFonts w:eastAsia="宋体" w:cs="Times New Roman"/>
                <w:sz w:val="21"/>
                <w:szCs w:val="21"/>
              </w:rPr>
              <w:t>0.0056</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108FD191">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059E56CF">
            <w:pPr>
              <w:pStyle w:val="154"/>
              <w:rPr>
                <w:rFonts w:eastAsia="宋体" w:cs="Times New Roman"/>
                <w:sz w:val="21"/>
                <w:szCs w:val="21"/>
              </w:rPr>
            </w:pPr>
            <w:r>
              <w:rPr>
                <w:rFonts w:eastAsia="宋体" w:cs="Times New Roman"/>
                <w:sz w:val="21"/>
                <w:szCs w:val="21"/>
              </w:rPr>
              <w:t>0.0056</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6B699864">
            <w:pPr>
              <w:pStyle w:val="154"/>
              <w:rPr>
                <w:rFonts w:eastAsia="宋体" w:cs="Times New Roman"/>
                <w:sz w:val="21"/>
                <w:szCs w:val="21"/>
              </w:rPr>
            </w:pPr>
            <w:r>
              <w:rPr>
                <w:rFonts w:eastAsia="宋体"/>
                <w:sz w:val="21"/>
                <w:szCs w:val="21"/>
              </w:rPr>
              <w:t>+</w:t>
            </w:r>
            <w:r>
              <w:rPr>
                <w:rFonts w:eastAsia="宋体" w:cs="Times New Roman"/>
                <w:sz w:val="21"/>
                <w:szCs w:val="21"/>
              </w:rPr>
              <w:t>0.0056</w:t>
            </w:r>
          </w:p>
        </w:tc>
      </w:tr>
      <w:tr w14:paraId="6041A009">
        <w:tblPrEx>
          <w:tblCellMar>
            <w:top w:w="0" w:type="dxa"/>
            <w:left w:w="108" w:type="dxa"/>
            <w:bottom w:w="0" w:type="dxa"/>
            <w:right w:w="108" w:type="dxa"/>
          </w:tblCellMar>
        </w:tblPrEx>
        <w:trPr>
          <w:trHeight w:val="284" w:hRule="atLeast"/>
          <w:jc w:val="center"/>
        </w:trPr>
        <w:tc>
          <w:tcPr>
            <w:tcW w:w="1212" w:type="dxa"/>
            <w:vMerge w:val="restart"/>
            <w:tcBorders>
              <w:top w:val="single" w:color="auto" w:sz="6" w:space="0"/>
              <w:left w:val="single" w:color="auto" w:sz="12" w:space="0"/>
              <w:right w:val="single" w:color="auto" w:sz="6" w:space="0"/>
            </w:tcBorders>
            <w:shd w:val="clear" w:color="auto" w:fill="auto"/>
            <w:vAlign w:val="center"/>
          </w:tcPr>
          <w:p w14:paraId="37E4115E">
            <w:pPr>
              <w:pStyle w:val="154"/>
              <w:rPr>
                <w:rFonts w:eastAsia="宋体"/>
                <w:sz w:val="21"/>
                <w:szCs w:val="21"/>
              </w:rPr>
            </w:pPr>
            <w:r>
              <w:rPr>
                <w:rFonts w:eastAsia="宋体"/>
                <w:sz w:val="21"/>
                <w:szCs w:val="21"/>
              </w:rPr>
              <w:t>一般工业</w:t>
            </w:r>
            <w:r>
              <w:rPr>
                <w:rFonts w:eastAsia="宋体"/>
                <w:sz w:val="21"/>
                <w:szCs w:val="21"/>
              </w:rPr>
              <w:br w:type="textWrapping"/>
            </w:r>
            <w:r>
              <w:rPr>
                <w:rFonts w:eastAsia="宋体"/>
                <w:sz w:val="21"/>
                <w:szCs w:val="21"/>
              </w:rPr>
              <w:t>固体废物</w:t>
            </w: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28AA94CF">
            <w:pPr>
              <w:pStyle w:val="154"/>
              <w:rPr>
                <w:rFonts w:eastAsia="宋体"/>
                <w:sz w:val="21"/>
                <w:szCs w:val="21"/>
              </w:rPr>
            </w:pPr>
            <w:r>
              <w:rPr>
                <w:rFonts w:eastAsia="宋体"/>
                <w:sz w:val="21"/>
                <w:szCs w:val="21"/>
              </w:rPr>
              <w:t>废包装材料</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6D7396E3">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1E6E54D7">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3976BC69">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034C6541">
            <w:pPr>
              <w:pStyle w:val="154"/>
              <w:rPr>
                <w:rFonts w:eastAsia="宋体" w:cs="Times New Roman"/>
                <w:sz w:val="21"/>
                <w:szCs w:val="21"/>
              </w:rPr>
            </w:pPr>
            <w:r>
              <w:rPr>
                <w:rFonts w:eastAsia="宋体" w:cs="Times New Roman"/>
                <w:sz w:val="21"/>
                <w:szCs w:val="21"/>
              </w:rPr>
              <w:t>0.</w:t>
            </w:r>
            <w:r>
              <w:rPr>
                <w:rFonts w:hint="eastAsia" w:eastAsia="宋体" w:cs="Times New Roman"/>
                <w:sz w:val="21"/>
                <w:szCs w:val="21"/>
              </w:rPr>
              <w:t>688</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27511EED">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1BD58533">
            <w:pPr>
              <w:pStyle w:val="154"/>
              <w:rPr>
                <w:rFonts w:eastAsia="宋体" w:cs="Times New Roman"/>
                <w:sz w:val="21"/>
                <w:szCs w:val="21"/>
              </w:rPr>
            </w:pPr>
            <w:r>
              <w:rPr>
                <w:rFonts w:eastAsia="宋体" w:cs="Times New Roman"/>
                <w:sz w:val="21"/>
                <w:szCs w:val="21"/>
              </w:rPr>
              <w:t>0.</w:t>
            </w:r>
            <w:r>
              <w:rPr>
                <w:rFonts w:hint="eastAsia" w:eastAsia="宋体" w:cs="Times New Roman"/>
                <w:sz w:val="21"/>
                <w:szCs w:val="21"/>
              </w:rPr>
              <w:t>688</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46094C62">
            <w:pPr>
              <w:pStyle w:val="154"/>
              <w:rPr>
                <w:rFonts w:eastAsia="宋体" w:cs="Times New Roman"/>
                <w:sz w:val="21"/>
                <w:szCs w:val="21"/>
              </w:rPr>
            </w:pPr>
            <w:r>
              <w:rPr>
                <w:rFonts w:eastAsia="宋体"/>
                <w:sz w:val="21"/>
                <w:szCs w:val="21"/>
              </w:rPr>
              <w:t>+</w:t>
            </w:r>
            <w:r>
              <w:rPr>
                <w:rFonts w:eastAsia="宋体" w:cs="Times New Roman"/>
                <w:sz w:val="21"/>
                <w:szCs w:val="21"/>
              </w:rPr>
              <w:t>0.</w:t>
            </w:r>
            <w:r>
              <w:rPr>
                <w:rFonts w:hint="eastAsia" w:eastAsia="宋体" w:cs="Times New Roman"/>
                <w:sz w:val="21"/>
                <w:szCs w:val="21"/>
              </w:rPr>
              <w:t>688</w:t>
            </w:r>
          </w:p>
        </w:tc>
      </w:tr>
      <w:tr w14:paraId="3A24E9D0">
        <w:tblPrEx>
          <w:tblCellMar>
            <w:top w:w="0" w:type="dxa"/>
            <w:left w:w="108" w:type="dxa"/>
            <w:bottom w:w="0" w:type="dxa"/>
            <w:right w:w="108" w:type="dxa"/>
          </w:tblCellMar>
        </w:tblPrEx>
        <w:trPr>
          <w:trHeight w:val="284" w:hRule="atLeast"/>
          <w:jc w:val="center"/>
        </w:trPr>
        <w:tc>
          <w:tcPr>
            <w:tcW w:w="1212" w:type="dxa"/>
            <w:vMerge w:val="continue"/>
            <w:tcBorders>
              <w:top w:val="single" w:color="auto" w:sz="6" w:space="0"/>
              <w:left w:val="single" w:color="auto" w:sz="12" w:space="0"/>
              <w:right w:val="single" w:color="auto" w:sz="6" w:space="0"/>
            </w:tcBorders>
            <w:shd w:val="clear" w:color="auto" w:fill="auto"/>
            <w:vAlign w:val="center"/>
          </w:tcPr>
          <w:p w14:paraId="4AF54C2D">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02D1BAFD">
            <w:pPr>
              <w:pStyle w:val="154"/>
              <w:rPr>
                <w:rFonts w:eastAsia="宋体"/>
                <w:sz w:val="21"/>
                <w:szCs w:val="21"/>
              </w:rPr>
            </w:pPr>
            <w:r>
              <w:rPr>
                <w:rFonts w:hint="eastAsia" w:eastAsia="宋体"/>
                <w:sz w:val="21"/>
                <w:szCs w:val="21"/>
              </w:rPr>
              <w:t>废包装桶（A料、C料）</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6AA1BA90">
            <w:pPr>
              <w:pStyle w:val="154"/>
              <w:rPr>
                <w:rFonts w:eastAsia="宋体"/>
                <w:b/>
                <w:sz w:val="21"/>
                <w:szCs w:val="21"/>
              </w:rPr>
            </w:pPr>
            <w:r>
              <w:rPr>
                <w:rFonts w:eastAsia="宋体"/>
                <w:b/>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0B102319">
            <w:pPr>
              <w:pStyle w:val="154"/>
              <w:rPr>
                <w:rFonts w:eastAsia="宋体"/>
                <w:b/>
                <w:sz w:val="21"/>
                <w:szCs w:val="21"/>
              </w:rPr>
            </w:pPr>
            <w:r>
              <w:rPr>
                <w:rFonts w:eastAsia="宋体"/>
                <w:b/>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035DABB4">
            <w:pPr>
              <w:pStyle w:val="154"/>
              <w:rPr>
                <w:rFonts w:eastAsia="宋体"/>
                <w:b/>
                <w:sz w:val="21"/>
                <w:szCs w:val="21"/>
              </w:rPr>
            </w:pPr>
            <w:r>
              <w:rPr>
                <w:rFonts w:eastAsia="宋体"/>
                <w:b/>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3D0A0D8">
            <w:pPr>
              <w:pStyle w:val="154"/>
              <w:rPr>
                <w:rFonts w:eastAsia="宋体" w:cs="Times New Roman"/>
                <w:sz w:val="21"/>
                <w:szCs w:val="21"/>
              </w:rPr>
            </w:pPr>
            <w:r>
              <w:rPr>
                <w:rFonts w:hint="eastAsia" w:eastAsia="宋体" w:cs="Times New Roman"/>
                <w:sz w:val="21"/>
                <w:szCs w:val="21"/>
              </w:rPr>
              <w:t>2.55</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12F1609B">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1FF0FDA9">
            <w:pPr>
              <w:pStyle w:val="154"/>
              <w:rPr>
                <w:rFonts w:eastAsia="宋体" w:cs="Times New Roman"/>
                <w:sz w:val="21"/>
                <w:szCs w:val="21"/>
              </w:rPr>
            </w:pPr>
            <w:r>
              <w:rPr>
                <w:rFonts w:hint="eastAsia" w:eastAsia="宋体" w:cs="Times New Roman"/>
                <w:sz w:val="21"/>
                <w:szCs w:val="21"/>
              </w:rPr>
              <w:t>2.55</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0BB882A4">
            <w:pPr>
              <w:pStyle w:val="154"/>
              <w:rPr>
                <w:rFonts w:eastAsia="宋体" w:cs="Times New Roman"/>
                <w:sz w:val="21"/>
                <w:szCs w:val="21"/>
              </w:rPr>
            </w:pPr>
            <w:r>
              <w:rPr>
                <w:rFonts w:eastAsia="宋体"/>
                <w:sz w:val="21"/>
                <w:szCs w:val="21"/>
              </w:rPr>
              <w:t>+</w:t>
            </w:r>
            <w:r>
              <w:rPr>
                <w:rFonts w:hint="eastAsia" w:eastAsia="宋体" w:cs="Times New Roman"/>
                <w:sz w:val="21"/>
                <w:szCs w:val="21"/>
              </w:rPr>
              <w:t>2.55</w:t>
            </w:r>
          </w:p>
        </w:tc>
      </w:tr>
      <w:tr w14:paraId="5BA42E25">
        <w:tblPrEx>
          <w:tblCellMar>
            <w:top w:w="0" w:type="dxa"/>
            <w:left w:w="108" w:type="dxa"/>
            <w:bottom w:w="0" w:type="dxa"/>
            <w:right w:w="108" w:type="dxa"/>
          </w:tblCellMar>
        </w:tblPrEx>
        <w:trPr>
          <w:trHeight w:val="284" w:hRule="atLeast"/>
          <w:jc w:val="center"/>
        </w:trPr>
        <w:tc>
          <w:tcPr>
            <w:tcW w:w="1212" w:type="dxa"/>
            <w:vMerge w:val="continue"/>
            <w:tcBorders>
              <w:top w:val="single" w:color="auto" w:sz="6" w:space="0"/>
              <w:left w:val="single" w:color="auto" w:sz="12" w:space="0"/>
              <w:right w:val="single" w:color="auto" w:sz="6" w:space="0"/>
            </w:tcBorders>
            <w:shd w:val="clear" w:color="auto" w:fill="auto"/>
            <w:vAlign w:val="center"/>
          </w:tcPr>
          <w:p w14:paraId="1BB5BF58">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25C41D89">
            <w:pPr>
              <w:pStyle w:val="154"/>
              <w:rPr>
                <w:rFonts w:eastAsia="宋体"/>
                <w:sz w:val="21"/>
                <w:szCs w:val="21"/>
              </w:rPr>
            </w:pPr>
            <w:r>
              <w:rPr>
                <w:rFonts w:hint="eastAsia" w:eastAsia="宋体"/>
                <w:sz w:val="21"/>
                <w:szCs w:val="21"/>
              </w:rPr>
              <w:t>废</w:t>
            </w:r>
            <w:r>
              <w:rPr>
                <w:rFonts w:eastAsia="宋体"/>
                <w:sz w:val="21"/>
                <w:szCs w:val="21"/>
              </w:rPr>
              <w:t>PU</w:t>
            </w:r>
            <w:r>
              <w:rPr>
                <w:rFonts w:hint="eastAsia" w:eastAsia="宋体"/>
                <w:sz w:val="21"/>
                <w:szCs w:val="21"/>
              </w:rPr>
              <w:t>边角料</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EC3B3B0">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4C7B2044">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49FFFB1A">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3DE9A084">
            <w:pPr>
              <w:pStyle w:val="154"/>
              <w:rPr>
                <w:rFonts w:eastAsia="宋体" w:cs="Times New Roman"/>
                <w:sz w:val="21"/>
                <w:szCs w:val="21"/>
              </w:rPr>
            </w:pPr>
            <w:r>
              <w:rPr>
                <w:rFonts w:hint="eastAsia" w:eastAsia="宋体" w:cs="Times New Roman"/>
                <w:sz w:val="21"/>
                <w:szCs w:val="21"/>
              </w:rPr>
              <w:t>1.5</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494EF928">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5391AE9E">
            <w:pPr>
              <w:pStyle w:val="154"/>
              <w:rPr>
                <w:rFonts w:eastAsia="宋体" w:cs="Times New Roman"/>
                <w:sz w:val="21"/>
                <w:szCs w:val="21"/>
              </w:rPr>
            </w:pPr>
            <w:r>
              <w:rPr>
                <w:rFonts w:hint="eastAsia" w:eastAsia="宋体" w:cs="Times New Roman"/>
                <w:sz w:val="21"/>
                <w:szCs w:val="21"/>
              </w:rPr>
              <w:t>1.5</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6D7E64B5">
            <w:pPr>
              <w:pStyle w:val="154"/>
              <w:rPr>
                <w:rFonts w:eastAsia="宋体" w:cs="Times New Roman"/>
                <w:sz w:val="21"/>
                <w:szCs w:val="21"/>
              </w:rPr>
            </w:pPr>
            <w:r>
              <w:rPr>
                <w:rFonts w:eastAsia="宋体"/>
                <w:sz w:val="21"/>
                <w:szCs w:val="21"/>
              </w:rPr>
              <w:t>+</w:t>
            </w:r>
            <w:r>
              <w:rPr>
                <w:rFonts w:hint="eastAsia" w:eastAsia="宋体" w:cs="Times New Roman"/>
                <w:sz w:val="21"/>
                <w:szCs w:val="21"/>
              </w:rPr>
              <w:t>1.5</w:t>
            </w:r>
          </w:p>
        </w:tc>
      </w:tr>
      <w:tr w14:paraId="11641FC0">
        <w:tblPrEx>
          <w:tblCellMar>
            <w:top w:w="0" w:type="dxa"/>
            <w:left w:w="108" w:type="dxa"/>
            <w:bottom w:w="0" w:type="dxa"/>
            <w:right w:w="108" w:type="dxa"/>
          </w:tblCellMar>
        </w:tblPrEx>
        <w:trPr>
          <w:trHeight w:val="284" w:hRule="atLeast"/>
          <w:jc w:val="center"/>
        </w:trPr>
        <w:tc>
          <w:tcPr>
            <w:tcW w:w="1212" w:type="dxa"/>
            <w:vMerge w:val="continue"/>
            <w:tcBorders>
              <w:top w:val="single" w:color="auto" w:sz="6" w:space="0"/>
              <w:left w:val="single" w:color="auto" w:sz="12" w:space="0"/>
              <w:right w:val="single" w:color="auto" w:sz="6" w:space="0"/>
            </w:tcBorders>
            <w:shd w:val="clear" w:color="auto" w:fill="auto"/>
            <w:vAlign w:val="center"/>
          </w:tcPr>
          <w:p w14:paraId="3F75BA5A">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7DB232CE">
            <w:pPr>
              <w:pStyle w:val="154"/>
              <w:rPr>
                <w:rFonts w:eastAsia="宋体"/>
                <w:sz w:val="21"/>
                <w:szCs w:val="21"/>
              </w:rPr>
            </w:pPr>
            <w:r>
              <w:rPr>
                <w:rFonts w:hint="eastAsia" w:eastAsia="宋体"/>
                <w:sz w:val="21"/>
                <w:szCs w:val="21"/>
              </w:rPr>
              <w:t>废滤袋</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0C93C74F">
            <w:pPr>
              <w:pStyle w:val="154"/>
              <w:rPr>
                <w:rFonts w:eastAsia="宋体"/>
                <w:sz w:val="21"/>
                <w:szCs w:val="21"/>
              </w:rPr>
            </w:pPr>
            <w:r>
              <w:rPr>
                <w:rFonts w:hint="eastAsia"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3083C7AD">
            <w:pPr>
              <w:pStyle w:val="154"/>
              <w:rPr>
                <w:rFonts w:eastAsia="宋体"/>
                <w:sz w:val="21"/>
                <w:szCs w:val="21"/>
              </w:rPr>
            </w:pPr>
            <w:r>
              <w:rPr>
                <w:rFonts w:hint="eastAsia"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4574E041">
            <w:pPr>
              <w:pStyle w:val="154"/>
              <w:rPr>
                <w:rFonts w:eastAsia="宋体"/>
                <w:sz w:val="21"/>
                <w:szCs w:val="21"/>
              </w:rPr>
            </w:pPr>
            <w:r>
              <w:rPr>
                <w:rFonts w:hint="eastAsia"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76B33266">
            <w:pPr>
              <w:pStyle w:val="154"/>
              <w:rPr>
                <w:rFonts w:eastAsia="宋体" w:cs="Times New Roman"/>
                <w:sz w:val="21"/>
                <w:szCs w:val="21"/>
              </w:rPr>
            </w:pPr>
            <w:r>
              <w:rPr>
                <w:rFonts w:hint="eastAsia" w:eastAsia="宋体" w:cs="Times New Roman"/>
                <w:sz w:val="21"/>
                <w:szCs w:val="21"/>
              </w:rPr>
              <w:t>0.1</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0F3472CF">
            <w:pPr>
              <w:pStyle w:val="154"/>
              <w:rPr>
                <w:rFonts w:eastAsia="宋体" w:cs="Times New Roman"/>
                <w:sz w:val="21"/>
                <w:szCs w:val="21"/>
              </w:rPr>
            </w:pPr>
            <w:r>
              <w:rPr>
                <w:rFonts w:hint="eastAsia"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1A5E1B1F">
            <w:pPr>
              <w:pStyle w:val="154"/>
              <w:rPr>
                <w:rFonts w:eastAsia="宋体" w:cs="Times New Roman"/>
                <w:sz w:val="21"/>
                <w:szCs w:val="21"/>
              </w:rPr>
            </w:pPr>
            <w:r>
              <w:rPr>
                <w:rFonts w:hint="eastAsia" w:eastAsia="宋体" w:cs="Times New Roman"/>
                <w:sz w:val="21"/>
                <w:szCs w:val="21"/>
              </w:rPr>
              <w:t>0.1</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577939BE">
            <w:pPr>
              <w:pStyle w:val="154"/>
              <w:rPr>
                <w:rFonts w:eastAsia="宋体" w:cs="Times New Roman"/>
                <w:sz w:val="21"/>
                <w:szCs w:val="21"/>
              </w:rPr>
            </w:pPr>
            <w:r>
              <w:rPr>
                <w:rFonts w:eastAsia="宋体"/>
                <w:sz w:val="21"/>
                <w:szCs w:val="21"/>
              </w:rPr>
              <w:t>+</w:t>
            </w:r>
            <w:r>
              <w:rPr>
                <w:rFonts w:hint="eastAsia" w:eastAsia="宋体" w:cs="Times New Roman"/>
                <w:sz w:val="21"/>
                <w:szCs w:val="21"/>
              </w:rPr>
              <w:t>0.1</w:t>
            </w:r>
          </w:p>
        </w:tc>
      </w:tr>
      <w:tr w14:paraId="420DA415">
        <w:tblPrEx>
          <w:tblCellMar>
            <w:top w:w="0" w:type="dxa"/>
            <w:left w:w="108" w:type="dxa"/>
            <w:bottom w:w="0" w:type="dxa"/>
            <w:right w:w="108" w:type="dxa"/>
          </w:tblCellMar>
        </w:tblPrEx>
        <w:trPr>
          <w:trHeight w:val="284" w:hRule="atLeast"/>
          <w:jc w:val="center"/>
        </w:trPr>
        <w:tc>
          <w:tcPr>
            <w:tcW w:w="1212" w:type="dxa"/>
            <w:vMerge w:val="continue"/>
            <w:tcBorders>
              <w:left w:val="single" w:color="auto" w:sz="12" w:space="0"/>
              <w:bottom w:val="single" w:color="auto" w:sz="6" w:space="0"/>
              <w:right w:val="single" w:color="auto" w:sz="6" w:space="0"/>
            </w:tcBorders>
            <w:shd w:val="clear" w:color="auto" w:fill="auto"/>
            <w:vAlign w:val="center"/>
          </w:tcPr>
          <w:p w14:paraId="6E2C9CFB">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069F9470">
            <w:pPr>
              <w:pStyle w:val="154"/>
              <w:rPr>
                <w:rFonts w:eastAsia="宋体"/>
                <w:sz w:val="21"/>
                <w:szCs w:val="21"/>
              </w:rPr>
            </w:pPr>
            <w:r>
              <w:rPr>
                <w:rFonts w:eastAsia="宋体"/>
                <w:sz w:val="21"/>
                <w:szCs w:val="21"/>
              </w:rPr>
              <w:t>生活垃圾</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8388409">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139BD792">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7494D1DB">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68452D2E">
            <w:pPr>
              <w:pStyle w:val="154"/>
              <w:rPr>
                <w:rFonts w:eastAsia="宋体" w:cs="Times New Roman"/>
                <w:sz w:val="21"/>
                <w:szCs w:val="21"/>
              </w:rPr>
            </w:pPr>
            <w:r>
              <w:rPr>
                <w:rFonts w:eastAsia="宋体" w:cs="Times New Roman"/>
                <w:sz w:val="21"/>
                <w:szCs w:val="21"/>
              </w:rPr>
              <w:t>3.0</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006689DF">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3BCBFC13">
            <w:pPr>
              <w:pStyle w:val="154"/>
              <w:rPr>
                <w:rFonts w:eastAsia="宋体" w:cs="Times New Roman"/>
                <w:sz w:val="21"/>
                <w:szCs w:val="21"/>
              </w:rPr>
            </w:pPr>
            <w:r>
              <w:rPr>
                <w:rFonts w:eastAsia="宋体" w:cs="Times New Roman"/>
                <w:sz w:val="21"/>
                <w:szCs w:val="21"/>
              </w:rPr>
              <w:t>3.0</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728A8E3C">
            <w:pPr>
              <w:pStyle w:val="154"/>
              <w:rPr>
                <w:rFonts w:eastAsia="宋体" w:cs="Times New Roman"/>
                <w:sz w:val="21"/>
                <w:szCs w:val="21"/>
              </w:rPr>
            </w:pPr>
            <w:r>
              <w:rPr>
                <w:rFonts w:eastAsia="宋体"/>
                <w:sz w:val="21"/>
                <w:szCs w:val="21"/>
              </w:rPr>
              <w:t>+</w:t>
            </w:r>
            <w:r>
              <w:rPr>
                <w:rFonts w:eastAsia="宋体" w:cs="Times New Roman"/>
                <w:sz w:val="21"/>
                <w:szCs w:val="21"/>
              </w:rPr>
              <w:t>3.0</w:t>
            </w:r>
          </w:p>
        </w:tc>
      </w:tr>
      <w:tr w14:paraId="00CD8C3E">
        <w:tblPrEx>
          <w:tblCellMar>
            <w:top w:w="0" w:type="dxa"/>
            <w:left w:w="108" w:type="dxa"/>
            <w:bottom w:w="0" w:type="dxa"/>
            <w:right w:w="108" w:type="dxa"/>
          </w:tblCellMar>
        </w:tblPrEx>
        <w:trPr>
          <w:trHeight w:val="284" w:hRule="atLeast"/>
          <w:jc w:val="center"/>
        </w:trPr>
        <w:tc>
          <w:tcPr>
            <w:tcW w:w="1212" w:type="dxa"/>
            <w:vMerge w:val="restart"/>
            <w:tcBorders>
              <w:top w:val="single" w:color="auto" w:sz="6" w:space="0"/>
              <w:left w:val="single" w:color="auto" w:sz="12" w:space="0"/>
              <w:right w:val="single" w:color="auto" w:sz="6" w:space="0"/>
            </w:tcBorders>
            <w:shd w:val="clear" w:color="auto" w:fill="auto"/>
            <w:vAlign w:val="center"/>
          </w:tcPr>
          <w:p w14:paraId="3DE81C9D">
            <w:pPr>
              <w:pStyle w:val="154"/>
              <w:rPr>
                <w:rFonts w:eastAsia="宋体"/>
                <w:sz w:val="21"/>
                <w:szCs w:val="21"/>
              </w:rPr>
            </w:pPr>
            <w:r>
              <w:rPr>
                <w:rFonts w:eastAsia="宋体"/>
                <w:sz w:val="21"/>
                <w:szCs w:val="21"/>
              </w:rPr>
              <w:t>危险废物</w:t>
            </w: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1165789B">
            <w:pPr>
              <w:pStyle w:val="154"/>
              <w:rPr>
                <w:rFonts w:eastAsia="宋体"/>
                <w:sz w:val="21"/>
                <w:szCs w:val="21"/>
              </w:rPr>
            </w:pPr>
            <w:r>
              <w:rPr>
                <w:rFonts w:hint="eastAsia" w:eastAsia="宋体"/>
                <w:sz w:val="21"/>
                <w:szCs w:val="21"/>
              </w:rPr>
              <w:t>废包装桶</w:t>
            </w:r>
          </w:p>
          <w:p w14:paraId="2826E896">
            <w:pPr>
              <w:pStyle w:val="154"/>
              <w:rPr>
                <w:rFonts w:eastAsia="宋体"/>
                <w:sz w:val="21"/>
                <w:szCs w:val="21"/>
              </w:rPr>
            </w:pPr>
            <w:r>
              <w:rPr>
                <w:rFonts w:hint="eastAsia" w:eastAsia="宋体"/>
                <w:sz w:val="21"/>
                <w:szCs w:val="21"/>
              </w:rPr>
              <w:t>（B料、色浆等）</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417C9304">
            <w:pPr>
              <w:pStyle w:val="154"/>
              <w:rPr>
                <w:rFonts w:eastAsia="宋体"/>
                <w:b/>
                <w:sz w:val="21"/>
                <w:szCs w:val="21"/>
              </w:rPr>
            </w:pPr>
            <w:r>
              <w:rPr>
                <w:rFonts w:hint="eastAsia" w:eastAsia="宋体"/>
                <w:b/>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00738D2F">
            <w:pPr>
              <w:pStyle w:val="154"/>
              <w:rPr>
                <w:rFonts w:eastAsia="宋体"/>
                <w:b/>
                <w:sz w:val="21"/>
                <w:szCs w:val="21"/>
              </w:rPr>
            </w:pPr>
            <w:r>
              <w:rPr>
                <w:rFonts w:hint="eastAsia" w:eastAsia="宋体"/>
                <w:b/>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3D5BA7AC">
            <w:pPr>
              <w:pStyle w:val="154"/>
              <w:rPr>
                <w:rFonts w:eastAsia="宋体"/>
                <w:b/>
                <w:sz w:val="21"/>
                <w:szCs w:val="21"/>
              </w:rPr>
            </w:pPr>
            <w:r>
              <w:rPr>
                <w:rFonts w:hint="eastAsia" w:eastAsia="宋体"/>
                <w:b/>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7A036A4C">
            <w:pPr>
              <w:pStyle w:val="154"/>
              <w:rPr>
                <w:rFonts w:eastAsia="宋体" w:cs="Times New Roman"/>
                <w:sz w:val="21"/>
                <w:szCs w:val="21"/>
              </w:rPr>
            </w:pPr>
            <w:r>
              <w:rPr>
                <w:rFonts w:hint="eastAsia" w:eastAsia="宋体" w:cs="Times New Roman"/>
                <w:sz w:val="21"/>
                <w:szCs w:val="21"/>
              </w:rPr>
              <w:t>2.69</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27BD3E65">
            <w:pPr>
              <w:pStyle w:val="154"/>
              <w:rPr>
                <w:rFonts w:eastAsia="宋体" w:cs="Times New Roman"/>
                <w:sz w:val="21"/>
                <w:szCs w:val="21"/>
              </w:rPr>
            </w:pPr>
            <w:r>
              <w:rPr>
                <w:rFonts w:hint="eastAsia"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3B69D4E6">
            <w:pPr>
              <w:pStyle w:val="154"/>
              <w:rPr>
                <w:rFonts w:eastAsia="宋体" w:cs="Times New Roman"/>
                <w:sz w:val="21"/>
                <w:szCs w:val="21"/>
              </w:rPr>
            </w:pPr>
            <w:r>
              <w:rPr>
                <w:rFonts w:hint="eastAsia" w:eastAsia="宋体" w:cs="Times New Roman"/>
                <w:sz w:val="21"/>
                <w:szCs w:val="21"/>
              </w:rPr>
              <w:t>2.69</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354B2299">
            <w:pPr>
              <w:pStyle w:val="154"/>
              <w:rPr>
                <w:rFonts w:eastAsia="宋体" w:cs="Times New Roman"/>
                <w:sz w:val="21"/>
                <w:szCs w:val="21"/>
              </w:rPr>
            </w:pPr>
            <w:r>
              <w:rPr>
                <w:rFonts w:eastAsia="宋体"/>
                <w:sz w:val="21"/>
                <w:szCs w:val="21"/>
              </w:rPr>
              <w:t>+</w:t>
            </w:r>
            <w:r>
              <w:rPr>
                <w:rFonts w:hint="eastAsia" w:eastAsia="宋体" w:cs="Times New Roman"/>
                <w:sz w:val="21"/>
                <w:szCs w:val="21"/>
              </w:rPr>
              <w:t>2.69</w:t>
            </w:r>
          </w:p>
        </w:tc>
      </w:tr>
      <w:tr w14:paraId="4293F090">
        <w:tblPrEx>
          <w:tblCellMar>
            <w:top w:w="0" w:type="dxa"/>
            <w:left w:w="108" w:type="dxa"/>
            <w:bottom w:w="0" w:type="dxa"/>
            <w:right w:w="108" w:type="dxa"/>
          </w:tblCellMar>
        </w:tblPrEx>
        <w:trPr>
          <w:trHeight w:val="284" w:hRule="atLeast"/>
          <w:jc w:val="center"/>
        </w:trPr>
        <w:tc>
          <w:tcPr>
            <w:tcW w:w="1212" w:type="dxa"/>
            <w:vMerge w:val="continue"/>
            <w:tcBorders>
              <w:top w:val="single" w:color="auto" w:sz="6" w:space="0"/>
              <w:left w:val="single" w:color="auto" w:sz="12" w:space="0"/>
              <w:right w:val="single" w:color="auto" w:sz="6" w:space="0"/>
            </w:tcBorders>
            <w:shd w:val="clear" w:color="auto" w:fill="auto"/>
            <w:vAlign w:val="center"/>
          </w:tcPr>
          <w:p w14:paraId="1D9FB0DA">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1F553B2B">
            <w:pPr>
              <w:pStyle w:val="154"/>
              <w:rPr>
                <w:rFonts w:eastAsia="宋体"/>
                <w:sz w:val="21"/>
                <w:szCs w:val="21"/>
              </w:rPr>
            </w:pPr>
            <w:r>
              <w:rPr>
                <w:rFonts w:hint="eastAsia" w:eastAsia="宋体"/>
                <w:sz w:val="21"/>
                <w:szCs w:val="21"/>
              </w:rPr>
              <w:t>废抹布、手套</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3F1B7605">
            <w:pPr>
              <w:pStyle w:val="154"/>
              <w:rPr>
                <w:rFonts w:eastAsia="宋体"/>
                <w:sz w:val="21"/>
                <w:szCs w:val="21"/>
              </w:rPr>
            </w:pPr>
            <w:r>
              <w:rPr>
                <w:rFonts w:hint="eastAsia"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14166E45">
            <w:pPr>
              <w:pStyle w:val="154"/>
              <w:rPr>
                <w:rFonts w:eastAsia="宋体"/>
                <w:sz w:val="21"/>
                <w:szCs w:val="21"/>
              </w:rPr>
            </w:pPr>
            <w:r>
              <w:rPr>
                <w:rFonts w:hint="eastAsia"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4635532C">
            <w:pPr>
              <w:pStyle w:val="154"/>
              <w:rPr>
                <w:rFonts w:eastAsia="宋体"/>
                <w:sz w:val="21"/>
                <w:szCs w:val="21"/>
              </w:rPr>
            </w:pPr>
            <w:r>
              <w:rPr>
                <w:rFonts w:hint="eastAsia"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12451D2">
            <w:pPr>
              <w:pStyle w:val="154"/>
              <w:rPr>
                <w:rFonts w:eastAsia="宋体" w:cs="Times New Roman"/>
                <w:sz w:val="21"/>
                <w:szCs w:val="21"/>
              </w:rPr>
            </w:pPr>
            <w:r>
              <w:rPr>
                <w:rFonts w:hint="eastAsia" w:eastAsia="宋体" w:cs="Times New Roman"/>
                <w:sz w:val="21"/>
                <w:szCs w:val="21"/>
              </w:rPr>
              <w:t>0.06</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1E24ED11">
            <w:pPr>
              <w:pStyle w:val="154"/>
              <w:rPr>
                <w:rFonts w:eastAsia="宋体" w:cs="Times New Roman"/>
                <w:sz w:val="21"/>
                <w:szCs w:val="21"/>
              </w:rPr>
            </w:pPr>
            <w:r>
              <w:rPr>
                <w:rFonts w:hint="eastAsia"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7AED4B9A">
            <w:pPr>
              <w:pStyle w:val="154"/>
              <w:rPr>
                <w:rFonts w:eastAsia="宋体" w:cs="Times New Roman"/>
                <w:sz w:val="21"/>
                <w:szCs w:val="21"/>
              </w:rPr>
            </w:pPr>
            <w:r>
              <w:rPr>
                <w:rFonts w:hint="eastAsia" w:eastAsia="宋体" w:cs="Times New Roman"/>
                <w:sz w:val="21"/>
                <w:szCs w:val="21"/>
              </w:rPr>
              <w:t>0.06</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726D41C4">
            <w:pPr>
              <w:pStyle w:val="154"/>
              <w:rPr>
                <w:rFonts w:eastAsia="宋体" w:cs="Times New Roman"/>
                <w:sz w:val="21"/>
                <w:szCs w:val="21"/>
              </w:rPr>
            </w:pPr>
            <w:r>
              <w:rPr>
                <w:rFonts w:eastAsia="宋体"/>
                <w:sz w:val="21"/>
                <w:szCs w:val="21"/>
              </w:rPr>
              <w:t>+</w:t>
            </w:r>
            <w:r>
              <w:rPr>
                <w:rFonts w:hint="eastAsia" w:eastAsia="宋体" w:cs="Times New Roman"/>
                <w:sz w:val="21"/>
                <w:szCs w:val="21"/>
              </w:rPr>
              <w:t>0.06</w:t>
            </w:r>
          </w:p>
        </w:tc>
      </w:tr>
      <w:tr w14:paraId="44209C02">
        <w:tblPrEx>
          <w:tblCellMar>
            <w:top w:w="0" w:type="dxa"/>
            <w:left w:w="108" w:type="dxa"/>
            <w:bottom w:w="0" w:type="dxa"/>
            <w:right w:w="108" w:type="dxa"/>
          </w:tblCellMar>
        </w:tblPrEx>
        <w:trPr>
          <w:trHeight w:val="284" w:hRule="atLeast"/>
          <w:jc w:val="center"/>
        </w:trPr>
        <w:tc>
          <w:tcPr>
            <w:tcW w:w="1212" w:type="dxa"/>
            <w:vMerge w:val="continue"/>
            <w:tcBorders>
              <w:left w:val="single" w:color="auto" w:sz="12" w:space="0"/>
              <w:right w:val="single" w:color="auto" w:sz="6" w:space="0"/>
            </w:tcBorders>
            <w:shd w:val="clear" w:color="auto" w:fill="auto"/>
            <w:vAlign w:val="center"/>
          </w:tcPr>
          <w:p w14:paraId="65B9C978">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1F4775D6">
            <w:pPr>
              <w:pStyle w:val="154"/>
              <w:rPr>
                <w:rFonts w:eastAsia="宋体"/>
                <w:b/>
                <w:sz w:val="21"/>
                <w:szCs w:val="21"/>
                <w:u w:val="single"/>
              </w:rPr>
            </w:pPr>
            <w:r>
              <w:rPr>
                <w:rFonts w:eastAsia="宋体"/>
                <w:b/>
                <w:sz w:val="21"/>
                <w:szCs w:val="21"/>
                <w:u w:val="single"/>
              </w:rPr>
              <w:t>废活性炭</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6B06B066">
            <w:pPr>
              <w:pStyle w:val="154"/>
              <w:rPr>
                <w:rFonts w:eastAsia="宋体"/>
                <w:b/>
                <w:sz w:val="21"/>
                <w:szCs w:val="21"/>
                <w:u w:val="single"/>
              </w:rPr>
            </w:pPr>
            <w:r>
              <w:rPr>
                <w:rFonts w:eastAsia="宋体"/>
                <w:b/>
                <w:sz w:val="21"/>
                <w:szCs w:val="21"/>
                <w:u w:val="single"/>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387B4D91">
            <w:pPr>
              <w:pStyle w:val="154"/>
              <w:rPr>
                <w:rFonts w:eastAsia="宋体"/>
                <w:b/>
                <w:sz w:val="21"/>
                <w:szCs w:val="21"/>
                <w:u w:val="single"/>
              </w:rPr>
            </w:pPr>
            <w:r>
              <w:rPr>
                <w:rFonts w:eastAsia="宋体"/>
                <w:b/>
                <w:sz w:val="21"/>
                <w:szCs w:val="21"/>
                <w:u w:val="single"/>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2991D3ED">
            <w:pPr>
              <w:pStyle w:val="154"/>
              <w:rPr>
                <w:rFonts w:eastAsia="宋体"/>
                <w:b/>
                <w:sz w:val="21"/>
                <w:szCs w:val="21"/>
                <w:u w:val="single"/>
              </w:rPr>
            </w:pPr>
            <w:r>
              <w:rPr>
                <w:rFonts w:eastAsia="宋体"/>
                <w:b/>
                <w:sz w:val="21"/>
                <w:szCs w:val="21"/>
                <w:u w:val="single"/>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0E0B8A9E">
            <w:pPr>
              <w:pStyle w:val="154"/>
              <w:rPr>
                <w:rFonts w:eastAsia="宋体" w:cs="Times New Roman"/>
                <w:b/>
                <w:sz w:val="21"/>
                <w:szCs w:val="21"/>
                <w:u w:val="single"/>
              </w:rPr>
            </w:pPr>
            <w:r>
              <w:rPr>
                <w:rFonts w:hint="eastAsia" w:eastAsia="宋体" w:cs="Times New Roman"/>
                <w:b/>
                <w:sz w:val="21"/>
                <w:szCs w:val="21"/>
                <w:u w:val="single"/>
              </w:rPr>
              <w:t>3.81</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1F5F8536">
            <w:pPr>
              <w:pStyle w:val="154"/>
              <w:rPr>
                <w:rFonts w:eastAsia="宋体" w:cs="Times New Roman"/>
                <w:b/>
                <w:sz w:val="21"/>
                <w:szCs w:val="21"/>
                <w:u w:val="single"/>
              </w:rPr>
            </w:pPr>
            <w:r>
              <w:rPr>
                <w:rFonts w:eastAsia="宋体" w:cs="Times New Roman"/>
                <w:b/>
                <w:sz w:val="21"/>
                <w:szCs w:val="21"/>
                <w:u w:val="single"/>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1B9BB1B5">
            <w:pPr>
              <w:pStyle w:val="154"/>
              <w:rPr>
                <w:rFonts w:eastAsia="宋体" w:cs="Times New Roman"/>
                <w:b/>
                <w:sz w:val="21"/>
                <w:szCs w:val="21"/>
                <w:u w:val="single"/>
              </w:rPr>
            </w:pPr>
            <w:r>
              <w:rPr>
                <w:rFonts w:hint="eastAsia" w:eastAsia="宋体" w:cs="Times New Roman"/>
                <w:b/>
                <w:sz w:val="21"/>
                <w:szCs w:val="21"/>
                <w:u w:val="single"/>
              </w:rPr>
              <w:t>3.81</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4C1FB303">
            <w:pPr>
              <w:pStyle w:val="154"/>
              <w:rPr>
                <w:rFonts w:eastAsia="宋体" w:cs="Times New Roman"/>
                <w:b/>
                <w:sz w:val="21"/>
                <w:szCs w:val="21"/>
                <w:u w:val="single"/>
              </w:rPr>
            </w:pPr>
            <w:r>
              <w:rPr>
                <w:rFonts w:eastAsia="宋体"/>
                <w:b/>
                <w:sz w:val="21"/>
                <w:szCs w:val="21"/>
                <w:u w:val="single"/>
              </w:rPr>
              <w:t>+</w:t>
            </w:r>
            <w:r>
              <w:rPr>
                <w:rFonts w:hint="eastAsia" w:eastAsia="宋体" w:cs="Times New Roman"/>
                <w:b/>
                <w:sz w:val="21"/>
                <w:szCs w:val="21"/>
                <w:u w:val="single"/>
              </w:rPr>
              <w:t>3.81</w:t>
            </w:r>
          </w:p>
        </w:tc>
      </w:tr>
      <w:tr w14:paraId="5C3191F6">
        <w:tblPrEx>
          <w:tblCellMar>
            <w:top w:w="0" w:type="dxa"/>
            <w:left w:w="108" w:type="dxa"/>
            <w:bottom w:w="0" w:type="dxa"/>
            <w:right w:w="108" w:type="dxa"/>
          </w:tblCellMar>
        </w:tblPrEx>
        <w:trPr>
          <w:trHeight w:val="284" w:hRule="atLeast"/>
          <w:jc w:val="center"/>
        </w:trPr>
        <w:tc>
          <w:tcPr>
            <w:tcW w:w="1212" w:type="dxa"/>
            <w:vMerge w:val="continue"/>
            <w:tcBorders>
              <w:left w:val="single" w:color="auto" w:sz="12" w:space="0"/>
              <w:right w:val="single" w:color="auto" w:sz="6" w:space="0"/>
            </w:tcBorders>
            <w:vAlign w:val="center"/>
          </w:tcPr>
          <w:p w14:paraId="5B6943D7">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195D77DE">
            <w:pPr>
              <w:pStyle w:val="154"/>
              <w:rPr>
                <w:rFonts w:eastAsia="宋体"/>
                <w:sz w:val="21"/>
                <w:szCs w:val="21"/>
              </w:rPr>
            </w:pPr>
            <w:r>
              <w:rPr>
                <w:rFonts w:eastAsia="宋体"/>
                <w:sz w:val="21"/>
                <w:szCs w:val="21"/>
              </w:rPr>
              <w:t>废液压油</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40FAF21A">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19146BF0">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6F34D415">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AE4322C">
            <w:pPr>
              <w:pStyle w:val="154"/>
              <w:rPr>
                <w:rFonts w:eastAsia="宋体" w:cs="Times New Roman"/>
                <w:sz w:val="21"/>
                <w:szCs w:val="21"/>
              </w:rPr>
            </w:pPr>
            <w:r>
              <w:rPr>
                <w:rFonts w:eastAsia="宋体" w:cs="Times New Roman"/>
                <w:sz w:val="21"/>
                <w:szCs w:val="21"/>
              </w:rPr>
              <w:t>0.0</w:t>
            </w:r>
            <w:r>
              <w:rPr>
                <w:rFonts w:hint="eastAsia" w:eastAsia="宋体" w:cs="Times New Roman"/>
                <w:sz w:val="21"/>
                <w:szCs w:val="21"/>
              </w:rPr>
              <w:t>5</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2E0C2371">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04BE9541">
            <w:pPr>
              <w:pStyle w:val="154"/>
              <w:rPr>
                <w:rFonts w:eastAsia="宋体" w:cs="Times New Roman"/>
                <w:sz w:val="21"/>
                <w:szCs w:val="21"/>
              </w:rPr>
            </w:pPr>
            <w:r>
              <w:rPr>
                <w:rFonts w:eastAsia="宋体" w:cs="Times New Roman"/>
                <w:sz w:val="21"/>
                <w:szCs w:val="21"/>
              </w:rPr>
              <w:t>0.0</w:t>
            </w:r>
            <w:r>
              <w:rPr>
                <w:rFonts w:hint="eastAsia" w:eastAsia="宋体" w:cs="Times New Roman"/>
                <w:sz w:val="21"/>
                <w:szCs w:val="21"/>
              </w:rPr>
              <w:t>5</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5055B845">
            <w:pPr>
              <w:pStyle w:val="154"/>
              <w:rPr>
                <w:rFonts w:eastAsia="宋体" w:cs="Times New Roman"/>
                <w:sz w:val="21"/>
                <w:szCs w:val="21"/>
              </w:rPr>
            </w:pPr>
            <w:r>
              <w:rPr>
                <w:rFonts w:eastAsia="宋体"/>
                <w:sz w:val="21"/>
                <w:szCs w:val="21"/>
              </w:rPr>
              <w:t>+</w:t>
            </w:r>
            <w:r>
              <w:rPr>
                <w:rFonts w:eastAsia="宋体" w:cs="Times New Roman"/>
                <w:sz w:val="21"/>
                <w:szCs w:val="21"/>
              </w:rPr>
              <w:t>0.0</w:t>
            </w:r>
            <w:r>
              <w:rPr>
                <w:rFonts w:hint="eastAsia" w:eastAsia="宋体" w:cs="Times New Roman"/>
                <w:sz w:val="21"/>
                <w:szCs w:val="21"/>
              </w:rPr>
              <w:t>5</w:t>
            </w:r>
          </w:p>
        </w:tc>
      </w:tr>
      <w:tr w14:paraId="4E4ED88C">
        <w:tblPrEx>
          <w:tblCellMar>
            <w:top w:w="0" w:type="dxa"/>
            <w:left w:w="108" w:type="dxa"/>
            <w:bottom w:w="0" w:type="dxa"/>
            <w:right w:w="108" w:type="dxa"/>
          </w:tblCellMar>
        </w:tblPrEx>
        <w:trPr>
          <w:trHeight w:val="284" w:hRule="atLeast"/>
          <w:jc w:val="center"/>
        </w:trPr>
        <w:tc>
          <w:tcPr>
            <w:tcW w:w="1212" w:type="dxa"/>
            <w:vMerge w:val="continue"/>
            <w:tcBorders>
              <w:left w:val="single" w:color="auto" w:sz="12" w:space="0"/>
              <w:bottom w:val="single" w:color="auto" w:sz="6" w:space="0"/>
              <w:right w:val="single" w:color="auto" w:sz="6" w:space="0"/>
            </w:tcBorders>
            <w:vAlign w:val="center"/>
          </w:tcPr>
          <w:p w14:paraId="3145C7F0">
            <w:pPr>
              <w:pStyle w:val="154"/>
              <w:rPr>
                <w:rFonts w:eastAsia="宋体"/>
                <w:sz w:val="21"/>
                <w:szCs w:val="21"/>
              </w:rPr>
            </w:pPr>
          </w:p>
        </w:tc>
        <w:tc>
          <w:tcPr>
            <w:tcW w:w="2374" w:type="dxa"/>
            <w:tcBorders>
              <w:top w:val="single" w:color="auto" w:sz="6" w:space="0"/>
              <w:left w:val="single" w:color="auto" w:sz="6" w:space="0"/>
              <w:bottom w:val="single" w:color="auto" w:sz="6" w:space="0"/>
              <w:right w:val="single" w:color="auto" w:sz="6" w:space="0"/>
            </w:tcBorders>
            <w:shd w:val="clear" w:color="auto" w:fill="auto"/>
            <w:vAlign w:val="center"/>
          </w:tcPr>
          <w:p w14:paraId="793FE671">
            <w:pPr>
              <w:pStyle w:val="154"/>
              <w:rPr>
                <w:rFonts w:eastAsia="宋体"/>
                <w:sz w:val="21"/>
                <w:szCs w:val="21"/>
              </w:rPr>
            </w:pPr>
            <w:r>
              <w:rPr>
                <w:rFonts w:eastAsia="宋体"/>
                <w:sz w:val="21"/>
                <w:szCs w:val="21"/>
              </w:rPr>
              <w:t>废润滑油</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51D61077">
            <w:pPr>
              <w:pStyle w:val="154"/>
              <w:rPr>
                <w:rFonts w:eastAsia="宋体"/>
                <w:sz w:val="21"/>
                <w:szCs w:val="21"/>
              </w:rPr>
            </w:pPr>
            <w:r>
              <w:rPr>
                <w:rFonts w:eastAsia="宋体"/>
                <w:sz w:val="21"/>
                <w:szCs w:val="21"/>
              </w:rPr>
              <w:t>/</w:t>
            </w:r>
          </w:p>
        </w:tc>
        <w:tc>
          <w:tcPr>
            <w:tcW w:w="1302" w:type="dxa"/>
            <w:tcBorders>
              <w:top w:val="single" w:color="auto" w:sz="6" w:space="0"/>
              <w:left w:val="single" w:color="auto" w:sz="6" w:space="0"/>
              <w:bottom w:val="single" w:color="auto" w:sz="6" w:space="0"/>
              <w:right w:val="single" w:color="auto" w:sz="6" w:space="0"/>
            </w:tcBorders>
            <w:shd w:val="clear" w:color="auto" w:fill="auto"/>
            <w:vAlign w:val="center"/>
          </w:tcPr>
          <w:p w14:paraId="67498E91">
            <w:pPr>
              <w:pStyle w:val="154"/>
              <w:rPr>
                <w:rFonts w:eastAsia="宋体"/>
                <w:sz w:val="21"/>
                <w:szCs w:val="21"/>
              </w:rPr>
            </w:pPr>
            <w:r>
              <w:rPr>
                <w:rFonts w:eastAsia="宋体"/>
                <w:sz w:val="21"/>
                <w:szCs w:val="21"/>
              </w:rPr>
              <w:t>/</w:t>
            </w:r>
          </w:p>
        </w:tc>
        <w:tc>
          <w:tcPr>
            <w:tcW w:w="1737" w:type="dxa"/>
            <w:tcBorders>
              <w:top w:val="single" w:color="auto" w:sz="6" w:space="0"/>
              <w:left w:val="single" w:color="auto" w:sz="6" w:space="0"/>
              <w:bottom w:val="single" w:color="auto" w:sz="6" w:space="0"/>
              <w:right w:val="single" w:color="auto" w:sz="6" w:space="0"/>
            </w:tcBorders>
            <w:shd w:val="clear" w:color="auto" w:fill="auto"/>
            <w:vAlign w:val="center"/>
          </w:tcPr>
          <w:p w14:paraId="365E7E5E">
            <w:pPr>
              <w:pStyle w:val="154"/>
              <w:rPr>
                <w:rFonts w:eastAsia="宋体"/>
                <w:sz w:val="21"/>
                <w:szCs w:val="21"/>
              </w:rPr>
            </w:pPr>
            <w:r>
              <w:rPr>
                <w:rFonts w:eastAsia="宋体"/>
                <w:sz w:val="21"/>
                <w:szCs w:val="21"/>
              </w:rPr>
              <w:t>/</w:t>
            </w:r>
          </w:p>
        </w:tc>
        <w:tc>
          <w:tcPr>
            <w:tcW w:w="1593" w:type="dxa"/>
            <w:tcBorders>
              <w:top w:val="single" w:color="auto" w:sz="6" w:space="0"/>
              <w:left w:val="single" w:color="auto" w:sz="6" w:space="0"/>
              <w:bottom w:val="single" w:color="auto" w:sz="6" w:space="0"/>
              <w:right w:val="single" w:color="auto" w:sz="6" w:space="0"/>
            </w:tcBorders>
            <w:shd w:val="clear" w:color="auto" w:fill="auto"/>
            <w:vAlign w:val="center"/>
          </w:tcPr>
          <w:p w14:paraId="4817CAD5">
            <w:pPr>
              <w:pStyle w:val="154"/>
              <w:rPr>
                <w:rFonts w:eastAsia="宋体" w:cs="Times New Roman"/>
                <w:sz w:val="21"/>
                <w:szCs w:val="21"/>
              </w:rPr>
            </w:pPr>
            <w:r>
              <w:rPr>
                <w:rFonts w:eastAsia="宋体" w:cs="Times New Roman"/>
                <w:sz w:val="21"/>
                <w:szCs w:val="21"/>
              </w:rPr>
              <w:t>0.</w:t>
            </w:r>
            <w:r>
              <w:rPr>
                <w:rFonts w:hint="eastAsia" w:eastAsia="宋体" w:cs="Times New Roman"/>
                <w:sz w:val="21"/>
                <w:szCs w:val="21"/>
              </w:rPr>
              <w:t>06</w:t>
            </w:r>
          </w:p>
        </w:tc>
        <w:tc>
          <w:tcPr>
            <w:tcW w:w="1304" w:type="dxa"/>
            <w:tcBorders>
              <w:top w:val="single" w:color="auto" w:sz="6" w:space="0"/>
              <w:left w:val="single" w:color="auto" w:sz="6" w:space="0"/>
              <w:bottom w:val="single" w:color="auto" w:sz="6" w:space="0"/>
              <w:right w:val="single" w:color="auto" w:sz="6" w:space="0"/>
            </w:tcBorders>
            <w:shd w:val="clear" w:color="auto" w:fill="auto"/>
            <w:vAlign w:val="center"/>
          </w:tcPr>
          <w:p w14:paraId="6E2ACB47">
            <w:pPr>
              <w:pStyle w:val="154"/>
              <w:rPr>
                <w:rFonts w:eastAsia="宋体" w:cs="Times New Roman"/>
                <w:sz w:val="21"/>
                <w:szCs w:val="21"/>
              </w:rPr>
            </w:pPr>
            <w:r>
              <w:rPr>
                <w:rFonts w:eastAsia="宋体" w:cs="Times New Roman"/>
                <w:sz w:val="21"/>
                <w:szCs w:val="21"/>
              </w:rPr>
              <w:t>/</w:t>
            </w:r>
          </w:p>
        </w:tc>
        <w:tc>
          <w:tcPr>
            <w:tcW w:w="1882" w:type="dxa"/>
            <w:tcBorders>
              <w:top w:val="single" w:color="auto" w:sz="6" w:space="0"/>
              <w:left w:val="single" w:color="auto" w:sz="6" w:space="0"/>
              <w:bottom w:val="single" w:color="auto" w:sz="6" w:space="0"/>
              <w:right w:val="single" w:color="auto" w:sz="6" w:space="0"/>
            </w:tcBorders>
            <w:shd w:val="clear" w:color="auto" w:fill="auto"/>
            <w:vAlign w:val="center"/>
          </w:tcPr>
          <w:p w14:paraId="0C457815">
            <w:pPr>
              <w:pStyle w:val="154"/>
              <w:rPr>
                <w:rFonts w:eastAsia="宋体" w:cs="Times New Roman"/>
                <w:sz w:val="21"/>
                <w:szCs w:val="21"/>
              </w:rPr>
            </w:pPr>
            <w:r>
              <w:rPr>
                <w:rFonts w:eastAsia="宋体" w:cs="Times New Roman"/>
                <w:sz w:val="21"/>
                <w:szCs w:val="21"/>
              </w:rPr>
              <w:t>0.</w:t>
            </w:r>
            <w:r>
              <w:rPr>
                <w:rFonts w:hint="eastAsia" w:eastAsia="宋体" w:cs="Times New Roman"/>
                <w:sz w:val="21"/>
                <w:szCs w:val="21"/>
              </w:rPr>
              <w:t>06</w:t>
            </w:r>
          </w:p>
        </w:tc>
        <w:tc>
          <w:tcPr>
            <w:tcW w:w="1179" w:type="dxa"/>
            <w:tcBorders>
              <w:top w:val="single" w:color="auto" w:sz="6" w:space="0"/>
              <w:left w:val="single" w:color="auto" w:sz="6" w:space="0"/>
              <w:bottom w:val="single" w:color="auto" w:sz="6" w:space="0"/>
              <w:right w:val="single" w:color="auto" w:sz="12" w:space="0"/>
            </w:tcBorders>
            <w:shd w:val="clear" w:color="auto" w:fill="auto"/>
            <w:vAlign w:val="center"/>
          </w:tcPr>
          <w:p w14:paraId="4A210119">
            <w:pPr>
              <w:pStyle w:val="154"/>
              <w:rPr>
                <w:rFonts w:eastAsia="宋体" w:cs="Times New Roman"/>
                <w:sz w:val="21"/>
                <w:szCs w:val="21"/>
              </w:rPr>
            </w:pPr>
            <w:r>
              <w:rPr>
                <w:rFonts w:eastAsia="宋体"/>
                <w:sz w:val="21"/>
                <w:szCs w:val="21"/>
              </w:rPr>
              <w:t>+</w:t>
            </w:r>
            <w:r>
              <w:rPr>
                <w:rFonts w:eastAsia="宋体" w:cs="Times New Roman"/>
                <w:sz w:val="21"/>
                <w:szCs w:val="21"/>
              </w:rPr>
              <w:t>0.</w:t>
            </w:r>
            <w:r>
              <w:rPr>
                <w:rFonts w:hint="eastAsia" w:eastAsia="宋体" w:cs="Times New Roman"/>
                <w:sz w:val="21"/>
                <w:szCs w:val="21"/>
              </w:rPr>
              <w:t>06</w:t>
            </w:r>
          </w:p>
        </w:tc>
      </w:tr>
      <w:tr w14:paraId="00426CA5">
        <w:tblPrEx>
          <w:tblCellMar>
            <w:top w:w="0" w:type="dxa"/>
            <w:left w:w="108" w:type="dxa"/>
            <w:bottom w:w="0" w:type="dxa"/>
            <w:right w:w="108" w:type="dxa"/>
          </w:tblCellMar>
        </w:tblPrEx>
        <w:trPr>
          <w:trHeight w:val="253" w:hRule="atLeast"/>
          <w:jc w:val="center"/>
        </w:trPr>
        <w:tc>
          <w:tcPr>
            <w:tcW w:w="14176" w:type="dxa"/>
            <w:gridSpan w:val="9"/>
            <w:tcBorders>
              <w:top w:val="single" w:color="auto" w:sz="6" w:space="0"/>
              <w:left w:val="single" w:color="auto" w:sz="12" w:space="0"/>
              <w:bottom w:val="single" w:color="auto" w:sz="12" w:space="0"/>
              <w:right w:val="single" w:color="auto" w:sz="12" w:space="0"/>
            </w:tcBorders>
            <w:shd w:val="clear" w:color="auto" w:fill="auto"/>
            <w:noWrap/>
            <w:vAlign w:val="center"/>
          </w:tcPr>
          <w:p w14:paraId="1DEA6094">
            <w:pPr>
              <w:pStyle w:val="154"/>
              <w:rPr>
                <w:rFonts w:eastAsia="宋体"/>
                <w:sz w:val="21"/>
                <w:szCs w:val="21"/>
              </w:rPr>
            </w:pPr>
            <w:r>
              <w:rPr>
                <w:rFonts w:eastAsia="宋体"/>
                <w:sz w:val="21"/>
                <w:szCs w:val="21"/>
              </w:rPr>
              <w:t>注：</w:t>
            </w:r>
            <w:r>
              <w:rPr>
                <w:rFonts w:hint="eastAsia" w:hAnsi="宋体" w:eastAsia="宋体" w:cs="宋体"/>
                <w:sz w:val="21"/>
                <w:szCs w:val="21"/>
              </w:rPr>
              <w:t>⑥</w:t>
            </w:r>
            <w:r>
              <w:rPr>
                <w:rFonts w:eastAsia="宋体"/>
                <w:sz w:val="21"/>
                <w:szCs w:val="21"/>
              </w:rPr>
              <w:t>=</w:t>
            </w:r>
            <w:r>
              <w:rPr>
                <w:rFonts w:hint="eastAsia" w:hAnsi="宋体" w:eastAsia="宋体" w:cs="宋体"/>
                <w:sz w:val="21"/>
                <w:szCs w:val="21"/>
              </w:rPr>
              <w:t>①</w:t>
            </w:r>
            <w:r>
              <w:rPr>
                <w:rFonts w:eastAsia="宋体"/>
                <w:sz w:val="21"/>
                <w:szCs w:val="21"/>
              </w:rPr>
              <w:t>+</w:t>
            </w:r>
            <w:r>
              <w:rPr>
                <w:rFonts w:hint="eastAsia" w:hAnsi="宋体" w:eastAsia="宋体" w:cs="宋体"/>
                <w:sz w:val="21"/>
                <w:szCs w:val="21"/>
              </w:rPr>
              <w:t>③</w:t>
            </w:r>
            <w:r>
              <w:rPr>
                <w:rFonts w:eastAsia="宋体"/>
                <w:sz w:val="21"/>
                <w:szCs w:val="21"/>
              </w:rPr>
              <w:t>+</w:t>
            </w:r>
            <w:r>
              <w:rPr>
                <w:rFonts w:hint="eastAsia" w:hAnsi="宋体" w:eastAsia="宋体" w:cs="宋体"/>
                <w:sz w:val="21"/>
                <w:szCs w:val="21"/>
              </w:rPr>
              <w:t>④</w:t>
            </w:r>
            <w:r>
              <w:rPr>
                <w:rFonts w:eastAsia="宋体"/>
                <w:sz w:val="21"/>
                <w:szCs w:val="21"/>
              </w:rPr>
              <w:t>-</w:t>
            </w:r>
            <w:r>
              <w:rPr>
                <w:rFonts w:hint="eastAsia" w:hAnsi="宋体" w:eastAsia="宋体" w:cs="宋体"/>
                <w:sz w:val="21"/>
                <w:szCs w:val="21"/>
              </w:rPr>
              <w:t>⑤</w:t>
            </w:r>
            <w:r>
              <w:rPr>
                <w:rFonts w:eastAsia="宋体"/>
                <w:sz w:val="21"/>
                <w:szCs w:val="21"/>
              </w:rPr>
              <w:t>；</w:t>
            </w:r>
            <w:r>
              <w:rPr>
                <w:rFonts w:hint="eastAsia" w:hAnsi="宋体" w:eastAsia="宋体" w:cs="宋体"/>
                <w:sz w:val="21"/>
                <w:szCs w:val="21"/>
              </w:rPr>
              <w:t>⑦</w:t>
            </w:r>
            <w:r>
              <w:rPr>
                <w:rFonts w:eastAsia="宋体"/>
                <w:sz w:val="21"/>
                <w:szCs w:val="21"/>
              </w:rPr>
              <w:t>=</w:t>
            </w:r>
            <w:r>
              <w:rPr>
                <w:rFonts w:hint="eastAsia" w:hAnsi="宋体" w:eastAsia="宋体" w:cs="宋体"/>
                <w:sz w:val="21"/>
                <w:szCs w:val="21"/>
              </w:rPr>
              <w:t>⑥</w:t>
            </w:r>
            <w:r>
              <w:rPr>
                <w:rFonts w:eastAsia="宋体"/>
                <w:sz w:val="21"/>
                <w:szCs w:val="21"/>
              </w:rPr>
              <w:t>-</w:t>
            </w:r>
            <w:r>
              <w:rPr>
                <w:rFonts w:hint="eastAsia" w:hAnsi="宋体" w:eastAsia="宋体" w:cs="宋体"/>
                <w:sz w:val="21"/>
                <w:szCs w:val="21"/>
              </w:rPr>
              <w:t>①</w:t>
            </w:r>
            <w:r>
              <w:rPr>
                <w:rFonts w:eastAsia="宋体"/>
                <w:sz w:val="21"/>
                <w:szCs w:val="21"/>
              </w:rPr>
              <w:t>；单位：t/a</w:t>
            </w:r>
          </w:p>
        </w:tc>
      </w:tr>
    </w:tbl>
    <w:p w14:paraId="2B6FF502">
      <w:pPr>
        <w:rPr>
          <w:rFonts w:ascii="Times New Roman" w:hAnsi="Times New Roman"/>
        </w:rPr>
      </w:pPr>
    </w:p>
    <w:p w14:paraId="1762091D">
      <w:pPr>
        <w:spacing w:line="20" w:lineRule="exact"/>
        <w:rPr>
          <w:rFonts w:ascii="Times New Roman" w:hAnsi="Times New Roman"/>
        </w:rPr>
      </w:pPr>
    </w:p>
    <w:sectPr>
      <w:pgSz w:w="16840" w:h="11907" w:orient="landscape"/>
      <w:pgMar w:top="1800" w:right="1440" w:bottom="180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Noto Sans CJK JP Regular">
    <w:altName w:val="Arial"/>
    <w:panose1 w:val="00000000000000000000"/>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B8E2">
    <w:pPr>
      <w:pStyle w:val="55"/>
      <w:jc w:val="center"/>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B2BC">
    <w:pPr>
      <w:pStyle w:val="5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51</w:t>
    </w:r>
    <w:r>
      <w:rPr>
        <w:rFonts w:ascii="Times New Roman" w:hAnsi="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586C">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1F50">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7EEA3E44"/>
    <w:multiLevelType w:val="multilevel"/>
    <w:tmpl w:val="7EEA3E44"/>
    <w:lvl w:ilvl="0" w:tentative="0">
      <w:start w:val="1"/>
      <w:numFmt w:val="decimal"/>
      <w:pStyle w:val="287"/>
      <w:lvlText w:val="表5-%1"/>
      <w:lvlJc w:val="left"/>
      <w:pPr>
        <w:tabs>
          <w:tab w:val="left" w:pos="1"/>
        </w:tabs>
        <w:ind w:left="401" w:firstLine="167"/>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lang w:val="en-US"/>
      </w:rPr>
    </w:lvl>
    <w:lvl w:ilvl="1" w:tentative="0">
      <w:start w:val="1"/>
      <w:numFmt w:val="decimal"/>
      <w:lvlText w:val="(%2)"/>
      <w:lvlJc w:val="left"/>
      <w:pPr>
        <w:tabs>
          <w:tab w:val="left" w:pos="1021"/>
        </w:tabs>
        <w:ind w:left="0" w:firstLine="567"/>
      </w:pPr>
      <w:rPr>
        <w:rFonts w:hint="eastAsia" w:ascii="宋体" w:hAnsi="Times New Roman" w:eastAsia="宋体"/>
        <w:b w:val="0"/>
        <w:i w:val="0"/>
        <w:caps w:val="0"/>
        <w:strike w:val="0"/>
        <w:dstrike w:val="0"/>
        <w:outline w:val="0"/>
        <w:shadow w:val="0"/>
        <w:emboss w:val="0"/>
        <w:imprint w:val="0"/>
        <w:vanish w:val="0"/>
        <w:sz w:val="24"/>
        <w:szCs w:val="24"/>
        <w:u w:val="none"/>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num>
  <w:num w:numId="2">
    <w:abstractNumId w:val="5"/>
  </w:num>
  <w:num w:numId="3">
    <w:abstractNumId w:val="8"/>
    <w:lvlOverride w:ilvl="0">
      <w:startOverride w:val="1"/>
    </w:lvlOverride>
  </w:num>
  <w:num w:numId="4">
    <w:abstractNumId w:val="9"/>
  </w:num>
  <w:num w:numId="5">
    <w:abstractNumId w:val="6"/>
  </w:num>
  <w:num w:numId="6">
    <w:abstractNumId w:val="2"/>
    <w:lvlOverride w:ilvl="0">
      <w:startOverride w:val="1"/>
    </w:lvlOverride>
  </w:num>
  <w:num w:numId="7">
    <w:abstractNumId w:val="7"/>
  </w:num>
  <w:num w:numId="8">
    <w:abstractNumId w:val="4"/>
  </w:num>
  <w:num w:numId="9">
    <w:abstractNumId w:val="1"/>
    <w:lvlOverride w:ilvl="0">
      <w:startOverride w:val="1"/>
    </w:lvlOverride>
  </w:num>
  <w:num w:numId="10">
    <w:abstractNumId w:val="0"/>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6C4A"/>
    <w:rsid w:val="00001077"/>
    <w:rsid w:val="000024BD"/>
    <w:rsid w:val="00002D70"/>
    <w:rsid w:val="0000347C"/>
    <w:rsid w:val="00003D9B"/>
    <w:rsid w:val="000105F6"/>
    <w:rsid w:val="000109C0"/>
    <w:rsid w:val="000128F0"/>
    <w:rsid w:val="00012C82"/>
    <w:rsid w:val="00013BBC"/>
    <w:rsid w:val="0001567A"/>
    <w:rsid w:val="0001659E"/>
    <w:rsid w:val="000167D0"/>
    <w:rsid w:val="00021132"/>
    <w:rsid w:val="00022F3F"/>
    <w:rsid w:val="00023793"/>
    <w:rsid w:val="00023AB9"/>
    <w:rsid w:val="00026012"/>
    <w:rsid w:val="00026144"/>
    <w:rsid w:val="000315C8"/>
    <w:rsid w:val="0003303F"/>
    <w:rsid w:val="000373E4"/>
    <w:rsid w:val="000405A1"/>
    <w:rsid w:val="0004200E"/>
    <w:rsid w:val="0004309A"/>
    <w:rsid w:val="00050A8F"/>
    <w:rsid w:val="000512DD"/>
    <w:rsid w:val="000534FD"/>
    <w:rsid w:val="000541CD"/>
    <w:rsid w:val="00057756"/>
    <w:rsid w:val="000577E6"/>
    <w:rsid w:val="00057CA7"/>
    <w:rsid w:val="0006070A"/>
    <w:rsid w:val="00060883"/>
    <w:rsid w:val="00061807"/>
    <w:rsid w:val="00061D6C"/>
    <w:rsid w:val="00065894"/>
    <w:rsid w:val="000718DC"/>
    <w:rsid w:val="00074BC5"/>
    <w:rsid w:val="00077116"/>
    <w:rsid w:val="00081901"/>
    <w:rsid w:val="00084F7F"/>
    <w:rsid w:val="00086743"/>
    <w:rsid w:val="00087413"/>
    <w:rsid w:val="000924E4"/>
    <w:rsid w:val="00094819"/>
    <w:rsid w:val="0009603C"/>
    <w:rsid w:val="00097AE7"/>
    <w:rsid w:val="000A2BD5"/>
    <w:rsid w:val="000A52BF"/>
    <w:rsid w:val="000A614E"/>
    <w:rsid w:val="000A7057"/>
    <w:rsid w:val="000B13DD"/>
    <w:rsid w:val="000B2467"/>
    <w:rsid w:val="000B2A90"/>
    <w:rsid w:val="000B2FA6"/>
    <w:rsid w:val="000B3767"/>
    <w:rsid w:val="000B49F7"/>
    <w:rsid w:val="000B6DF2"/>
    <w:rsid w:val="000B7246"/>
    <w:rsid w:val="000C00A2"/>
    <w:rsid w:val="000C193C"/>
    <w:rsid w:val="000C7119"/>
    <w:rsid w:val="000D5AA0"/>
    <w:rsid w:val="000D6CD8"/>
    <w:rsid w:val="000E2C13"/>
    <w:rsid w:val="000E3A28"/>
    <w:rsid w:val="000E7CE7"/>
    <w:rsid w:val="000F0AFB"/>
    <w:rsid w:val="000F1A70"/>
    <w:rsid w:val="000F4D41"/>
    <w:rsid w:val="0010190A"/>
    <w:rsid w:val="00101AB2"/>
    <w:rsid w:val="001053FE"/>
    <w:rsid w:val="00105AAE"/>
    <w:rsid w:val="0010769F"/>
    <w:rsid w:val="00111E8E"/>
    <w:rsid w:val="0011201F"/>
    <w:rsid w:val="00112B60"/>
    <w:rsid w:val="00112C59"/>
    <w:rsid w:val="0011474F"/>
    <w:rsid w:val="00115EA2"/>
    <w:rsid w:val="001164D1"/>
    <w:rsid w:val="0012238D"/>
    <w:rsid w:val="001230EC"/>
    <w:rsid w:val="001236DF"/>
    <w:rsid w:val="0012439B"/>
    <w:rsid w:val="001253AD"/>
    <w:rsid w:val="00125F02"/>
    <w:rsid w:val="001350EF"/>
    <w:rsid w:val="00136683"/>
    <w:rsid w:val="001366E1"/>
    <w:rsid w:val="00136D9B"/>
    <w:rsid w:val="00137E4A"/>
    <w:rsid w:val="001412F5"/>
    <w:rsid w:val="00142512"/>
    <w:rsid w:val="00143461"/>
    <w:rsid w:val="00144BC9"/>
    <w:rsid w:val="001505EF"/>
    <w:rsid w:val="001513D3"/>
    <w:rsid w:val="001522C8"/>
    <w:rsid w:val="001548D0"/>
    <w:rsid w:val="001550E7"/>
    <w:rsid w:val="00155702"/>
    <w:rsid w:val="00156107"/>
    <w:rsid w:val="0016038D"/>
    <w:rsid w:val="0016075D"/>
    <w:rsid w:val="00161DE6"/>
    <w:rsid w:val="001654AD"/>
    <w:rsid w:val="0016673D"/>
    <w:rsid w:val="00166C4A"/>
    <w:rsid w:val="001712D8"/>
    <w:rsid w:val="001718CB"/>
    <w:rsid w:val="00171E0A"/>
    <w:rsid w:val="00172BF5"/>
    <w:rsid w:val="00172D6B"/>
    <w:rsid w:val="00177DFF"/>
    <w:rsid w:val="00180EB7"/>
    <w:rsid w:val="00181909"/>
    <w:rsid w:val="00181B52"/>
    <w:rsid w:val="00182CBB"/>
    <w:rsid w:val="001842AC"/>
    <w:rsid w:val="0018501D"/>
    <w:rsid w:val="001864C9"/>
    <w:rsid w:val="00186D6E"/>
    <w:rsid w:val="0019015D"/>
    <w:rsid w:val="00190466"/>
    <w:rsid w:val="00190EFE"/>
    <w:rsid w:val="001918B1"/>
    <w:rsid w:val="0019264C"/>
    <w:rsid w:val="00192D72"/>
    <w:rsid w:val="0019474D"/>
    <w:rsid w:val="00195F8C"/>
    <w:rsid w:val="00196168"/>
    <w:rsid w:val="0019760B"/>
    <w:rsid w:val="00197D88"/>
    <w:rsid w:val="00197DBF"/>
    <w:rsid w:val="001A00DA"/>
    <w:rsid w:val="001A0A33"/>
    <w:rsid w:val="001A1387"/>
    <w:rsid w:val="001A1DB2"/>
    <w:rsid w:val="001A307F"/>
    <w:rsid w:val="001A72BA"/>
    <w:rsid w:val="001A74DF"/>
    <w:rsid w:val="001B1623"/>
    <w:rsid w:val="001B3B6F"/>
    <w:rsid w:val="001B5CE8"/>
    <w:rsid w:val="001B660F"/>
    <w:rsid w:val="001B6D1C"/>
    <w:rsid w:val="001C0DBD"/>
    <w:rsid w:val="001C4522"/>
    <w:rsid w:val="001C63D3"/>
    <w:rsid w:val="001C6B81"/>
    <w:rsid w:val="001C6D3E"/>
    <w:rsid w:val="001C730D"/>
    <w:rsid w:val="001C7F91"/>
    <w:rsid w:val="001E1FFA"/>
    <w:rsid w:val="001E2555"/>
    <w:rsid w:val="001E3D53"/>
    <w:rsid w:val="001E43A4"/>
    <w:rsid w:val="001E45C6"/>
    <w:rsid w:val="001E5635"/>
    <w:rsid w:val="001E7FA3"/>
    <w:rsid w:val="001F0E10"/>
    <w:rsid w:val="001F3866"/>
    <w:rsid w:val="001F3925"/>
    <w:rsid w:val="001F6DEC"/>
    <w:rsid w:val="001F7F3E"/>
    <w:rsid w:val="002001C9"/>
    <w:rsid w:val="00201330"/>
    <w:rsid w:val="00202D8A"/>
    <w:rsid w:val="00203368"/>
    <w:rsid w:val="00215D20"/>
    <w:rsid w:val="00220CB0"/>
    <w:rsid w:val="00223929"/>
    <w:rsid w:val="00224D81"/>
    <w:rsid w:val="00226583"/>
    <w:rsid w:val="00226CFB"/>
    <w:rsid w:val="002318A0"/>
    <w:rsid w:val="00240B91"/>
    <w:rsid w:val="00241CC8"/>
    <w:rsid w:val="0024230C"/>
    <w:rsid w:val="002428B3"/>
    <w:rsid w:val="0024419B"/>
    <w:rsid w:val="00247A7B"/>
    <w:rsid w:val="00247F3D"/>
    <w:rsid w:val="00251C4C"/>
    <w:rsid w:val="00252E09"/>
    <w:rsid w:val="00253486"/>
    <w:rsid w:val="002552E3"/>
    <w:rsid w:val="00255530"/>
    <w:rsid w:val="0025697C"/>
    <w:rsid w:val="002579D0"/>
    <w:rsid w:val="00261D95"/>
    <w:rsid w:val="002635B8"/>
    <w:rsid w:val="00265788"/>
    <w:rsid w:val="00267B0E"/>
    <w:rsid w:val="00270F5E"/>
    <w:rsid w:val="00274344"/>
    <w:rsid w:val="00276D2D"/>
    <w:rsid w:val="00277F73"/>
    <w:rsid w:val="00281F2A"/>
    <w:rsid w:val="00282EB0"/>
    <w:rsid w:val="00283B45"/>
    <w:rsid w:val="00284B59"/>
    <w:rsid w:val="00285325"/>
    <w:rsid w:val="00287903"/>
    <w:rsid w:val="0029089B"/>
    <w:rsid w:val="0029245F"/>
    <w:rsid w:val="00295703"/>
    <w:rsid w:val="0029656C"/>
    <w:rsid w:val="002A07C0"/>
    <w:rsid w:val="002A33E9"/>
    <w:rsid w:val="002A43EE"/>
    <w:rsid w:val="002A6F37"/>
    <w:rsid w:val="002B02A8"/>
    <w:rsid w:val="002B09F3"/>
    <w:rsid w:val="002B1A5B"/>
    <w:rsid w:val="002B504F"/>
    <w:rsid w:val="002B659F"/>
    <w:rsid w:val="002B6A27"/>
    <w:rsid w:val="002B7A0E"/>
    <w:rsid w:val="002B7C82"/>
    <w:rsid w:val="002C1ADB"/>
    <w:rsid w:val="002C2479"/>
    <w:rsid w:val="002C30A9"/>
    <w:rsid w:val="002C53C4"/>
    <w:rsid w:val="002C5462"/>
    <w:rsid w:val="002C7702"/>
    <w:rsid w:val="002D1C58"/>
    <w:rsid w:val="002D28F2"/>
    <w:rsid w:val="002D37C1"/>
    <w:rsid w:val="002D76C8"/>
    <w:rsid w:val="002E08A7"/>
    <w:rsid w:val="002E0D17"/>
    <w:rsid w:val="002E11C2"/>
    <w:rsid w:val="002E14CD"/>
    <w:rsid w:val="002E3119"/>
    <w:rsid w:val="002E3AC4"/>
    <w:rsid w:val="002E66B4"/>
    <w:rsid w:val="002E6D68"/>
    <w:rsid w:val="002F6D09"/>
    <w:rsid w:val="002F7F87"/>
    <w:rsid w:val="0030019B"/>
    <w:rsid w:val="00305B16"/>
    <w:rsid w:val="00307608"/>
    <w:rsid w:val="00307D90"/>
    <w:rsid w:val="0031051D"/>
    <w:rsid w:val="00310F29"/>
    <w:rsid w:val="003110C9"/>
    <w:rsid w:val="00314C14"/>
    <w:rsid w:val="00316A73"/>
    <w:rsid w:val="00316E42"/>
    <w:rsid w:val="003202EF"/>
    <w:rsid w:val="00320D6D"/>
    <w:rsid w:val="00324028"/>
    <w:rsid w:val="00324442"/>
    <w:rsid w:val="003271E6"/>
    <w:rsid w:val="00331A9B"/>
    <w:rsid w:val="003324BC"/>
    <w:rsid w:val="00332BA9"/>
    <w:rsid w:val="00333ABF"/>
    <w:rsid w:val="00334DC8"/>
    <w:rsid w:val="00334E43"/>
    <w:rsid w:val="00340AD0"/>
    <w:rsid w:val="0034315C"/>
    <w:rsid w:val="0034399B"/>
    <w:rsid w:val="00344434"/>
    <w:rsid w:val="00345AE0"/>
    <w:rsid w:val="00346BA0"/>
    <w:rsid w:val="00354A78"/>
    <w:rsid w:val="00354E6D"/>
    <w:rsid w:val="00355197"/>
    <w:rsid w:val="00355D95"/>
    <w:rsid w:val="00360133"/>
    <w:rsid w:val="00361C3C"/>
    <w:rsid w:val="003632BC"/>
    <w:rsid w:val="00363A36"/>
    <w:rsid w:val="00370184"/>
    <w:rsid w:val="003703F4"/>
    <w:rsid w:val="0037291C"/>
    <w:rsid w:val="00372CCF"/>
    <w:rsid w:val="003735EF"/>
    <w:rsid w:val="00373D8A"/>
    <w:rsid w:val="00391390"/>
    <w:rsid w:val="00392A7C"/>
    <w:rsid w:val="00392ABE"/>
    <w:rsid w:val="0039333E"/>
    <w:rsid w:val="00395ADB"/>
    <w:rsid w:val="00396964"/>
    <w:rsid w:val="003A1678"/>
    <w:rsid w:val="003A3ED2"/>
    <w:rsid w:val="003A4334"/>
    <w:rsid w:val="003A4BD7"/>
    <w:rsid w:val="003A4DD8"/>
    <w:rsid w:val="003A5A76"/>
    <w:rsid w:val="003A6A6E"/>
    <w:rsid w:val="003A6B33"/>
    <w:rsid w:val="003A7A42"/>
    <w:rsid w:val="003B032C"/>
    <w:rsid w:val="003B339E"/>
    <w:rsid w:val="003B38BF"/>
    <w:rsid w:val="003B4077"/>
    <w:rsid w:val="003B4948"/>
    <w:rsid w:val="003B54FD"/>
    <w:rsid w:val="003B6A2E"/>
    <w:rsid w:val="003C1187"/>
    <w:rsid w:val="003C3184"/>
    <w:rsid w:val="003C6783"/>
    <w:rsid w:val="003D2110"/>
    <w:rsid w:val="003D471F"/>
    <w:rsid w:val="003D5A8D"/>
    <w:rsid w:val="003D6705"/>
    <w:rsid w:val="003E2506"/>
    <w:rsid w:val="003E2EEF"/>
    <w:rsid w:val="003E3F0C"/>
    <w:rsid w:val="003E4331"/>
    <w:rsid w:val="003E48F5"/>
    <w:rsid w:val="003E55CB"/>
    <w:rsid w:val="003F0B1A"/>
    <w:rsid w:val="003F156E"/>
    <w:rsid w:val="003F3423"/>
    <w:rsid w:val="003F4297"/>
    <w:rsid w:val="003F5BB8"/>
    <w:rsid w:val="003F65AA"/>
    <w:rsid w:val="003F6662"/>
    <w:rsid w:val="003F6BDE"/>
    <w:rsid w:val="004033BC"/>
    <w:rsid w:val="00404407"/>
    <w:rsid w:val="00406D19"/>
    <w:rsid w:val="00414DB9"/>
    <w:rsid w:val="0041509E"/>
    <w:rsid w:val="004200DA"/>
    <w:rsid w:val="0042139A"/>
    <w:rsid w:val="00421A64"/>
    <w:rsid w:val="00422037"/>
    <w:rsid w:val="004260E0"/>
    <w:rsid w:val="004278B9"/>
    <w:rsid w:val="00431DAD"/>
    <w:rsid w:val="00431FEC"/>
    <w:rsid w:val="00436BF3"/>
    <w:rsid w:val="004407C0"/>
    <w:rsid w:val="00441B57"/>
    <w:rsid w:val="00453BB0"/>
    <w:rsid w:val="00454D37"/>
    <w:rsid w:val="004564C4"/>
    <w:rsid w:val="00460426"/>
    <w:rsid w:val="0046224F"/>
    <w:rsid w:val="004623F9"/>
    <w:rsid w:val="00463961"/>
    <w:rsid w:val="00463F5C"/>
    <w:rsid w:val="00473692"/>
    <w:rsid w:val="00473699"/>
    <w:rsid w:val="00473E3A"/>
    <w:rsid w:val="00477A1F"/>
    <w:rsid w:val="004807FD"/>
    <w:rsid w:val="00485472"/>
    <w:rsid w:val="0048615A"/>
    <w:rsid w:val="004867B0"/>
    <w:rsid w:val="004875D8"/>
    <w:rsid w:val="00487E1D"/>
    <w:rsid w:val="0049046D"/>
    <w:rsid w:val="004912BC"/>
    <w:rsid w:val="00492861"/>
    <w:rsid w:val="00494032"/>
    <w:rsid w:val="00495A44"/>
    <w:rsid w:val="004A3498"/>
    <w:rsid w:val="004A3AED"/>
    <w:rsid w:val="004A7985"/>
    <w:rsid w:val="004B1FC9"/>
    <w:rsid w:val="004B2BDC"/>
    <w:rsid w:val="004B2FCE"/>
    <w:rsid w:val="004B31B4"/>
    <w:rsid w:val="004B3A82"/>
    <w:rsid w:val="004B3B17"/>
    <w:rsid w:val="004B3CA7"/>
    <w:rsid w:val="004B429F"/>
    <w:rsid w:val="004B44D4"/>
    <w:rsid w:val="004B450A"/>
    <w:rsid w:val="004B6D21"/>
    <w:rsid w:val="004C0A9B"/>
    <w:rsid w:val="004C0CF3"/>
    <w:rsid w:val="004C1499"/>
    <w:rsid w:val="004C249D"/>
    <w:rsid w:val="004C5344"/>
    <w:rsid w:val="004D0E2E"/>
    <w:rsid w:val="004D2F13"/>
    <w:rsid w:val="004D59AC"/>
    <w:rsid w:val="004D6FEA"/>
    <w:rsid w:val="004E01A2"/>
    <w:rsid w:val="004E08C8"/>
    <w:rsid w:val="004E0CFA"/>
    <w:rsid w:val="004E2864"/>
    <w:rsid w:val="004E544D"/>
    <w:rsid w:val="004E7285"/>
    <w:rsid w:val="004E7A76"/>
    <w:rsid w:val="004F4A9F"/>
    <w:rsid w:val="004F68DA"/>
    <w:rsid w:val="00500ED3"/>
    <w:rsid w:val="00500F5E"/>
    <w:rsid w:val="00502FB7"/>
    <w:rsid w:val="005060A5"/>
    <w:rsid w:val="0050791E"/>
    <w:rsid w:val="0051060A"/>
    <w:rsid w:val="005126C4"/>
    <w:rsid w:val="005127A1"/>
    <w:rsid w:val="00514862"/>
    <w:rsid w:val="00517BC6"/>
    <w:rsid w:val="00520841"/>
    <w:rsid w:val="00520945"/>
    <w:rsid w:val="0052219E"/>
    <w:rsid w:val="00522597"/>
    <w:rsid w:val="00522B21"/>
    <w:rsid w:val="00523A7F"/>
    <w:rsid w:val="00524140"/>
    <w:rsid w:val="005264BD"/>
    <w:rsid w:val="005312EF"/>
    <w:rsid w:val="0053409B"/>
    <w:rsid w:val="00534676"/>
    <w:rsid w:val="00535E6D"/>
    <w:rsid w:val="00541EAA"/>
    <w:rsid w:val="00543738"/>
    <w:rsid w:val="00545161"/>
    <w:rsid w:val="0054586B"/>
    <w:rsid w:val="00547ADB"/>
    <w:rsid w:val="00550B3D"/>
    <w:rsid w:val="00551AEB"/>
    <w:rsid w:val="00552679"/>
    <w:rsid w:val="005527B8"/>
    <w:rsid w:val="00556C18"/>
    <w:rsid w:val="00561FB2"/>
    <w:rsid w:val="00563A93"/>
    <w:rsid w:val="00563FB6"/>
    <w:rsid w:val="0056444D"/>
    <w:rsid w:val="005649CE"/>
    <w:rsid w:val="00565C0E"/>
    <w:rsid w:val="0056652F"/>
    <w:rsid w:val="00566DAD"/>
    <w:rsid w:val="00567363"/>
    <w:rsid w:val="00567A3B"/>
    <w:rsid w:val="005702BA"/>
    <w:rsid w:val="005714D1"/>
    <w:rsid w:val="00573B01"/>
    <w:rsid w:val="00573B57"/>
    <w:rsid w:val="00575104"/>
    <w:rsid w:val="00575F91"/>
    <w:rsid w:val="0057650A"/>
    <w:rsid w:val="00577534"/>
    <w:rsid w:val="00577B6F"/>
    <w:rsid w:val="00582C78"/>
    <w:rsid w:val="00591262"/>
    <w:rsid w:val="0059135B"/>
    <w:rsid w:val="005946F0"/>
    <w:rsid w:val="00595303"/>
    <w:rsid w:val="00597311"/>
    <w:rsid w:val="005A5534"/>
    <w:rsid w:val="005A5D0F"/>
    <w:rsid w:val="005A6C47"/>
    <w:rsid w:val="005B198E"/>
    <w:rsid w:val="005B5FEA"/>
    <w:rsid w:val="005B6072"/>
    <w:rsid w:val="005B63B6"/>
    <w:rsid w:val="005B724E"/>
    <w:rsid w:val="005C188C"/>
    <w:rsid w:val="005C336E"/>
    <w:rsid w:val="005C3F38"/>
    <w:rsid w:val="005C4DE4"/>
    <w:rsid w:val="005C5A24"/>
    <w:rsid w:val="005C6772"/>
    <w:rsid w:val="005D10E5"/>
    <w:rsid w:val="005D4A98"/>
    <w:rsid w:val="005D4E77"/>
    <w:rsid w:val="005D7BDE"/>
    <w:rsid w:val="005E0685"/>
    <w:rsid w:val="005E0C1F"/>
    <w:rsid w:val="005E1A17"/>
    <w:rsid w:val="005E2028"/>
    <w:rsid w:val="005E2EED"/>
    <w:rsid w:val="005E344C"/>
    <w:rsid w:val="005E4C3E"/>
    <w:rsid w:val="005E586A"/>
    <w:rsid w:val="005F6208"/>
    <w:rsid w:val="005F6862"/>
    <w:rsid w:val="005F7A81"/>
    <w:rsid w:val="0060116E"/>
    <w:rsid w:val="00603245"/>
    <w:rsid w:val="00604679"/>
    <w:rsid w:val="00604D62"/>
    <w:rsid w:val="006101D2"/>
    <w:rsid w:val="00611B26"/>
    <w:rsid w:val="00611C97"/>
    <w:rsid w:val="006140A7"/>
    <w:rsid w:val="00615B58"/>
    <w:rsid w:val="00617252"/>
    <w:rsid w:val="006178B9"/>
    <w:rsid w:val="00620757"/>
    <w:rsid w:val="006220DD"/>
    <w:rsid w:val="006264A4"/>
    <w:rsid w:val="00630004"/>
    <w:rsid w:val="006309F8"/>
    <w:rsid w:val="0063617F"/>
    <w:rsid w:val="00636740"/>
    <w:rsid w:val="0064011F"/>
    <w:rsid w:val="006413E1"/>
    <w:rsid w:val="006420BE"/>
    <w:rsid w:val="006432C7"/>
    <w:rsid w:val="006441E1"/>
    <w:rsid w:val="006448C7"/>
    <w:rsid w:val="006457A0"/>
    <w:rsid w:val="00650131"/>
    <w:rsid w:val="006611B6"/>
    <w:rsid w:val="00661F6A"/>
    <w:rsid w:val="00664F6F"/>
    <w:rsid w:val="00667063"/>
    <w:rsid w:val="0066727F"/>
    <w:rsid w:val="00670AC4"/>
    <w:rsid w:val="00671544"/>
    <w:rsid w:val="00674FD8"/>
    <w:rsid w:val="00680115"/>
    <w:rsid w:val="00681676"/>
    <w:rsid w:val="0068267C"/>
    <w:rsid w:val="00682FFD"/>
    <w:rsid w:val="0068401F"/>
    <w:rsid w:val="006900CE"/>
    <w:rsid w:val="00691CE9"/>
    <w:rsid w:val="006933F9"/>
    <w:rsid w:val="006937F1"/>
    <w:rsid w:val="00695DA7"/>
    <w:rsid w:val="00697472"/>
    <w:rsid w:val="006A0ED4"/>
    <w:rsid w:val="006A12C5"/>
    <w:rsid w:val="006A6CB0"/>
    <w:rsid w:val="006A7B65"/>
    <w:rsid w:val="006A7BC3"/>
    <w:rsid w:val="006B06B2"/>
    <w:rsid w:val="006B124B"/>
    <w:rsid w:val="006B1AFC"/>
    <w:rsid w:val="006B2CA5"/>
    <w:rsid w:val="006B2EF6"/>
    <w:rsid w:val="006B2F37"/>
    <w:rsid w:val="006B4F1F"/>
    <w:rsid w:val="006B5294"/>
    <w:rsid w:val="006C0663"/>
    <w:rsid w:val="006C3660"/>
    <w:rsid w:val="006C3FA8"/>
    <w:rsid w:val="006C55E4"/>
    <w:rsid w:val="006D2093"/>
    <w:rsid w:val="006D525B"/>
    <w:rsid w:val="006D5F28"/>
    <w:rsid w:val="006D7B31"/>
    <w:rsid w:val="006E04A5"/>
    <w:rsid w:val="006E1A43"/>
    <w:rsid w:val="006E27AC"/>
    <w:rsid w:val="006E508A"/>
    <w:rsid w:val="006E5629"/>
    <w:rsid w:val="006E6488"/>
    <w:rsid w:val="006F0366"/>
    <w:rsid w:val="006F2685"/>
    <w:rsid w:val="006F39BE"/>
    <w:rsid w:val="006F3ACE"/>
    <w:rsid w:val="006F5806"/>
    <w:rsid w:val="006F5BB6"/>
    <w:rsid w:val="006F6016"/>
    <w:rsid w:val="006F6059"/>
    <w:rsid w:val="006F667E"/>
    <w:rsid w:val="006F769E"/>
    <w:rsid w:val="006F7DD0"/>
    <w:rsid w:val="00703EF2"/>
    <w:rsid w:val="00706F3F"/>
    <w:rsid w:val="0070722A"/>
    <w:rsid w:val="00707757"/>
    <w:rsid w:val="00711162"/>
    <w:rsid w:val="0071268D"/>
    <w:rsid w:val="007155A3"/>
    <w:rsid w:val="007163CE"/>
    <w:rsid w:val="00717CE2"/>
    <w:rsid w:val="0072034D"/>
    <w:rsid w:val="0072068B"/>
    <w:rsid w:val="007210B9"/>
    <w:rsid w:val="007211E9"/>
    <w:rsid w:val="00721E3D"/>
    <w:rsid w:val="00723DC1"/>
    <w:rsid w:val="007241B0"/>
    <w:rsid w:val="00724C62"/>
    <w:rsid w:val="00725D42"/>
    <w:rsid w:val="00726008"/>
    <w:rsid w:val="0072648E"/>
    <w:rsid w:val="00727471"/>
    <w:rsid w:val="00731C83"/>
    <w:rsid w:val="00731E8D"/>
    <w:rsid w:val="00732E3F"/>
    <w:rsid w:val="00733B23"/>
    <w:rsid w:val="00733CE7"/>
    <w:rsid w:val="0073457D"/>
    <w:rsid w:val="00735754"/>
    <w:rsid w:val="00740580"/>
    <w:rsid w:val="007405A2"/>
    <w:rsid w:val="00740D32"/>
    <w:rsid w:val="00742B2B"/>
    <w:rsid w:val="007436FD"/>
    <w:rsid w:val="00746840"/>
    <w:rsid w:val="00747E2E"/>
    <w:rsid w:val="007500E8"/>
    <w:rsid w:val="00750607"/>
    <w:rsid w:val="00751355"/>
    <w:rsid w:val="00754359"/>
    <w:rsid w:val="00755651"/>
    <w:rsid w:val="007576BF"/>
    <w:rsid w:val="00757B91"/>
    <w:rsid w:val="00760CD5"/>
    <w:rsid w:val="00761166"/>
    <w:rsid w:val="0076142E"/>
    <w:rsid w:val="00761FA5"/>
    <w:rsid w:val="00762AAD"/>
    <w:rsid w:val="0076356B"/>
    <w:rsid w:val="007665E4"/>
    <w:rsid w:val="00767558"/>
    <w:rsid w:val="0076769E"/>
    <w:rsid w:val="007707CD"/>
    <w:rsid w:val="00771209"/>
    <w:rsid w:val="0077154D"/>
    <w:rsid w:val="00772F30"/>
    <w:rsid w:val="0077353B"/>
    <w:rsid w:val="00776F58"/>
    <w:rsid w:val="0077718D"/>
    <w:rsid w:val="007809BD"/>
    <w:rsid w:val="00781A9B"/>
    <w:rsid w:val="00784825"/>
    <w:rsid w:val="00785E9E"/>
    <w:rsid w:val="00786F1C"/>
    <w:rsid w:val="00793505"/>
    <w:rsid w:val="0079788C"/>
    <w:rsid w:val="007A0F5A"/>
    <w:rsid w:val="007A26EE"/>
    <w:rsid w:val="007A49AF"/>
    <w:rsid w:val="007A5AFC"/>
    <w:rsid w:val="007B3C67"/>
    <w:rsid w:val="007B3E27"/>
    <w:rsid w:val="007B4DBB"/>
    <w:rsid w:val="007B5ADC"/>
    <w:rsid w:val="007B6AF3"/>
    <w:rsid w:val="007C050F"/>
    <w:rsid w:val="007C2A92"/>
    <w:rsid w:val="007C2FA5"/>
    <w:rsid w:val="007C6BDF"/>
    <w:rsid w:val="007D6646"/>
    <w:rsid w:val="007D6C1B"/>
    <w:rsid w:val="007E0AF9"/>
    <w:rsid w:val="007E1565"/>
    <w:rsid w:val="007E5CC8"/>
    <w:rsid w:val="007F0F58"/>
    <w:rsid w:val="007F124B"/>
    <w:rsid w:val="007F3A31"/>
    <w:rsid w:val="007F40E7"/>
    <w:rsid w:val="007F4BF0"/>
    <w:rsid w:val="007F4D4B"/>
    <w:rsid w:val="007F5236"/>
    <w:rsid w:val="007F6904"/>
    <w:rsid w:val="00800D64"/>
    <w:rsid w:val="00801396"/>
    <w:rsid w:val="00801D10"/>
    <w:rsid w:val="008064AF"/>
    <w:rsid w:val="00811E1C"/>
    <w:rsid w:val="0081311B"/>
    <w:rsid w:val="00815E07"/>
    <w:rsid w:val="00820DA5"/>
    <w:rsid w:val="0082148D"/>
    <w:rsid w:val="008214AF"/>
    <w:rsid w:val="00822732"/>
    <w:rsid w:val="008243F4"/>
    <w:rsid w:val="00824CF1"/>
    <w:rsid w:val="00824D85"/>
    <w:rsid w:val="00825E0D"/>
    <w:rsid w:val="00831720"/>
    <w:rsid w:val="00832C34"/>
    <w:rsid w:val="008331EE"/>
    <w:rsid w:val="008331F4"/>
    <w:rsid w:val="00834902"/>
    <w:rsid w:val="00834D28"/>
    <w:rsid w:val="008364B0"/>
    <w:rsid w:val="00836EA2"/>
    <w:rsid w:val="008430F5"/>
    <w:rsid w:val="0085074D"/>
    <w:rsid w:val="00850E72"/>
    <w:rsid w:val="0085270E"/>
    <w:rsid w:val="008541D1"/>
    <w:rsid w:val="00856E38"/>
    <w:rsid w:val="00857BA6"/>
    <w:rsid w:val="008610AC"/>
    <w:rsid w:val="00863067"/>
    <w:rsid w:val="0086339C"/>
    <w:rsid w:val="0086364A"/>
    <w:rsid w:val="00866536"/>
    <w:rsid w:val="0087145D"/>
    <w:rsid w:val="008733B0"/>
    <w:rsid w:val="008757F9"/>
    <w:rsid w:val="00876731"/>
    <w:rsid w:val="0087756F"/>
    <w:rsid w:val="0088129C"/>
    <w:rsid w:val="00881DAF"/>
    <w:rsid w:val="00886AB0"/>
    <w:rsid w:val="00886E27"/>
    <w:rsid w:val="00893287"/>
    <w:rsid w:val="00894F31"/>
    <w:rsid w:val="0089749D"/>
    <w:rsid w:val="00897746"/>
    <w:rsid w:val="00897F8D"/>
    <w:rsid w:val="008A14A6"/>
    <w:rsid w:val="008A207B"/>
    <w:rsid w:val="008A2274"/>
    <w:rsid w:val="008A29F3"/>
    <w:rsid w:val="008A420E"/>
    <w:rsid w:val="008A5683"/>
    <w:rsid w:val="008B46B1"/>
    <w:rsid w:val="008B4CB7"/>
    <w:rsid w:val="008B5799"/>
    <w:rsid w:val="008B6C41"/>
    <w:rsid w:val="008B6E73"/>
    <w:rsid w:val="008C16FC"/>
    <w:rsid w:val="008C18FC"/>
    <w:rsid w:val="008C2F11"/>
    <w:rsid w:val="008C3087"/>
    <w:rsid w:val="008C3623"/>
    <w:rsid w:val="008C778E"/>
    <w:rsid w:val="008C7DA9"/>
    <w:rsid w:val="008D04A7"/>
    <w:rsid w:val="008D1C7F"/>
    <w:rsid w:val="008D5D2F"/>
    <w:rsid w:val="008D5D4B"/>
    <w:rsid w:val="008D7A96"/>
    <w:rsid w:val="008E2E0E"/>
    <w:rsid w:val="008E32A5"/>
    <w:rsid w:val="008E3341"/>
    <w:rsid w:val="008E3369"/>
    <w:rsid w:val="008E3ED9"/>
    <w:rsid w:val="008E45D8"/>
    <w:rsid w:val="008E5555"/>
    <w:rsid w:val="008E6D22"/>
    <w:rsid w:val="008F16A8"/>
    <w:rsid w:val="008F192E"/>
    <w:rsid w:val="008F339F"/>
    <w:rsid w:val="008F4515"/>
    <w:rsid w:val="008F5CFB"/>
    <w:rsid w:val="008F6131"/>
    <w:rsid w:val="00900696"/>
    <w:rsid w:val="00900A37"/>
    <w:rsid w:val="00900E61"/>
    <w:rsid w:val="00903F07"/>
    <w:rsid w:val="009103CE"/>
    <w:rsid w:val="00911DD6"/>
    <w:rsid w:val="00915AA9"/>
    <w:rsid w:val="0091772C"/>
    <w:rsid w:val="0092011A"/>
    <w:rsid w:val="0092192C"/>
    <w:rsid w:val="00922284"/>
    <w:rsid w:val="00922F55"/>
    <w:rsid w:val="00923049"/>
    <w:rsid w:val="009238DF"/>
    <w:rsid w:val="00924C32"/>
    <w:rsid w:val="00925D16"/>
    <w:rsid w:val="00927FD3"/>
    <w:rsid w:val="009301C9"/>
    <w:rsid w:val="0093249B"/>
    <w:rsid w:val="00933F5D"/>
    <w:rsid w:val="0093498B"/>
    <w:rsid w:val="00935092"/>
    <w:rsid w:val="00945315"/>
    <w:rsid w:val="00945BB1"/>
    <w:rsid w:val="0094616F"/>
    <w:rsid w:val="00953954"/>
    <w:rsid w:val="0095600F"/>
    <w:rsid w:val="00956816"/>
    <w:rsid w:val="009574D4"/>
    <w:rsid w:val="009606F7"/>
    <w:rsid w:val="00960CBD"/>
    <w:rsid w:val="00961779"/>
    <w:rsid w:val="00961DAD"/>
    <w:rsid w:val="00966785"/>
    <w:rsid w:val="00970C49"/>
    <w:rsid w:val="009755A4"/>
    <w:rsid w:val="00976CA5"/>
    <w:rsid w:val="009778F9"/>
    <w:rsid w:val="00980BAD"/>
    <w:rsid w:val="00981202"/>
    <w:rsid w:val="00982501"/>
    <w:rsid w:val="009834EA"/>
    <w:rsid w:val="00985A25"/>
    <w:rsid w:val="009864E1"/>
    <w:rsid w:val="009931CC"/>
    <w:rsid w:val="00995AF1"/>
    <w:rsid w:val="009A02F1"/>
    <w:rsid w:val="009A15DD"/>
    <w:rsid w:val="009A2CCC"/>
    <w:rsid w:val="009A4B99"/>
    <w:rsid w:val="009A4BFA"/>
    <w:rsid w:val="009A6120"/>
    <w:rsid w:val="009B2CF0"/>
    <w:rsid w:val="009B363C"/>
    <w:rsid w:val="009B45DF"/>
    <w:rsid w:val="009B4D43"/>
    <w:rsid w:val="009B5A22"/>
    <w:rsid w:val="009B68F9"/>
    <w:rsid w:val="009B77E0"/>
    <w:rsid w:val="009C43B5"/>
    <w:rsid w:val="009C494F"/>
    <w:rsid w:val="009C49B6"/>
    <w:rsid w:val="009C744F"/>
    <w:rsid w:val="009D02E1"/>
    <w:rsid w:val="009D06BF"/>
    <w:rsid w:val="009D240B"/>
    <w:rsid w:val="009D3FA5"/>
    <w:rsid w:val="009D7437"/>
    <w:rsid w:val="009D7E1C"/>
    <w:rsid w:val="009E2F20"/>
    <w:rsid w:val="009E3751"/>
    <w:rsid w:val="009E3C9C"/>
    <w:rsid w:val="009E53E1"/>
    <w:rsid w:val="009E5408"/>
    <w:rsid w:val="009E6F22"/>
    <w:rsid w:val="009E768B"/>
    <w:rsid w:val="009E7D8E"/>
    <w:rsid w:val="009F1ED7"/>
    <w:rsid w:val="009F396D"/>
    <w:rsid w:val="009F4F5A"/>
    <w:rsid w:val="00A014B6"/>
    <w:rsid w:val="00A02696"/>
    <w:rsid w:val="00A03712"/>
    <w:rsid w:val="00A078CB"/>
    <w:rsid w:val="00A11374"/>
    <w:rsid w:val="00A11AFE"/>
    <w:rsid w:val="00A158E2"/>
    <w:rsid w:val="00A171C4"/>
    <w:rsid w:val="00A17782"/>
    <w:rsid w:val="00A211C2"/>
    <w:rsid w:val="00A21614"/>
    <w:rsid w:val="00A238CF"/>
    <w:rsid w:val="00A26113"/>
    <w:rsid w:val="00A31E08"/>
    <w:rsid w:val="00A34C68"/>
    <w:rsid w:val="00A40BC1"/>
    <w:rsid w:val="00A41102"/>
    <w:rsid w:val="00A41D95"/>
    <w:rsid w:val="00A432D2"/>
    <w:rsid w:val="00A434D5"/>
    <w:rsid w:val="00A470F4"/>
    <w:rsid w:val="00A47540"/>
    <w:rsid w:val="00A50439"/>
    <w:rsid w:val="00A50F30"/>
    <w:rsid w:val="00A52B9C"/>
    <w:rsid w:val="00A538AF"/>
    <w:rsid w:val="00A53D47"/>
    <w:rsid w:val="00A54049"/>
    <w:rsid w:val="00A54208"/>
    <w:rsid w:val="00A54FD2"/>
    <w:rsid w:val="00A6120B"/>
    <w:rsid w:val="00A614EB"/>
    <w:rsid w:val="00A621CF"/>
    <w:rsid w:val="00A648CF"/>
    <w:rsid w:val="00A65BC7"/>
    <w:rsid w:val="00A65F10"/>
    <w:rsid w:val="00A6625B"/>
    <w:rsid w:val="00A67919"/>
    <w:rsid w:val="00A72BEA"/>
    <w:rsid w:val="00A75EE1"/>
    <w:rsid w:val="00A76079"/>
    <w:rsid w:val="00A763F0"/>
    <w:rsid w:val="00A7726A"/>
    <w:rsid w:val="00A80289"/>
    <w:rsid w:val="00A86567"/>
    <w:rsid w:val="00A87E27"/>
    <w:rsid w:val="00A901DA"/>
    <w:rsid w:val="00A90CBB"/>
    <w:rsid w:val="00A94D50"/>
    <w:rsid w:val="00A958A7"/>
    <w:rsid w:val="00AA1227"/>
    <w:rsid w:val="00AA171A"/>
    <w:rsid w:val="00AA251C"/>
    <w:rsid w:val="00AA3224"/>
    <w:rsid w:val="00AA3D4D"/>
    <w:rsid w:val="00AA3F1A"/>
    <w:rsid w:val="00AA7966"/>
    <w:rsid w:val="00AB0D57"/>
    <w:rsid w:val="00AB131F"/>
    <w:rsid w:val="00AB1BEB"/>
    <w:rsid w:val="00AB333F"/>
    <w:rsid w:val="00AB3D73"/>
    <w:rsid w:val="00AB5153"/>
    <w:rsid w:val="00AB5C71"/>
    <w:rsid w:val="00AB5E46"/>
    <w:rsid w:val="00AB613C"/>
    <w:rsid w:val="00AB66AD"/>
    <w:rsid w:val="00AC0A2F"/>
    <w:rsid w:val="00AC1C59"/>
    <w:rsid w:val="00AC2EDE"/>
    <w:rsid w:val="00AC4280"/>
    <w:rsid w:val="00AC5472"/>
    <w:rsid w:val="00AD1CFA"/>
    <w:rsid w:val="00AD2687"/>
    <w:rsid w:val="00AD30E2"/>
    <w:rsid w:val="00AD5151"/>
    <w:rsid w:val="00AD606A"/>
    <w:rsid w:val="00AD6562"/>
    <w:rsid w:val="00AD7A01"/>
    <w:rsid w:val="00AE27A6"/>
    <w:rsid w:val="00AE31DD"/>
    <w:rsid w:val="00AE3F5F"/>
    <w:rsid w:val="00AE5A11"/>
    <w:rsid w:val="00AF265D"/>
    <w:rsid w:val="00AF40D9"/>
    <w:rsid w:val="00AF4459"/>
    <w:rsid w:val="00AF45AB"/>
    <w:rsid w:val="00AF65C4"/>
    <w:rsid w:val="00AF67C9"/>
    <w:rsid w:val="00AF6C57"/>
    <w:rsid w:val="00B0016F"/>
    <w:rsid w:val="00B022C9"/>
    <w:rsid w:val="00B03E48"/>
    <w:rsid w:val="00B04258"/>
    <w:rsid w:val="00B10C33"/>
    <w:rsid w:val="00B12B41"/>
    <w:rsid w:val="00B13E6E"/>
    <w:rsid w:val="00B141FC"/>
    <w:rsid w:val="00B2050D"/>
    <w:rsid w:val="00B22283"/>
    <w:rsid w:val="00B22F5B"/>
    <w:rsid w:val="00B25126"/>
    <w:rsid w:val="00B27BA8"/>
    <w:rsid w:val="00B32461"/>
    <w:rsid w:val="00B32EE4"/>
    <w:rsid w:val="00B32F1B"/>
    <w:rsid w:val="00B3330B"/>
    <w:rsid w:val="00B3442C"/>
    <w:rsid w:val="00B3496B"/>
    <w:rsid w:val="00B3596C"/>
    <w:rsid w:val="00B35AAA"/>
    <w:rsid w:val="00B36D9E"/>
    <w:rsid w:val="00B501E1"/>
    <w:rsid w:val="00B52A3D"/>
    <w:rsid w:val="00B52D0F"/>
    <w:rsid w:val="00B61346"/>
    <w:rsid w:val="00B61F47"/>
    <w:rsid w:val="00B632FA"/>
    <w:rsid w:val="00B64EF5"/>
    <w:rsid w:val="00B66D7E"/>
    <w:rsid w:val="00B676FD"/>
    <w:rsid w:val="00B67C7C"/>
    <w:rsid w:val="00B71425"/>
    <w:rsid w:val="00B7474D"/>
    <w:rsid w:val="00B75B90"/>
    <w:rsid w:val="00B80E94"/>
    <w:rsid w:val="00B8145E"/>
    <w:rsid w:val="00B81A3C"/>
    <w:rsid w:val="00B82DB0"/>
    <w:rsid w:val="00B84BCD"/>
    <w:rsid w:val="00B86702"/>
    <w:rsid w:val="00B87A5C"/>
    <w:rsid w:val="00B9234C"/>
    <w:rsid w:val="00B9285B"/>
    <w:rsid w:val="00B9304B"/>
    <w:rsid w:val="00B95C91"/>
    <w:rsid w:val="00B969C7"/>
    <w:rsid w:val="00B97DB2"/>
    <w:rsid w:val="00BA196A"/>
    <w:rsid w:val="00BA36DD"/>
    <w:rsid w:val="00BA3B33"/>
    <w:rsid w:val="00BA47C4"/>
    <w:rsid w:val="00BA5182"/>
    <w:rsid w:val="00BB4742"/>
    <w:rsid w:val="00BB71A2"/>
    <w:rsid w:val="00BC0D91"/>
    <w:rsid w:val="00BC1C4B"/>
    <w:rsid w:val="00BC7750"/>
    <w:rsid w:val="00BC7C5D"/>
    <w:rsid w:val="00BD05BF"/>
    <w:rsid w:val="00BD1FDF"/>
    <w:rsid w:val="00BD379E"/>
    <w:rsid w:val="00BD3D95"/>
    <w:rsid w:val="00BD6D25"/>
    <w:rsid w:val="00BE282C"/>
    <w:rsid w:val="00BE3393"/>
    <w:rsid w:val="00BE41D3"/>
    <w:rsid w:val="00BE53FF"/>
    <w:rsid w:val="00BE673E"/>
    <w:rsid w:val="00BF58DA"/>
    <w:rsid w:val="00BF74CC"/>
    <w:rsid w:val="00C00266"/>
    <w:rsid w:val="00C00496"/>
    <w:rsid w:val="00C0369E"/>
    <w:rsid w:val="00C03B6C"/>
    <w:rsid w:val="00C03F75"/>
    <w:rsid w:val="00C04ED8"/>
    <w:rsid w:val="00C06CD9"/>
    <w:rsid w:val="00C1274F"/>
    <w:rsid w:val="00C1447E"/>
    <w:rsid w:val="00C14FBE"/>
    <w:rsid w:val="00C15F3B"/>
    <w:rsid w:val="00C169CD"/>
    <w:rsid w:val="00C207E2"/>
    <w:rsid w:val="00C2123F"/>
    <w:rsid w:val="00C219AB"/>
    <w:rsid w:val="00C2316C"/>
    <w:rsid w:val="00C24214"/>
    <w:rsid w:val="00C24C55"/>
    <w:rsid w:val="00C26825"/>
    <w:rsid w:val="00C26A13"/>
    <w:rsid w:val="00C30AE4"/>
    <w:rsid w:val="00C3108B"/>
    <w:rsid w:val="00C31216"/>
    <w:rsid w:val="00C32E14"/>
    <w:rsid w:val="00C350E7"/>
    <w:rsid w:val="00C3552F"/>
    <w:rsid w:val="00C3586A"/>
    <w:rsid w:val="00C3617C"/>
    <w:rsid w:val="00C41DF9"/>
    <w:rsid w:val="00C4238A"/>
    <w:rsid w:val="00C42E20"/>
    <w:rsid w:val="00C43228"/>
    <w:rsid w:val="00C44583"/>
    <w:rsid w:val="00C44F98"/>
    <w:rsid w:val="00C45EFE"/>
    <w:rsid w:val="00C47B1B"/>
    <w:rsid w:val="00C47B20"/>
    <w:rsid w:val="00C50A34"/>
    <w:rsid w:val="00C51CCF"/>
    <w:rsid w:val="00C52146"/>
    <w:rsid w:val="00C55252"/>
    <w:rsid w:val="00C57BA3"/>
    <w:rsid w:val="00C60354"/>
    <w:rsid w:val="00C65121"/>
    <w:rsid w:val="00C657DC"/>
    <w:rsid w:val="00C66D0C"/>
    <w:rsid w:val="00C70B20"/>
    <w:rsid w:val="00C7108B"/>
    <w:rsid w:val="00C736C7"/>
    <w:rsid w:val="00C74313"/>
    <w:rsid w:val="00C749A8"/>
    <w:rsid w:val="00C7738C"/>
    <w:rsid w:val="00C8011F"/>
    <w:rsid w:val="00C82319"/>
    <w:rsid w:val="00C83805"/>
    <w:rsid w:val="00C83DC1"/>
    <w:rsid w:val="00C84C40"/>
    <w:rsid w:val="00C86A86"/>
    <w:rsid w:val="00C86D7E"/>
    <w:rsid w:val="00C91328"/>
    <w:rsid w:val="00C91FA2"/>
    <w:rsid w:val="00C94842"/>
    <w:rsid w:val="00C959C7"/>
    <w:rsid w:val="00C9696B"/>
    <w:rsid w:val="00C97AEB"/>
    <w:rsid w:val="00CA1FC6"/>
    <w:rsid w:val="00CA32F3"/>
    <w:rsid w:val="00CA3BD2"/>
    <w:rsid w:val="00CA4349"/>
    <w:rsid w:val="00CA5BFC"/>
    <w:rsid w:val="00CA71F6"/>
    <w:rsid w:val="00CB3429"/>
    <w:rsid w:val="00CB5DFD"/>
    <w:rsid w:val="00CB6D9D"/>
    <w:rsid w:val="00CB78C4"/>
    <w:rsid w:val="00CC02B1"/>
    <w:rsid w:val="00CC045C"/>
    <w:rsid w:val="00CC2603"/>
    <w:rsid w:val="00CC2927"/>
    <w:rsid w:val="00CC2D33"/>
    <w:rsid w:val="00CC3F12"/>
    <w:rsid w:val="00CC51BB"/>
    <w:rsid w:val="00CC5315"/>
    <w:rsid w:val="00CC5502"/>
    <w:rsid w:val="00CD0264"/>
    <w:rsid w:val="00CD0CB0"/>
    <w:rsid w:val="00CD1906"/>
    <w:rsid w:val="00CD2643"/>
    <w:rsid w:val="00CD3942"/>
    <w:rsid w:val="00CD463A"/>
    <w:rsid w:val="00CD61DC"/>
    <w:rsid w:val="00CD6EF3"/>
    <w:rsid w:val="00CE0828"/>
    <w:rsid w:val="00CE463C"/>
    <w:rsid w:val="00CE4E48"/>
    <w:rsid w:val="00CE58B6"/>
    <w:rsid w:val="00CE6A53"/>
    <w:rsid w:val="00CF1AD5"/>
    <w:rsid w:val="00CF20DC"/>
    <w:rsid w:val="00CF45F9"/>
    <w:rsid w:val="00CF73AD"/>
    <w:rsid w:val="00D00569"/>
    <w:rsid w:val="00D01B57"/>
    <w:rsid w:val="00D022A6"/>
    <w:rsid w:val="00D04125"/>
    <w:rsid w:val="00D04AC9"/>
    <w:rsid w:val="00D04D9D"/>
    <w:rsid w:val="00D05353"/>
    <w:rsid w:val="00D05CC3"/>
    <w:rsid w:val="00D06FFB"/>
    <w:rsid w:val="00D0736A"/>
    <w:rsid w:val="00D11011"/>
    <w:rsid w:val="00D146F2"/>
    <w:rsid w:val="00D15CA8"/>
    <w:rsid w:val="00D1687D"/>
    <w:rsid w:val="00D169E1"/>
    <w:rsid w:val="00D20BB7"/>
    <w:rsid w:val="00D21873"/>
    <w:rsid w:val="00D22B88"/>
    <w:rsid w:val="00D25FDA"/>
    <w:rsid w:val="00D26214"/>
    <w:rsid w:val="00D33422"/>
    <w:rsid w:val="00D334D7"/>
    <w:rsid w:val="00D33F17"/>
    <w:rsid w:val="00D3648E"/>
    <w:rsid w:val="00D36F83"/>
    <w:rsid w:val="00D3738B"/>
    <w:rsid w:val="00D37ACA"/>
    <w:rsid w:val="00D40E65"/>
    <w:rsid w:val="00D40F0B"/>
    <w:rsid w:val="00D45B6B"/>
    <w:rsid w:val="00D45F90"/>
    <w:rsid w:val="00D4777F"/>
    <w:rsid w:val="00D50DD9"/>
    <w:rsid w:val="00D51C1B"/>
    <w:rsid w:val="00D5304B"/>
    <w:rsid w:val="00D5336D"/>
    <w:rsid w:val="00D53919"/>
    <w:rsid w:val="00D549C5"/>
    <w:rsid w:val="00D55B4D"/>
    <w:rsid w:val="00D56859"/>
    <w:rsid w:val="00D62131"/>
    <w:rsid w:val="00D646EA"/>
    <w:rsid w:val="00D66B05"/>
    <w:rsid w:val="00D66B61"/>
    <w:rsid w:val="00D67A59"/>
    <w:rsid w:val="00D74345"/>
    <w:rsid w:val="00D7510A"/>
    <w:rsid w:val="00D75C64"/>
    <w:rsid w:val="00D764E4"/>
    <w:rsid w:val="00D7795B"/>
    <w:rsid w:val="00D80939"/>
    <w:rsid w:val="00D84FB5"/>
    <w:rsid w:val="00D863EC"/>
    <w:rsid w:val="00D90F83"/>
    <w:rsid w:val="00D913AF"/>
    <w:rsid w:val="00D96A38"/>
    <w:rsid w:val="00D975F2"/>
    <w:rsid w:val="00D97C4C"/>
    <w:rsid w:val="00DA1BA4"/>
    <w:rsid w:val="00DA25BA"/>
    <w:rsid w:val="00DA34CD"/>
    <w:rsid w:val="00DA3997"/>
    <w:rsid w:val="00DA3DC0"/>
    <w:rsid w:val="00DA5092"/>
    <w:rsid w:val="00DA51CF"/>
    <w:rsid w:val="00DB0334"/>
    <w:rsid w:val="00DB0390"/>
    <w:rsid w:val="00DB1D74"/>
    <w:rsid w:val="00DC0591"/>
    <w:rsid w:val="00DC0F73"/>
    <w:rsid w:val="00DC0FCD"/>
    <w:rsid w:val="00DC1576"/>
    <w:rsid w:val="00DC25B3"/>
    <w:rsid w:val="00DC2D9B"/>
    <w:rsid w:val="00DC2F9D"/>
    <w:rsid w:val="00DC5DB7"/>
    <w:rsid w:val="00DC7304"/>
    <w:rsid w:val="00DC7B34"/>
    <w:rsid w:val="00DD05D8"/>
    <w:rsid w:val="00DD10FE"/>
    <w:rsid w:val="00DD4534"/>
    <w:rsid w:val="00DD5323"/>
    <w:rsid w:val="00DE1D62"/>
    <w:rsid w:val="00DE49FC"/>
    <w:rsid w:val="00DE7C87"/>
    <w:rsid w:val="00DF1636"/>
    <w:rsid w:val="00DF3057"/>
    <w:rsid w:val="00DF3CAA"/>
    <w:rsid w:val="00DF409D"/>
    <w:rsid w:val="00DF5A95"/>
    <w:rsid w:val="00DF6F62"/>
    <w:rsid w:val="00E0097C"/>
    <w:rsid w:val="00E02DBB"/>
    <w:rsid w:val="00E02FC6"/>
    <w:rsid w:val="00E04E06"/>
    <w:rsid w:val="00E07180"/>
    <w:rsid w:val="00E07E04"/>
    <w:rsid w:val="00E107CB"/>
    <w:rsid w:val="00E11DA4"/>
    <w:rsid w:val="00E13C22"/>
    <w:rsid w:val="00E15597"/>
    <w:rsid w:val="00E15A52"/>
    <w:rsid w:val="00E15D08"/>
    <w:rsid w:val="00E17E95"/>
    <w:rsid w:val="00E211A2"/>
    <w:rsid w:val="00E25440"/>
    <w:rsid w:val="00E2585A"/>
    <w:rsid w:val="00E304CF"/>
    <w:rsid w:val="00E30D29"/>
    <w:rsid w:val="00E33008"/>
    <w:rsid w:val="00E336CD"/>
    <w:rsid w:val="00E33ED5"/>
    <w:rsid w:val="00E34ACB"/>
    <w:rsid w:val="00E353CF"/>
    <w:rsid w:val="00E3558F"/>
    <w:rsid w:val="00E357F1"/>
    <w:rsid w:val="00E37505"/>
    <w:rsid w:val="00E37526"/>
    <w:rsid w:val="00E377D0"/>
    <w:rsid w:val="00E403CE"/>
    <w:rsid w:val="00E40A07"/>
    <w:rsid w:val="00E42E0F"/>
    <w:rsid w:val="00E47265"/>
    <w:rsid w:val="00E503DF"/>
    <w:rsid w:val="00E56962"/>
    <w:rsid w:val="00E57FAD"/>
    <w:rsid w:val="00E64872"/>
    <w:rsid w:val="00E652C1"/>
    <w:rsid w:val="00E76C1E"/>
    <w:rsid w:val="00E802E0"/>
    <w:rsid w:val="00E81928"/>
    <w:rsid w:val="00E8288B"/>
    <w:rsid w:val="00E87102"/>
    <w:rsid w:val="00E876F3"/>
    <w:rsid w:val="00E87A96"/>
    <w:rsid w:val="00E91CBA"/>
    <w:rsid w:val="00E91F3D"/>
    <w:rsid w:val="00E928C4"/>
    <w:rsid w:val="00E9310F"/>
    <w:rsid w:val="00E93227"/>
    <w:rsid w:val="00E95704"/>
    <w:rsid w:val="00E95AE5"/>
    <w:rsid w:val="00E963D7"/>
    <w:rsid w:val="00E97C51"/>
    <w:rsid w:val="00E97F2D"/>
    <w:rsid w:val="00EA20FC"/>
    <w:rsid w:val="00EA30AD"/>
    <w:rsid w:val="00EA315C"/>
    <w:rsid w:val="00EA3EB3"/>
    <w:rsid w:val="00EA495F"/>
    <w:rsid w:val="00EA5062"/>
    <w:rsid w:val="00EA6BF6"/>
    <w:rsid w:val="00EB240E"/>
    <w:rsid w:val="00EB2705"/>
    <w:rsid w:val="00EB6E3D"/>
    <w:rsid w:val="00EC4BF8"/>
    <w:rsid w:val="00EC60D9"/>
    <w:rsid w:val="00ED1ECE"/>
    <w:rsid w:val="00ED2C92"/>
    <w:rsid w:val="00ED3176"/>
    <w:rsid w:val="00ED41B8"/>
    <w:rsid w:val="00ED4813"/>
    <w:rsid w:val="00ED799C"/>
    <w:rsid w:val="00ED7C14"/>
    <w:rsid w:val="00ED7DBF"/>
    <w:rsid w:val="00EE0CA0"/>
    <w:rsid w:val="00EE2594"/>
    <w:rsid w:val="00EE4AED"/>
    <w:rsid w:val="00EE4C64"/>
    <w:rsid w:val="00EF061A"/>
    <w:rsid w:val="00EF1E82"/>
    <w:rsid w:val="00EF24D5"/>
    <w:rsid w:val="00EF33FB"/>
    <w:rsid w:val="00EF771E"/>
    <w:rsid w:val="00EF7ED8"/>
    <w:rsid w:val="00F00351"/>
    <w:rsid w:val="00F00711"/>
    <w:rsid w:val="00F01877"/>
    <w:rsid w:val="00F051A8"/>
    <w:rsid w:val="00F106FF"/>
    <w:rsid w:val="00F1260C"/>
    <w:rsid w:val="00F13107"/>
    <w:rsid w:val="00F16B10"/>
    <w:rsid w:val="00F21A15"/>
    <w:rsid w:val="00F21D89"/>
    <w:rsid w:val="00F2248B"/>
    <w:rsid w:val="00F22DDB"/>
    <w:rsid w:val="00F248C1"/>
    <w:rsid w:val="00F24945"/>
    <w:rsid w:val="00F24B7A"/>
    <w:rsid w:val="00F25906"/>
    <w:rsid w:val="00F272A7"/>
    <w:rsid w:val="00F27EE3"/>
    <w:rsid w:val="00F31103"/>
    <w:rsid w:val="00F316E6"/>
    <w:rsid w:val="00F318A8"/>
    <w:rsid w:val="00F322D5"/>
    <w:rsid w:val="00F33A64"/>
    <w:rsid w:val="00F35AF7"/>
    <w:rsid w:val="00F36BEB"/>
    <w:rsid w:val="00F4016D"/>
    <w:rsid w:val="00F405F4"/>
    <w:rsid w:val="00F40836"/>
    <w:rsid w:val="00F40EE3"/>
    <w:rsid w:val="00F42519"/>
    <w:rsid w:val="00F4390E"/>
    <w:rsid w:val="00F445DD"/>
    <w:rsid w:val="00F46A60"/>
    <w:rsid w:val="00F47446"/>
    <w:rsid w:val="00F50A2E"/>
    <w:rsid w:val="00F53916"/>
    <w:rsid w:val="00F559ED"/>
    <w:rsid w:val="00F55ADE"/>
    <w:rsid w:val="00F57B6D"/>
    <w:rsid w:val="00F62352"/>
    <w:rsid w:val="00F62742"/>
    <w:rsid w:val="00F62F4B"/>
    <w:rsid w:val="00F62F8A"/>
    <w:rsid w:val="00F63076"/>
    <w:rsid w:val="00F646CC"/>
    <w:rsid w:val="00F66ADA"/>
    <w:rsid w:val="00F70E72"/>
    <w:rsid w:val="00F71396"/>
    <w:rsid w:val="00F72D30"/>
    <w:rsid w:val="00F7325F"/>
    <w:rsid w:val="00F74511"/>
    <w:rsid w:val="00F77670"/>
    <w:rsid w:val="00F81810"/>
    <w:rsid w:val="00F82CC0"/>
    <w:rsid w:val="00F8330E"/>
    <w:rsid w:val="00F8596E"/>
    <w:rsid w:val="00F85F11"/>
    <w:rsid w:val="00F866B8"/>
    <w:rsid w:val="00F90EE6"/>
    <w:rsid w:val="00F91EBD"/>
    <w:rsid w:val="00F9286B"/>
    <w:rsid w:val="00F95B23"/>
    <w:rsid w:val="00F960F7"/>
    <w:rsid w:val="00FA001C"/>
    <w:rsid w:val="00FA0DF5"/>
    <w:rsid w:val="00FA14B9"/>
    <w:rsid w:val="00FA42EC"/>
    <w:rsid w:val="00FA5945"/>
    <w:rsid w:val="00FA6096"/>
    <w:rsid w:val="00FA619F"/>
    <w:rsid w:val="00FA6DDF"/>
    <w:rsid w:val="00FA702A"/>
    <w:rsid w:val="00FB0A4F"/>
    <w:rsid w:val="00FB0BCD"/>
    <w:rsid w:val="00FB2E73"/>
    <w:rsid w:val="00FB3B8F"/>
    <w:rsid w:val="00FB5D1D"/>
    <w:rsid w:val="00FC0DAA"/>
    <w:rsid w:val="00FC1175"/>
    <w:rsid w:val="00FC393E"/>
    <w:rsid w:val="00FC47E5"/>
    <w:rsid w:val="00FC7551"/>
    <w:rsid w:val="00FC7553"/>
    <w:rsid w:val="00FD0059"/>
    <w:rsid w:val="00FD4900"/>
    <w:rsid w:val="00FD7258"/>
    <w:rsid w:val="00FD7DBB"/>
    <w:rsid w:val="00FD7FC0"/>
    <w:rsid w:val="00FE0D5E"/>
    <w:rsid w:val="00FE43BC"/>
    <w:rsid w:val="00FE545D"/>
    <w:rsid w:val="00FE59EF"/>
    <w:rsid w:val="00FE5B34"/>
    <w:rsid w:val="00FE733A"/>
    <w:rsid w:val="00FE7B8D"/>
    <w:rsid w:val="00FF0911"/>
    <w:rsid w:val="00FF2241"/>
    <w:rsid w:val="00FF24A5"/>
    <w:rsid w:val="00FF2B8D"/>
    <w:rsid w:val="3A1B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name="toc 1"/>
    <w:lsdException w:qFormat="1" w:unhideWhenUsed="0" w:uiPriority="1"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nhideWhenUsed="0" w:uiPriority="0" w:name="Normal Indent"/>
    <w:lsdException w:qFormat="1" w:unhideWhenUsed="0" w:uiPriority="99" w:name="footnote text"/>
    <w:lsdException w:qFormat="1" w:unhideWhenUsed="0" w:uiPriority="0" w:semiHidden="0" w:name="annotation text"/>
    <w:lsdException w:qFormat="1" w:uiPriority="99" w:name="header"/>
    <w:lsdException w:qFormat="1" w:uiPriority="99" w:semiHidden="0" w:name="footer"/>
    <w:lsdException w:qFormat="1" w:unhideWhenUsed="0" w:uiPriority="99" w:name="index heading"/>
    <w:lsdException w:qFormat="1" w:unhideWhenUsed="0" w:uiPriority="0" w:semiHidden="0" w:name="caption"/>
    <w:lsdException w:qFormat="1" w:unhideWhenUsed="0" w:uiPriority="99" w:name="table of figures"/>
    <w:lsdException w:qFormat="1" w:unhideWhenUsed="0" w:uiPriority="99" w:name="envelope address"/>
    <w:lsdException w:qFormat="1" w:unhideWhenUsed="0" w:uiPriority="99" w:name="envelope return"/>
    <w:lsdException w:unhideWhenUsed="0" w:uiPriority="99" w:name="footnote reference"/>
    <w:lsdException w:unhideWhenUsed="0" w:uiPriority="99" w:name="annotation reference"/>
    <w:lsdException w:qFormat="1" w:unhideWhenUsed="0" w:uiPriority="0" w:name="line number"/>
    <w:lsdException w:qFormat="1" w:unhideWhenUsed="0" w:uiPriority="0" w:name="page number"/>
    <w:lsdException w:uiPriority="99" w:name="endnote reference"/>
    <w:lsdException w:qFormat="1" w:unhideWhenUsed="0" w:uiPriority="99" w:name="endnote text"/>
    <w:lsdException w:qFormat="1" w:unhideWhenUsed="0" w:uiPriority="99" w:name="table of authorities"/>
    <w:lsdException w:qFormat="1" w:unhideWhenUsed="0" w:uiPriority="99" w:name="macro"/>
    <w:lsdException w:qFormat="1" w:unhideWhenUsed="0" w:uiPriority="99" w:name="toa heading"/>
    <w:lsdException w:qFormat="1" w:unhideWhenUsed="0" w:uiPriority="99" w:name="List"/>
    <w:lsdException w:qFormat="1" w:unhideWhenUsed="0" w:uiPriority="99" w:name="List Bullet"/>
    <w:lsdException w:qFormat="1" w:unhideWhenUsed="0" w:uiPriority="99" w:name="List Number"/>
    <w:lsdException w:qFormat="1" w:unhideWhenUsed="0" w:uiPriority="99" w:name="List 2"/>
    <w:lsdException w:qFormat="1" w:unhideWhenUsed="0" w:uiPriority="99" w:name="List 3"/>
    <w:lsdException w:qFormat="1" w:unhideWhenUsed="0" w:uiPriority="99" w:name="List 4"/>
    <w:lsdException w:qFormat="1" w:unhideWhenUsed="0" w:uiPriority="99" w:name="List 5"/>
    <w:lsdException w:qFormat="1" w:unhideWhenUsed="0" w:uiPriority="99"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99" w:semiHidden="0" w:name="Title"/>
    <w:lsdException w:qFormat="1" w:unhideWhenUsed="0" w:uiPriority="99" w:name="Closing"/>
    <w:lsdException w:qFormat="1" w:unhideWhenUsed="0" w:uiPriority="99" w:name="Signature"/>
    <w:lsdException w:uiPriority="1" w:name="Default Paragraph Font"/>
    <w:lsdException w:qFormat="1" w:unhideWhenUsed="0" w:uiPriority="99" w:name="Body Text"/>
    <w:lsdException w:qFormat="1" w:unhideWhenUsed="0" w:uiPriority="99" w:name="Body Text Indent"/>
    <w:lsdException w:qFormat="1" w:unhideWhenUsed="0" w:uiPriority="99" w:name="List Continue"/>
    <w:lsdException w:qFormat="1" w:unhideWhenUsed="0" w:uiPriority="99" w:name="List Continue 2"/>
    <w:lsdException w:qFormat="1" w:unhideWhenUsed="0" w:uiPriority="99" w:name="List Continue 3"/>
    <w:lsdException w:qFormat="1" w:unhideWhenUsed="0" w:uiPriority="99"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name="Salutation"/>
    <w:lsdException w:qFormat="1" w:unhideWhenUsed="0" w:uiPriority="99" w:name="Date"/>
    <w:lsdException w:qFormat="1" w:unhideWhenUsed="0" w:uiPriority="99" w:name="Body Text First Indent"/>
    <w:lsdException w:qFormat="1" w:unhideWhenUsed="0" w:uiPriority="99" w:name="Body Text First Indent 2"/>
    <w:lsdException w:qFormat="1" w:unhideWhenUsed="0" w:uiPriority="99" w:name="Note Heading"/>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name="Body Text Indent 3"/>
    <w:lsdException w:qFormat="1" w:unhideWhenUsed="0" w:uiPriority="99" w:name="Block Text"/>
    <w:lsdException w:qFormat="1" w:unhideWhenUsed="0" w:uiPriority="99"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iPriority="99" w:semiHidden="0" w:name="Plain Text"/>
    <w:lsdException w:qFormat="1" w:unhideWhenUsed="0" w:uiPriority="99" w:name="E-mail Signature"/>
    <w:lsdException w:qFormat="1" w:unhideWhenUsed="0" w:uiPriority="99" w:semiHidden="0" w:name="Normal (Web)"/>
    <w:lsdException w:qFormat="1" w:unhideWhenUsed="0" w:uiPriority="0" w:name="HTML Acronym"/>
    <w:lsdException w:unhideWhenUsed="0" w:uiPriority="0" w:name="HTML Address"/>
    <w:lsdException w:qFormat="1" w:unhideWhenUsed="0" w:uiPriority="0" w:name="HTML Cite"/>
    <w:lsdException w:unhideWhenUsed="0" w:uiPriority="0" w:name="HTML Code"/>
    <w:lsdException w:qFormat="1" w:unhideWhenUsed="0" w:uiPriority="0" w:name="HTML Definition"/>
    <w:lsdException w:unhideWhenUsed="0" w:uiPriority="0" w:name="HTML Keyboard"/>
    <w:lsdException w:unhideWhenUsed="0" w:uiPriority="99" w:name="HTML Preformatted"/>
    <w:lsdException w:unhideWhenUsed="0" w:uiPriority="0" w:name="HTML Sample"/>
    <w:lsdException w:unhideWhenUsed="0" w:uiPriority="0" w:name="HTML Typewriter"/>
    <w:lsdException w:qFormat="1" w:unhideWhenUsed="0" w:uiPriority="0" w:name="HTML Variable"/>
    <w:lsdException w:qFormat="1" w:uiPriority="99" w:name="Normal Table"/>
    <w:lsdException w:qFormat="1" w:unhideWhenUsed="0" w:uiPriority="99"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99" w:name="Balloon Text"/>
    <w:lsdException w:qFormat="1" w:unhideWhenUsed="0" w:uiPriority="59"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3">
    <w:name w:val="heading 1"/>
    <w:basedOn w:val="1"/>
    <w:next w:val="1"/>
    <w:link w:val="16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70"/>
    <w:qFormat/>
    <w:uiPriority w:val="0"/>
    <w:pPr>
      <w:keepNext/>
      <w:keepLines/>
      <w:spacing w:before="260" w:after="260" w:line="412" w:lineRule="auto"/>
      <w:outlineLvl w:val="1"/>
    </w:pPr>
    <w:rPr>
      <w:rFonts w:ascii="Arial" w:hAnsi="Arial" w:eastAsia="黑体"/>
      <w:b/>
      <w:bCs/>
      <w:sz w:val="32"/>
      <w:szCs w:val="32"/>
    </w:rPr>
  </w:style>
  <w:style w:type="paragraph" w:styleId="5">
    <w:name w:val="heading 3"/>
    <w:basedOn w:val="1"/>
    <w:next w:val="1"/>
    <w:link w:val="171"/>
    <w:qFormat/>
    <w:uiPriority w:val="0"/>
    <w:pPr>
      <w:keepNext/>
      <w:keepLines/>
      <w:spacing w:before="260" w:after="260" w:line="412" w:lineRule="auto"/>
      <w:outlineLvl w:val="2"/>
    </w:pPr>
    <w:rPr>
      <w:b/>
      <w:bCs/>
      <w:sz w:val="32"/>
      <w:szCs w:val="32"/>
    </w:rPr>
  </w:style>
  <w:style w:type="paragraph" w:styleId="6">
    <w:name w:val="heading 4"/>
    <w:basedOn w:val="1"/>
    <w:next w:val="1"/>
    <w:link w:val="172"/>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link w:val="173"/>
    <w:qFormat/>
    <w:uiPriority w:val="0"/>
    <w:pPr>
      <w:keepNext/>
      <w:keepLines/>
      <w:spacing w:before="280" w:after="290" w:line="372" w:lineRule="auto"/>
      <w:outlineLvl w:val="4"/>
    </w:pPr>
    <w:rPr>
      <w:b/>
      <w:bCs/>
      <w:sz w:val="28"/>
      <w:szCs w:val="28"/>
    </w:rPr>
  </w:style>
  <w:style w:type="paragraph" w:styleId="8">
    <w:name w:val="heading 6"/>
    <w:basedOn w:val="1"/>
    <w:next w:val="1"/>
    <w:link w:val="174"/>
    <w:qFormat/>
    <w:uiPriority w:val="0"/>
    <w:pPr>
      <w:keepNext/>
      <w:keepLines/>
      <w:spacing w:before="240" w:after="64" w:line="316" w:lineRule="auto"/>
      <w:outlineLvl w:val="5"/>
    </w:pPr>
    <w:rPr>
      <w:rFonts w:ascii="Arial" w:hAnsi="Arial" w:eastAsia="黑体"/>
      <w:b/>
      <w:bCs/>
    </w:rPr>
  </w:style>
  <w:style w:type="paragraph" w:styleId="9">
    <w:name w:val="heading 7"/>
    <w:basedOn w:val="1"/>
    <w:next w:val="1"/>
    <w:link w:val="175"/>
    <w:qFormat/>
    <w:uiPriority w:val="99"/>
    <w:pPr>
      <w:keepNext/>
      <w:keepLines/>
      <w:spacing w:before="240" w:after="64" w:line="316" w:lineRule="auto"/>
      <w:outlineLvl w:val="6"/>
    </w:pPr>
    <w:rPr>
      <w:b/>
      <w:bCs/>
    </w:rPr>
  </w:style>
  <w:style w:type="paragraph" w:styleId="10">
    <w:name w:val="heading 8"/>
    <w:basedOn w:val="1"/>
    <w:next w:val="1"/>
    <w:link w:val="176"/>
    <w:qFormat/>
    <w:uiPriority w:val="99"/>
    <w:pPr>
      <w:keepNext/>
      <w:keepLines/>
      <w:spacing w:before="240" w:after="64" w:line="316" w:lineRule="auto"/>
      <w:outlineLvl w:val="7"/>
    </w:pPr>
    <w:rPr>
      <w:rFonts w:ascii="Arial" w:hAnsi="Arial" w:eastAsia="黑体"/>
    </w:rPr>
  </w:style>
  <w:style w:type="paragraph" w:styleId="11">
    <w:name w:val="heading 9"/>
    <w:basedOn w:val="1"/>
    <w:next w:val="1"/>
    <w:link w:val="177"/>
    <w:qFormat/>
    <w:uiPriority w:val="99"/>
    <w:pPr>
      <w:keepNext/>
      <w:keepLines/>
      <w:spacing w:before="240" w:after="64" w:line="316" w:lineRule="auto"/>
      <w:outlineLvl w:val="8"/>
    </w:pPr>
    <w:rPr>
      <w:rFonts w:ascii="Arial" w:hAnsi="Arial" w:eastAsia="黑体"/>
      <w:szCs w:val="21"/>
    </w:rPr>
  </w:style>
  <w:style w:type="character" w:default="1" w:styleId="133">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00"/>
    <w:semiHidden/>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Times New Roman"/>
      <w:spacing w:val="6"/>
      <w:kern w:val="2"/>
      <w:sz w:val="24"/>
      <w:szCs w:val="24"/>
      <w:lang w:val="en-US" w:eastAsia="zh-CN" w:bidi="ar-SA"/>
    </w:rPr>
  </w:style>
  <w:style w:type="paragraph" w:styleId="12">
    <w:name w:val="List 3"/>
    <w:basedOn w:val="1"/>
    <w:semiHidden/>
    <w:qFormat/>
    <w:uiPriority w:val="99"/>
    <w:pPr>
      <w:ind w:left="100" w:leftChars="400" w:hanging="200" w:hangingChars="200"/>
    </w:pPr>
    <w:rPr>
      <w:szCs w:val="20"/>
    </w:rPr>
  </w:style>
  <w:style w:type="paragraph" w:styleId="13">
    <w:name w:val="toc 7"/>
    <w:basedOn w:val="1"/>
    <w:next w:val="1"/>
    <w:autoRedefine/>
    <w:semiHidden/>
    <w:qFormat/>
    <w:uiPriority w:val="39"/>
    <w:pPr>
      <w:snapToGrid w:val="0"/>
      <w:spacing w:line="300" w:lineRule="auto"/>
      <w:ind w:left="1560" w:firstLine="200" w:firstLineChars="200"/>
    </w:pPr>
    <w:rPr>
      <w:rFonts w:ascii="Times New Roman" w:hAnsi="Times New Roman"/>
      <w:sz w:val="18"/>
      <w:szCs w:val="21"/>
    </w:rPr>
  </w:style>
  <w:style w:type="paragraph" w:styleId="14">
    <w:name w:val="List Number 2"/>
    <w:basedOn w:val="1"/>
    <w:semiHidden/>
    <w:qFormat/>
    <w:uiPriority w:val="99"/>
    <w:pPr>
      <w:numPr>
        <w:ilvl w:val="0"/>
        <w:numId w:val="1"/>
      </w:numPr>
    </w:pPr>
    <w:rPr>
      <w:szCs w:val="20"/>
    </w:rPr>
  </w:style>
  <w:style w:type="paragraph" w:styleId="15">
    <w:name w:val="table of authorities"/>
    <w:basedOn w:val="1"/>
    <w:next w:val="1"/>
    <w:semiHidden/>
    <w:qFormat/>
    <w:uiPriority w:val="99"/>
    <w:pPr>
      <w:snapToGrid w:val="0"/>
      <w:spacing w:line="300" w:lineRule="auto"/>
      <w:ind w:left="420" w:leftChars="200" w:firstLine="200" w:firstLineChars="200"/>
    </w:pPr>
    <w:rPr>
      <w:rFonts w:hAnsi="Times New Roman"/>
      <w:sz w:val="28"/>
      <w:szCs w:val="26"/>
    </w:rPr>
  </w:style>
  <w:style w:type="paragraph" w:styleId="16">
    <w:name w:val="Note Heading"/>
    <w:basedOn w:val="1"/>
    <w:next w:val="1"/>
    <w:link w:val="212"/>
    <w:semiHidden/>
    <w:qFormat/>
    <w:uiPriority w:val="99"/>
    <w:pPr>
      <w:jc w:val="center"/>
    </w:pPr>
    <w:rPr>
      <w:szCs w:val="20"/>
    </w:rPr>
  </w:style>
  <w:style w:type="paragraph" w:styleId="17">
    <w:name w:val="List Bullet 4"/>
    <w:basedOn w:val="1"/>
    <w:semiHidden/>
    <w:qFormat/>
    <w:uiPriority w:val="99"/>
    <w:pPr>
      <w:numPr>
        <w:ilvl w:val="0"/>
        <w:numId w:val="2"/>
      </w:numPr>
    </w:pPr>
    <w:rPr>
      <w:szCs w:val="20"/>
    </w:rPr>
  </w:style>
  <w:style w:type="paragraph" w:styleId="18">
    <w:name w:val="index 8"/>
    <w:basedOn w:val="1"/>
    <w:next w:val="1"/>
    <w:autoRedefine/>
    <w:semiHidden/>
    <w:qFormat/>
    <w:uiPriority w:val="99"/>
    <w:pPr>
      <w:snapToGrid w:val="0"/>
      <w:spacing w:line="300" w:lineRule="auto"/>
      <w:ind w:left="1400" w:leftChars="1400" w:firstLine="200" w:firstLineChars="200"/>
    </w:pPr>
    <w:rPr>
      <w:rFonts w:hAnsi="Times New Roman"/>
      <w:sz w:val="28"/>
      <w:szCs w:val="26"/>
    </w:rPr>
  </w:style>
  <w:style w:type="paragraph" w:styleId="19">
    <w:name w:val="E-mail Signature"/>
    <w:basedOn w:val="1"/>
    <w:link w:val="218"/>
    <w:semiHidden/>
    <w:qFormat/>
    <w:uiPriority w:val="99"/>
    <w:rPr>
      <w:szCs w:val="20"/>
    </w:rPr>
  </w:style>
  <w:style w:type="paragraph" w:styleId="20">
    <w:name w:val="List Number"/>
    <w:basedOn w:val="1"/>
    <w:semiHidden/>
    <w:qFormat/>
    <w:uiPriority w:val="99"/>
    <w:pPr>
      <w:numPr>
        <w:ilvl w:val="0"/>
        <w:numId w:val="3"/>
      </w:numPr>
    </w:pPr>
    <w:rPr>
      <w:szCs w:val="20"/>
    </w:rPr>
  </w:style>
  <w:style w:type="paragraph" w:styleId="21">
    <w:name w:val="Normal Indent"/>
    <w:basedOn w:val="1"/>
    <w:link w:val="195"/>
    <w:semiHidden/>
    <w:qFormat/>
    <w:uiPriority w:val="0"/>
    <w:pPr>
      <w:ind w:firstLine="420" w:firstLineChars="200"/>
    </w:pPr>
    <w:rPr>
      <w:sz w:val="20"/>
      <w:szCs w:val="20"/>
    </w:rPr>
  </w:style>
  <w:style w:type="paragraph" w:styleId="22">
    <w:name w:val="caption"/>
    <w:basedOn w:val="1"/>
    <w:next w:val="1"/>
    <w:link w:val="198"/>
    <w:qFormat/>
    <w:uiPriority w:val="0"/>
    <w:rPr>
      <w:rFonts w:ascii="Cambria" w:hAnsi="Cambria" w:eastAsia="黑体" w:cstheme="minorBidi"/>
    </w:rPr>
  </w:style>
  <w:style w:type="paragraph" w:styleId="23">
    <w:name w:val="index 5"/>
    <w:basedOn w:val="1"/>
    <w:next w:val="1"/>
    <w:autoRedefine/>
    <w:semiHidden/>
    <w:qFormat/>
    <w:uiPriority w:val="99"/>
    <w:pPr>
      <w:snapToGrid w:val="0"/>
      <w:spacing w:line="300" w:lineRule="auto"/>
      <w:ind w:left="800" w:leftChars="800" w:firstLine="200" w:firstLineChars="200"/>
    </w:pPr>
    <w:rPr>
      <w:rFonts w:hAnsi="Times New Roman"/>
      <w:sz w:val="28"/>
      <w:szCs w:val="26"/>
    </w:rPr>
  </w:style>
  <w:style w:type="paragraph" w:styleId="24">
    <w:name w:val="List Bullet"/>
    <w:basedOn w:val="1"/>
    <w:semiHidden/>
    <w:qFormat/>
    <w:uiPriority w:val="99"/>
    <w:pPr>
      <w:numPr>
        <w:ilvl w:val="0"/>
        <w:numId w:val="4"/>
      </w:numPr>
    </w:pPr>
    <w:rPr>
      <w:szCs w:val="20"/>
    </w:rPr>
  </w:style>
  <w:style w:type="paragraph" w:styleId="25">
    <w:name w:val="envelope address"/>
    <w:basedOn w:val="1"/>
    <w:semiHidden/>
    <w:qFormat/>
    <w:uiPriority w:val="99"/>
    <w:pPr>
      <w:framePr w:w="7920" w:h="1980" w:hSpace="180" w:wrap="auto" w:vAnchor="margin" w:hAnchor="page" w:xAlign="center" w:yAlign="bottom"/>
      <w:snapToGrid w:val="0"/>
      <w:ind w:left="100" w:leftChars="1400"/>
    </w:pPr>
    <w:rPr>
      <w:rFonts w:ascii="Arial" w:hAnsi="Arial" w:cs="Arial"/>
    </w:rPr>
  </w:style>
  <w:style w:type="paragraph" w:styleId="26">
    <w:name w:val="Document Map"/>
    <w:basedOn w:val="1"/>
    <w:link w:val="178"/>
    <w:semiHidden/>
    <w:qFormat/>
    <w:uiPriority w:val="99"/>
    <w:rPr>
      <w:sz w:val="18"/>
      <w:szCs w:val="18"/>
    </w:rPr>
  </w:style>
  <w:style w:type="paragraph" w:styleId="27">
    <w:name w:val="toa heading"/>
    <w:basedOn w:val="1"/>
    <w:next w:val="1"/>
    <w:semiHidden/>
    <w:qFormat/>
    <w:uiPriority w:val="99"/>
    <w:pPr>
      <w:snapToGrid w:val="0"/>
      <w:spacing w:before="120" w:line="300" w:lineRule="auto"/>
      <w:ind w:firstLine="200" w:firstLineChars="200"/>
    </w:pPr>
    <w:rPr>
      <w:rFonts w:ascii="Times New Roman" w:hAnsi="Times New Roman"/>
    </w:rPr>
  </w:style>
  <w:style w:type="paragraph" w:styleId="28">
    <w:name w:val="annotation text"/>
    <w:basedOn w:val="1"/>
    <w:link w:val="186"/>
    <w:qFormat/>
    <w:uiPriority w:val="0"/>
  </w:style>
  <w:style w:type="paragraph" w:styleId="29">
    <w:name w:val="index 6"/>
    <w:basedOn w:val="1"/>
    <w:next w:val="1"/>
    <w:autoRedefine/>
    <w:semiHidden/>
    <w:qFormat/>
    <w:uiPriority w:val="99"/>
    <w:pPr>
      <w:snapToGrid w:val="0"/>
      <w:spacing w:line="300" w:lineRule="auto"/>
      <w:ind w:left="1000" w:leftChars="1000" w:firstLine="200" w:firstLineChars="200"/>
    </w:pPr>
    <w:rPr>
      <w:rFonts w:hAnsi="Times New Roman"/>
      <w:sz w:val="28"/>
      <w:szCs w:val="26"/>
    </w:rPr>
  </w:style>
  <w:style w:type="paragraph" w:styleId="30">
    <w:name w:val="Salutation"/>
    <w:basedOn w:val="1"/>
    <w:next w:val="1"/>
    <w:link w:val="208"/>
    <w:semiHidden/>
    <w:qFormat/>
    <w:uiPriority w:val="99"/>
    <w:rPr>
      <w:szCs w:val="20"/>
    </w:rPr>
  </w:style>
  <w:style w:type="paragraph" w:styleId="31">
    <w:name w:val="Body Text 3"/>
    <w:basedOn w:val="1"/>
    <w:link w:val="214"/>
    <w:semiHidden/>
    <w:qFormat/>
    <w:uiPriority w:val="99"/>
    <w:pPr>
      <w:spacing w:after="120"/>
    </w:pPr>
    <w:rPr>
      <w:sz w:val="16"/>
      <w:szCs w:val="16"/>
    </w:rPr>
  </w:style>
  <w:style w:type="paragraph" w:styleId="32">
    <w:name w:val="Closing"/>
    <w:basedOn w:val="1"/>
    <w:link w:val="202"/>
    <w:semiHidden/>
    <w:qFormat/>
    <w:uiPriority w:val="99"/>
    <w:pPr>
      <w:ind w:left="100" w:leftChars="2100"/>
    </w:pPr>
    <w:rPr>
      <w:szCs w:val="20"/>
    </w:rPr>
  </w:style>
  <w:style w:type="paragraph" w:styleId="33">
    <w:name w:val="List Bullet 3"/>
    <w:basedOn w:val="1"/>
    <w:semiHidden/>
    <w:qFormat/>
    <w:uiPriority w:val="99"/>
    <w:pPr>
      <w:numPr>
        <w:ilvl w:val="0"/>
        <w:numId w:val="5"/>
      </w:numPr>
    </w:pPr>
    <w:rPr>
      <w:szCs w:val="20"/>
    </w:rPr>
  </w:style>
  <w:style w:type="paragraph" w:styleId="34">
    <w:name w:val="Body Text"/>
    <w:basedOn w:val="1"/>
    <w:link w:val="204"/>
    <w:semiHidden/>
    <w:qFormat/>
    <w:uiPriority w:val="99"/>
    <w:pPr>
      <w:spacing w:after="120"/>
    </w:pPr>
    <w:rPr>
      <w:szCs w:val="20"/>
    </w:rPr>
  </w:style>
  <w:style w:type="paragraph" w:styleId="35">
    <w:name w:val="Body Text Indent"/>
    <w:basedOn w:val="1"/>
    <w:link w:val="205"/>
    <w:semiHidden/>
    <w:qFormat/>
    <w:uiPriority w:val="99"/>
    <w:pPr>
      <w:spacing w:after="120"/>
      <w:ind w:left="420" w:leftChars="200"/>
    </w:pPr>
    <w:rPr>
      <w:szCs w:val="20"/>
    </w:rPr>
  </w:style>
  <w:style w:type="paragraph" w:styleId="36">
    <w:name w:val="List Number 3"/>
    <w:basedOn w:val="1"/>
    <w:semiHidden/>
    <w:qFormat/>
    <w:uiPriority w:val="99"/>
    <w:pPr>
      <w:numPr>
        <w:ilvl w:val="0"/>
        <w:numId w:val="6"/>
      </w:numPr>
    </w:pPr>
    <w:rPr>
      <w:szCs w:val="20"/>
    </w:rPr>
  </w:style>
  <w:style w:type="paragraph" w:styleId="37">
    <w:name w:val="List 2"/>
    <w:basedOn w:val="1"/>
    <w:semiHidden/>
    <w:qFormat/>
    <w:uiPriority w:val="99"/>
    <w:pPr>
      <w:ind w:left="100" w:leftChars="200" w:hanging="200" w:hangingChars="200"/>
    </w:pPr>
    <w:rPr>
      <w:szCs w:val="20"/>
    </w:rPr>
  </w:style>
  <w:style w:type="paragraph" w:styleId="38">
    <w:name w:val="List Continue"/>
    <w:basedOn w:val="1"/>
    <w:semiHidden/>
    <w:qFormat/>
    <w:uiPriority w:val="99"/>
    <w:pPr>
      <w:spacing w:after="120"/>
      <w:ind w:left="420" w:leftChars="200"/>
    </w:pPr>
    <w:rPr>
      <w:szCs w:val="20"/>
    </w:rPr>
  </w:style>
  <w:style w:type="paragraph" w:styleId="39">
    <w:name w:val="Block Text"/>
    <w:basedOn w:val="1"/>
    <w:semiHidden/>
    <w:qFormat/>
    <w:uiPriority w:val="99"/>
    <w:pPr>
      <w:spacing w:after="120"/>
      <w:ind w:left="1440" w:leftChars="700" w:right="1440" w:rightChars="700"/>
    </w:pPr>
    <w:rPr>
      <w:szCs w:val="20"/>
    </w:rPr>
  </w:style>
  <w:style w:type="paragraph" w:styleId="40">
    <w:name w:val="List Bullet 2"/>
    <w:basedOn w:val="1"/>
    <w:semiHidden/>
    <w:qFormat/>
    <w:uiPriority w:val="99"/>
    <w:pPr>
      <w:numPr>
        <w:ilvl w:val="0"/>
        <w:numId w:val="7"/>
      </w:numPr>
      <w:tabs>
        <w:tab w:val="left" w:pos="360"/>
      </w:tabs>
      <w:ind w:left="0" w:firstLine="0"/>
    </w:pPr>
    <w:rPr>
      <w:szCs w:val="20"/>
    </w:rPr>
  </w:style>
  <w:style w:type="paragraph" w:styleId="41">
    <w:name w:val="HTML Address"/>
    <w:basedOn w:val="1"/>
    <w:link w:val="188"/>
    <w:semiHidden/>
    <w:uiPriority w:val="0"/>
    <w:rPr>
      <w:i/>
      <w:iCs/>
      <w:szCs w:val="20"/>
    </w:rPr>
  </w:style>
  <w:style w:type="paragraph" w:styleId="42">
    <w:name w:val="index 4"/>
    <w:basedOn w:val="1"/>
    <w:next w:val="1"/>
    <w:autoRedefine/>
    <w:semiHidden/>
    <w:qFormat/>
    <w:uiPriority w:val="99"/>
    <w:pPr>
      <w:snapToGrid w:val="0"/>
      <w:spacing w:line="300" w:lineRule="auto"/>
      <w:ind w:left="600" w:leftChars="600" w:firstLine="200" w:firstLineChars="200"/>
    </w:pPr>
    <w:rPr>
      <w:rFonts w:hAnsi="Times New Roman"/>
      <w:sz w:val="28"/>
      <w:szCs w:val="26"/>
    </w:rPr>
  </w:style>
  <w:style w:type="paragraph" w:styleId="43">
    <w:name w:val="toc 5"/>
    <w:basedOn w:val="1"/>
    <w:next w:val="1"/>
    <w:autoRedefine/>
    <w:semiHidden/>
    <w:qFormat/>
    <w:uiPriority w:val="39"/>
    <w:pPr>
      <w:snapToGrid w:val="0"/>
      <w:spacing w:line="300" w:lineRule="auto"/>
      <w:ind w:left="1040" w:firstLine="200" w:firstLineChars="200"/>
    </w:pPr>
    <w:rPr>
      <w:rFonts w:ascii="Times New Roman" w:hAnsi="Times New Roman"/>
      <w:sz w:val="18"/>
      <w:szCs w:val="21"/>
    </w:rPr>
  </w:style>
  <w:style w:type="paragraph" w:styleId="44">
    <w:name w:val="toc 3"/>
    <w:basedOn w:val="1"/>
    <w:next w:val="1"/>
    <w:autoRedefine/>
    <w:semiHidden/>
    <w:qFormat/>
    <w:uiPriority w:val="39"/>
    <w:pPr>
      <w:ind w:left="840" w:leftChars="400"/>
    </w:pPr>
    <w:rPr>
      <w:szCs w:val="20"/>
    </w:rPr>
  </w:style>
  <w:style w:type="paragraph" w:styleId="45">
    <w:name w:val="Plain Text"/>
    <w:basedOn w:val="1"/>
    <w:link w:val="163"/>
    <w:unhideWhenUsed/>
    <w:qFormat/>
    <w:uiPriority w:val="99"/>
    <w:rPr>
      <w:rFonts w:hAnsi="Courier New" w:cs="Courier New"/>
      <w:szCs w:val="21"/>
    </w:rPr>
  </w:style>
  <w:style w:type="paragraph" w:styleId="46">
    <w:name w:val="List Bullet 5"/>
    <w:basedOn w:val="1"/>
    <w:semiHidden/>
    <w:qFormat/>
    <w:uiPriority w:val="99"/>
    <w:pPr>
      <w:numPr>
        <w:ilvl w:val="0"/>
        <w:numId w:val="8"/>
      </w:numPr>
    </w:pPr>
    <w:rPr>
      <w:szCs w:val="20"/>
    </w:rPr>
  </w:style>
  <w:style w:type="paragraph" w:styleId="47">
    <w:name w:val="List Number 4"/>
    <w:basedOn w:val="1"/>
    <w:semiHidden/>
    <w:qFormat/>
    <w:uiPriority w:val="99"/>
    <w:pPr>
      <w:numPr>
        <w:ilvl w:val="0"/>
        <w:numId w:val="9"/>
      </w:numPr>
    </w:pPr>
    <w:rPr>
      <w:szCs w:val="20"/>
    </w:rPr>
  </w:style>
  <w:style w:type="paragraph" w:styleId="48">
    <w:name w:val="toc 8"/>
    <w:basedOn w:val="1"/>
    <w:next w:val="1"/>
    <w:autoRedefine/>
    <w:semiHidden/>
    <w:qFormat/>
    <w:uiPriority w:val="39"/>
    <w:pPr>
      <w:snapToGrid w:val="0"/>
      <w:spacing w:line="300" w:lineRule="auto"/>
      <w:ind w:left="1820" w:firstLine="200" w:firstLineChars="200"/>
    </w:pPr>
    <w:rPr>
      <w:rFonts w:ascii="Times New Roman" w:hAnsi="Times New Roman"/>
      <w:sz w:val="18"/>
      <w:szCs w:val="21"/>
    </w:rPr>
  </w:style>
  <w:style w:type="paragraph" w:styleId="49">
    <w:name w:val="index 3"/>
    <w:basedOn w:val="1"/>
    <w:next w:val="1"/>
    <w:autoRedefine/>
    <w:semiHidden/>
    <w:qFormat/>
    <w:uiPriority w:val="99"/>
    <w:pPr>
      <w:snapToGrid w:val="0"/>
      <w:spacing w:line="300" w:lineRule="auto"/>
      <w:ind w:left="400" w:leftChars="400" w:firstLine="200" w:firstLineChars="200"/>
    </w:pPr>
    <w:rPr>
      <w:rFonts w:hAnsi="Times New Roman"/>
      <w:sz w:val="28"/>
      <w:szCs w:val="26"/>
    </w:rPr>
  </w:style>
  <w:style w:type="paragraph" w:styleId="50">
    <w:name w:val="Date"/>
    <w:basedOn w:val="1"/>
    <w:next w:val="1"/>
    <w:link w:val="209"/>
    <w:semiHidden/>
    <w:qFormat/>
    <w:uiPriority w:val="99"/>
    <w:pPr>
      <w:ind w:left="100" w:leftChars="2500"/>
    </w:pPr>
    <w:rPr>
      <w:szCs w:val="20"/>
    </w:rPr>
  </w:style>
  <w:style w:type="paragraph" w:styleId="51">
    <w:name w:val="Body Text Indent 2"/>
    <w:basedOn w:val="1"/>
    <w:link w:val="215"/>
    <w:semiHidden/>
    <w:qFormat/>
    <w:uiPriority w:val="99"/>
    <w:pPr>
      <w:spacing w:after="120" w:line="480" w:lineRule="auto"/>
      <w:ind w:left="420" w:leftChars="200"/>
    </w:pPr>
    <w:rPr>
      <w:szCs w:val="20"/>
    </w:rPr>
  </w:style>
  <w:style w:type="paragraph" w:styleId="52">
    <w:name w:val="endnote text"/>
    <w:basedOn w:val="1"/>
    <w:link w:val="199"/>
    <w:semiHidden/>
    <w:qFormat/>
    <w:uiPriority w:val="99"/>
    <w:pPr>
      <w:snapToGrid w:val="0"/>
      <w:spacing w:line="300" w:lineRule="auto"/>
      <w:ind w:firstLine="200" w:firstLineChars="200"/>
    </w:pPr>
    <w:rPr>
      <w:rFonts w:hAnsi="Times New Roman"/>
      <w:sz w:val="28"/>
      <w:szCs w:val="26"/>
    </w:rPr>
  </w:style>
  <w:style w:type="paragraph" w:styleId="53">
    <w:name w:val="List Continue 5"/>
    <w:basedOn w:val="1"/>
    <w:semiHidden/>
    <w:qFormat/>
    <w:uiPriority w:val="99"/>
    <w:pPr>
      <w:spacing w:after="120"/>
      <w:ind w:left="2100" w:leftChars="1000"/>
    </w:pPr>
    <w:rPr>
      <w:szCs w:val="20"/>
    </w:rPr>
  </w:style>
  <w:style w:type="paragraph" w:styleId="54">
    <w:name w:val="Balloon Text"/>
    <w:basedOn w:val="1"/>
    <w:link w:val="168"/>
    <w:semiHidden/>
    <w:unhideWhenUsed/>
    <w:qFormat/>
    <w:uiPriority w:val="99"/>
    <w:rPr>
      <w:sz w:val="18"/>
      <w:szCs w:val="18"/>
    </w:rPr>
  </w:style>
  <w:style w:type="paragraph" w:styleId="55">
    <w:name w:val="footer"/>
    <w:basedOn w:val="1"/>
    <w:link w:val="151"/>
    <w:unhideWhenUsed/>
    <w:qFormat/>
    <w:uiPriority w:val="99"/>
    <w:pPr>
      <w:tabs>
        <w:tab w:val="center" w:pos="4153"/>
        <w:tab w:val="right" w:pos="8306"/>
      </w:tabs>
      <w:snapToGrid w:val="0"/>
    </w:pPr>
    <w:rPr>
      <w:sz w:val="18"/>
      <w:szCs w:val="18"/>
    </w:rPr>
  </w:style>
  <w:style w:type="paragraph" w:styleId="56">
    <w:name w:val="envelope return"/>
    <w:basedOn w:val="1"/>
    <w:semiHidden/>
    <w:qFormat/>
    <w:uiPriority w:val="99"/>
    <w:pPr>
      <w:snapToGrid w:val="0"/>
    </w:pPr>
    <w:rPr>
      <w:rFonts w:ascii="Arial" w:hAnsi="Arial" w:cs="Arial"/>
      <w:szCs w:val="20"/>
    </w:rPr>
  </w:style>
  <w:style w:type="paragraph" w:styleId="57">
    <w:name w:val="header"/>
    <w:basedOn w:val="1"/>
    <w:link w:val="15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03"/>
    <w:semiHidden/>
    <w:qFormat/>
    <w:uiPriority w:val="99"/>
    <w:pPr>
      <w:ind w:left="100" w:leftChars="2100"/>
    </w:pPr>
    <w:rPr>
      <w:szCs w:val="20"/>
    </w:rPr>
  </w:style>
  <w:style w:type="paragraph" w:styleId="59">
    <w:name w:val="toc 1"/>
    <w:basedOn w:val="1"/>
    <w:next w:val="1"/>
    <w:autoRedefine/>
    <w:semiHidden/>
    <w:qFormat/>
    <w:uiPriority w:val="39"/>
    <w:pPr>
      <w:tabs>
        <w:tab w:val="right" w:leader="hyphen" w:pos="8296"/>
      </w:tabs>
      <w:spacing w:line="520" w:lineRule="exact"/>
    </w:pPr>
    <w:rPr>
      <w:rFonts w:ascii="Times New Roman" w:hAnsi="Times New Roman"/>
      <w:b/>
      <w:szCs w:val="20"/>
    </w:rPr>
  </w:style>
  <w:style w:type="paragraph" w:styleId="60">
    <w:name w:val="List Continue 4"/>
    <w:basedOn w:val="1"/>
    <w:semiHidden/>
    <w:qFormat/>
    <w:uiPriority w:val="99"/>
    <w:pPr>
      <w:spacing w:after="120"/>
      <w:ind w:left="1680" w:leftChars="800"/>
    </w:pPr>
    <w:rPr>
      <w:szCs w:val="20"/>
    </w:rPr>
  </w:style>
  <w:style w:type="paragraph" w:styleId="61">
    <w:name w:val="toc 4"/>
    <w:basedOn w:val="1"/>
    <w:next w:val="1"/>
    <w:autoRedefine/>
    <w:semiHidden/>
    <w:qFormat/>
    <w:uiPriority w:val="39"/>
    <w:pPr>
      <w:snapToGrid w:val="0"/>
      <w:spacing w:line="300" w:lineRule="auto"/>
      <w:ind w:left="780" w:firstLine="200" w:firstLineChars="200"/>
    </w:pPr>
    <w:rPr>
      <w:rFonts w:ascii="Times New Roman" w:hAnsi="Times New Roman"/>
      <w:sz w:val="18"/>
      <w:szCs w:val="21"/>
    </w:rPr>
  </w:style>
  <w:style w:type="paragraph" w:styleId="62">
    <w:name w:val="index heading"/>
    <w:basedOn w:val="1"/>
    <w:next w:val="63"/>
    <w:semiHidden/>
    <w:qFormat/>
    <w:uiPriority w:val="99"/>
    <w:pPr>
      <w:snapToGrid w:val="0"/>
      <w:spacing w:line="300" w:lineRule="auto"/>
      <w:ind w:firstLine="200" w:firstLineChars="200"/>
    </w:pPr>
    <w:rPr>
      <w:rFonts w:ascii="Times New Roman" w:hAnsi="Times New Roman"/>
      <w:b/>
      <w:bCs/>
      <w:sz w:val="28"/>
      <w:szCs w:val="26"/>
    </w:rPr>
  </w:style>
  <w:style w:type="paragraph" w:styleId="63">
    <w:name w:val="index 1"/>
    <w:basedOn w:val="1"/>
    <w:next w:val="1"/>
    <w:autoRedefine/>
    <w:semiHidden/>
    <w:qFormat/>
    <w:uiPriority w:val="99"/>
    <w:pPr>
      <w:snapToGrid w:val="0"/>
      <w:spacing w:line="300" w:lineRule="auto"/>
      <w:ind w:firstLine="200" w:firstLineChars="200"/>
    </w:pPr>
    <w:rPr>
      <w:rFonts w:hAnsi="Times New Roman"/>
      <w:sz w:val="28"/>
      <w:szCs w:val="26"/>
    </w:rPr>
  </w:style>
  <w:style w:type="paragraph" w:styleId="64">
    <w:name w:val="Subtitle"/>
    <w:basedOn w:val="1"/>
    <w:link w:val="207"/>
    <w:qFormat/>
    <w:uiPriority w:val="99"/>
    <w:pPr>
      <w:spacing w:before="240" w:after="60" w:line="312" w:lineRule="auto"/>
      <w:jc w:val="center"/>
      <w:outlineLvl w:val="1"/>
    </w:pPr>
    <w:rPr>
      <w:rFonts w:ascii="Arial" w:hAnsi="Arial"/>
      <w:b/>
      <w:bCs/>
      <w:kern w:val="28"/>
      <w:sz w:val="32"/>
      <w:szCs w:val="32"/>
    </w:rPr>
  </w:style>
  <w:style w:type="paragraph" w:styleId="65">
    <w:name w:val="List Number 5"/>
    <w:basedOn w:val="1"/>
    <w:semiHidden/>
    <w:qFormat/>
    <w:uiPriority w:val="99"/>
    <w:pPr>
      <w:numPr>
        <w:ilvl w:val="0"/>
        <w:numId w:val="10"/>
      </w:numPr>
    </w:pPr>
    <w:rPr>
      <w:szCs w:val="20"/>
    </w:rPr>
  </w:style>
  <w:style w:type="paragraph" w:styleId="66">
    <w:name w:val="List"/>
    <w:basedOn w:val="1"/>
    <w:semiHidden/>
    <w:qFormat/>
    <w:uiPriority w:val="99"/>
    <w:pPr>
      <w:ind w:left="200" w:hanging="200" w:hangingChars="200"/>
    </w:pPr>
    <w:rPr>
      <w:szCs w:val="20"/>
    </w:rPr>
  </w:style>
  <w:style w:type="paragraph" w:styleId="67">
    <w:name w:val="footnote text"/>
    <w:basedOn w:val="1"/>
    <w:link w:val="196"/>
    <w:semiHidden/>
    <w:qFormat/>
    <w:uiPriority w:val="99"/>
    <w:pPr>
      <w:snapToGrid w:val="0"/>
    </w:pPr>
    <w:rPr>
      <w:sz w:val="18"/>
      <w:szCs w:val="18"/>
    </w:rPr>
  </w:style>
  <w:style w:type="paragraph" w:styleId="68">
    <w:name w:val="toc 6"/>
    <w:basedOn w:val="1"/>
    <w:next w:val="1"/>
    <w:autoRedefine/>
    <w:semiHidden/>
    <w:qFormat/>
    <w:uiPriority w:val="39"/>
    <w:pPr>
      <w:snapToGrid w:val="0"/>
      <w:spacing w:line="300" w:lineRule="auto"/>
      <w:ind w:left="1300" w:firstLine="200" w:firstLineChars="200"/>
    </w:pPr>
    <w:rPr>
      <w:rFonts w:ascii="Times New Roman" w:hAnsi="Times New Roman"/>
      <w:sz w:val="18"/>
      <w:szCs w:val="21"/>
    </w:rPr>
  </w:style>
  <w:style w:type="paragraph" w:styleId="69">
    <w:name w:val="List 5"/>
    <w:basedOn w:val="1"/>
    <w:semiHidden/>
    <w:qFormat/>
    <w:uiPriority w:val="99"/>
    <w:pPr>
      <w:ind w:left="100" w:leftChars="800" w:hanging="200" w:hangingChars="200"/>
    </w:pPr>
    <w:rPr>
      <w:szCs w:val="20"/>
    </w:rPr>
  </w:style>
  <w:style w:type="paragraph" w:styleId="70">
    <w:name w:val="Body Text Indent 3"/>
    <w:basedOn w:val="1"/>
    <w:link w:val="216"/>
    <w:semiHidden/>
    <w:qFormat/>
    <w:uiPriority w:val="99"/>
    <w:pPr>
      <w:spacing w:after="120"/>
      <w:ind w:left="420" w:leftChars="200"/>
    </w:pPr>
    <w:rPr>
      <w:sz w:val="16"/>
      <w:szCs w:val="16"/>
    </w:rPr>
  </w:style>
  <w:style w:type="paragraph" w:styleId="71">
    <w:name w:val="index 7"/>
    <w:basedOn w:val="1"/>
    <w:next w:val="1"/>
    <w:autoRedefine/>
    <w:semiHidden/>
    <w:qFormat/>
    <w:uiPriority w:val="99"/>
    <w:pPr>
      <w:snapToGrid w:val="0"/>
      <w:spacing w:line="300" w:lineRule="auto"/>
      <w:ind w:left="1200" w:leftChars="1200" w:firstLine="200" w:firstLineChars="200"/>
    </w:pPr>
    <w:rPr>
      <w:rFonts w:hAnsi="Times New Roman"/>
      <w:sz w:val="28"/>
      <w:szCs w:val="26"/>
    </w:rPr>
  </w:style>
  <w:style w:type="paragraph" w:styleId="72">
    <w:name w:val="index 9"/>
    <w:basedOn w:val="1"/>
    <w:next w:val="1"/>
    <w:autoRedefine/>
    <w:semiHidden/>
    <w:qFormat/>
    <w:uiPriority w:val="99"/>
    <w:pPr>
      <w:snapToGrid w:val="0"/>
      <w:spacing w:line="300" w:lineRule="auto"/>
      <w:ind w:left="1600" w:leftChars="1600" w:firstLine="200" w:firstLineChars="200"/>
    </w:pPr>
    <w:rPr>
      <w:rFonts w:hAnsi="Times New Roman"/>
      <w:sz w:val="28"/>
      <w:szCs w:val="26"/>
    </w:rPr>
  </w:style>
  <w:style w:type="paragraph" w:styleId="73">
    <w:name w:val="table of figures"/>
    <w:basedOn w:val="1"/>
    <w:next w:val="1"/>
    <w:semiHidden/>
    <w:qFormat/>
    <w:uiPriority w:val="99"/>
    <w:pPr>
      <w:snapToGrid w:val="0"/>
      <w:spacing w:line="300" w:lineRule="auto"/>
      <w:ind w:left="200" w:leftChars="200" w:hanging="200" w:hangingChars="200"/>
    </w:pPr>
    <w:rPr>
      <w:rFonts w:hAnsi="Times New Roman"/>
      <w:sz w:val="28"/>
      <w:szCs w:val="26"/>
    </w:rPr>
  </w:style>
  <w:style w:type="paragraph" w:styleId="74">
    <w:name w:val="toc 2"/>
    <w:basedOn w:val="1"/>
    <w:semiHidden/>
    <w:qFormat/>
    <w:uiPriority w:val="1"/>
    <w:pPr>
      <w:autoSpaceDE w:val="0"/>
      <w:autoSpaceDN w:val="0"/>
      <w:spacing w:before="158"/>
      <w:ind w:left="689" w:hanging="360"/>
    </w:pPr>
    <w:rPr>
      <w:lang w:eastAsia="en-US"/>
    </w:rPr>
  </w:style>
  <w:style w:type="paragraph" w:styleId="75">
    <w:name w:val="toc 9"/>
    <w:basedOn w:val="1"/>
    <w:next w:val="1"/>
    <w:autoRedefine/>
    <w:semiHidden/>
    <w:qFormat/>
    <w:uiPriority w:val="39"/>
    <w:pPr>
      <w:snapToGrid w:val="0"/>
      <w:spacing w:line="300" w:lineRule="auto"/>
      <w:ind w:left="2080" w:firstLine="200" w:firstLineChars="200"/>
    </w:pPr>
    <w:rPr>
      <w:rFonts w:ascii="Times New Roman" w:hAnsi="Times New Roman"/>
      <w:sz w:val="18"/>
      <w:szCs w:val="21"/>
    </w:rPr>
  </w:style>
  <w:style w:type="paragraph" w:styleId="76">
    <w:name w:val="Body Text 2"/>
    <w:basedOn w:val="1"/>
    <w:link w:val="213"/>
    <w:semiHidden/>
    <w:qFormat/>
    <w:uiPriority w:val="99"/>
    <w:pPr>
      <w:spacing w:after="120" w:line="480" w:lineRule="auto"/>
    </w:pPr>
    <w:rPr>
      <w:szCs w:val="20"/>
    </w:rPr>
  </w:style>
  <w:style w:type="paragraph" w:styleId="77">
    <w:name w:val="List 4"/>
    <w:basedOn w:val="1"/>
    <w:semiHidden/>
    <w:qFormat/>
    <w:uiPriority w:val="99"/>
    <w:pPr>
      <w:ind w:left="100" w:leftChars="600" w:hanging="200" w:hangingChars="200"/>
    </w:pPr>
    <w:rPr>
      <w:szCs w:val="20"/>
    </w:rPr>
  </w:style>
  <w:style w:type="paragraph" w:styleId="78">
    <w:name w:val="List Continue 2"/>
    <w:basedOn w:val="1"/>
    <w:semiHidden/>
    <w:qFormat/>
    <w:uiPriority w:val="99"/>
    <w:pPr>
      <w:spacing w:after="120"/>
      <w:ind w:left="840" w:leftChars="400"/>
    </w:pPr>
    <w:rPr>
      <w:szCs w:val="20"/>
    </w:rPr>
  </w:style>
  <w:style w:type="paragraph" w:styleId="79">
    <w:name w:val="Message Header"/>
    <w:basedOn w:val="1"/>
    <w:link w:val="206"/>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80">
    <w:name w:val="HTML Preformatted"/>
    <w:basedOn w:val="1"/>
    <w:link w:val="192"/>
    <w:semiHidden/>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81">
    <w:name w:val="Normal (Web)"/>
    <w:basedOn w:val="1"/>
    <w:link w:val="402"/>
    <w:qFormat/>
    <w:uiPriority w:val="99"/>
    <w:rPr>
      <w:rFonts w:ascii="Times New Roman" w:hAnsi="Times New Roman"/>
    </w:rPr>
  </w:style>
  <w:style w:type="paragraph" w:styleId="82">
    <w:name w:val="List Continue 3"/>
    <w:basedOn w:val="1"/>
    <w:semiHidden/>
    <w:qFormat/>
    <w:uiPriority w:val="99"/>
    <w:pPr>
      <w:spacing w:after="120"/>
      <w:ind w:left="1260" w:leftChars="600"/>
    </w:pPr>
    <w:rPr>
      <w:szCs w:val="20"/>
    </w:rPr>
  </w:style>
  <w:style w:type="paragraph" w:styleId="83">
    <w:name w:val="index 2"/>
    <w:basedOn w:val="1"/>
    <w:next w:val="1"/>
    <w:autoRedefine/>
    <w:semiHidden/>
    <w:qFormat/>
    <w:uiPriority w:val="99"/>
    <w:pPr>
      <w:snapToGrid w:val="0"/>
      <w:spacing w:line="300" w:lineRule="auto"/>
      <w:ind w:left="200" w:leftChars="200" w:firstLine="200" w:firstLineChars="200"/>
    </w:pPr>
    <w:rPr>
      <w:rFonts w:hAnsi="Times New Roman"/>
      <w:sz w:val="28"/>
      <w:szCs w:val="26"/>
    </w:rPr>
  </w:style>
  <w:style w:type="paragraph" w:styleId="84">
    <w:name w:val="Title"/>
    <w:basedOn w:val="1"/>
    <w:link w:val="201"/>
    <w:qFormat/>
    <w:uiPriority w:val="99"/>
    <w:pPr>
      <w:spacing w:before="240" w:after="60"/>
      <w:jc w:val="center"/>
      <w:outlineLvl w:val="0"/>
    </w:pPr>
    <w:rPr>
      <w:rFonts w:ascii="Arial" w:hAnsi="Arial"/>
      <w:b/>
      <w:bCs/>
      <w:sz w:val="32"/>
      <w:szCs w:val="32"/>
    </w:rPr>
  </w:style>
  <w:style w:type="paragraph" w:styleId="85">
    <w:name w:val="annotation subject"/>
    <w:basedOn w:val="28"/>
    <w:next w:val="28"/>
    <w:link w:val="187"/>
    <w:qFormat/>
    <w:uiPriority w:val="99"/>
    <w:rPr>
      <w:b/>
      <w:bCs/>
    </w:rPr>
  </w:style>
  <w:style w:type="paragraph" w:styleId="86">
    <w:name w:val="Body Text First Indent"/>
    <w:basedOn w:val="34"/>
    <w:link w:val="210"/>
    <w:semiHidden/>
    <w:qFormat/>
    <w:uiPriority w:val="99"/>
    <w:pPr>
      <w:ind w:firstLine="420" w:firstLineChars="100"/>
    </w:pPr>
  </w:style>
  <w:style w:type="paragraph" w:styleId="87">
    <w:name w:val="Body Text First Indent 2"/>
    <w:basedOn w:val="35"/>
    <w:link w:val="211"/>
    <w:semiHidden/>
    <w:qFormat/>
    <w:uiPriority w:val="99"/>
    <w:pPr>
      <w:ind w:firstLine="420" w:firstLineChars="200"/>
    </w:pPr>
  </w:style>
  <w:style w:type="table" w:styleId="89">
    <w:name w:val="Table Grid"/>
    <w:basedOn w:val="88"/>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semiHidden/>
    <w:unhideWhenUsed/>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0"/>
    <w:pPr>
      <w:widowControl w:val="0"/>
      <w:jc w:val="both"/>
    </w:pPr>
    <w:rPr>
      <w:rFonts w:ascii="Calibri" w:hAnsi="Calibri"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0"/>
    <w:pPr>
      <w:widowControl w:val="0"/>
      <w:jc w:val="both"/>
    </w:pPr>
    <w:rPr>
      <w:rFonts w:ascii="Calibri" w:hAnsi="Calibri" w:eastAsia="宋体" w:cs="Times New Roman"/>
      <w:kern w:val="0"/>
      <w:sz w:val="20"/>
      <w:szCs w:val="20"/>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0"/>
    <w:pPr>
      <w:widowControl w:val="0"/>
      <w:jc w:val="both"/>
    </w:pPr>
    <w:rPr>
      <w:rFonts w:ascii="Calibri" w:hAnsi="Calibri"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95">
    <w:name w:val="Table Classic 1"/>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2" w:space="0"/>
        <w:bottom w:val="single" w:color="000000" w:sz="12" w:space="0"/>
      </w:tblBorders>
      <w:tblCellMar>
        <w:top w:w="0" w:type="dxa"/>
        <w:left w:w="108" w:type="dxa"/>
        <w:bottom w:w="0" w:type="dxa"/>
        <w:right w:w="108" w:type="dxa"/>
      </w:tblCellMar>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0"/>
    <w:pPr>
      <w:widowControl w:val="0"/>
      <w:jc w:val="both"/>
    </w:pPr>
    <w:rPr>
      <w:rFonts w:ascii="Calibri" w:hAnsi="Calibri"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0"/>
    <w:pPr>
      <w:widowControl w:val="0"/>
      <w:jc w:val="both"/>
    </w:pPr>
    <w:rPr>
      <w:rFonts w:ascii="Calibri" w:hAnsi="Calibri"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0"/>
    <w:pPr>
      <w:widowControl w:val="0"/>
      <w:jc w:val="both"/>
    </w:pPr>
    <w:rPr>
      <w:rFonts w:ascii="Calibri" w:hAnsi="Calibri" w:eastAsia="宋体" w:cs="Times New Roman"/>
      <w:kern w:val="0"/>
      <w:sz w:val="20"/>
      <w:szCs w:val="20"/>
    </w:r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0"/>
    <w:pPr>
      <w:widowControl w:val="0"/>
      <w:jc w:val="both"/>
    </w:pPr>
    <w:rPr>
      <w:rFonts w:ascii="Calibri" w:hAnsi="Calibri" w:eastAsia="宋体" w:cs="Times New Roman"/>
      <w:kern w:val="0"/>
      <w:sz w:val="20"/>
      <w:szCs w:val="20"/>
    </w:r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0"/>
    <w:pPr>
      <w:widowControl w:val="0"/>
      <w:jc w:val="both"/>
    </w:pPr>
    <w:rPr>
      <w:rFonts w:ascii="Calibri" w:hAnsi="Calibri" w:eastAsia="宋体" w:cs="Times New Roman"/>
      <w:kern w:val="0"/>
      <w:sz w:val="20"/>
      <w:szCs w:val="20"/>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0"/>
    <w:pPr>
      <w:widowControl w:val="0"/>
      <w:jc w:val="both"/>
    </w:pPr>
    <w:rPr>
      <w:rFonts w:ascii="Calibri" w:hAnsi="Calibri" w:eastAsia="宋体" w:cs="Times New Roman"/>
      <w:kern w:val="0"/>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0"/>
    <w:pPr>
      <w:widowControl w:val="0"/>
      <w:jc w:val="both"/>
    </w:pPr>
    <w:rPr>
      <w:rFonts w:ascii="Calibri" w:hAnsi="Calibri" w:eastAsia="宋体" w:cs="Times New Roman"/>
      <w:kern w:val="0"/>
      <w:sz w:val="20"/>
      <w:szCs w:val="20"/>
    </w:r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0"/>
    <w:pPr>
      <w:widowControl w:val="0"/>
      <w:jc w:val="both"/>
    </w:pPr>
    <w:rPr>
      <w:rFonts w:ascii="Calibri" w:hAnsi="Calibri" w:eastAsia="宋体" w:cs="Times New Roman"/>
      <w:kern w:val="0"/>
      <w:sz w:val="20"/>
      <w:szCs w:val="20"/>
    </w:r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0"/>
    <w:pPr>
      <w:widowControl w:val="0"/>
      <w:jc w:val="both"/>
    </w:pPr>
    <w:rPr>
      <w:rFonts w:ascii="Calibri" w:hAnsi="Calibri"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0"/>
    <w:pPr>
      <w:widowControl w:val="0"/>
      <w:jc w:val="both"/>
    </w:pPr>
    <w:rPr>
      <w:rFonts w:ascii="Calibri" w:hAnsi="Calibri" w:eastAsia="宋体" w:cs="Times New Roman"/>
      <w:kern w:val="0"/>
      <w:sz w:val="20"/>
      <w:szCs w:val="20"/>
    </w:r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0"/>
    <w:pPr>
      <w:widowControl w:val="0"/>
      <w:jc w:val="both"/>
    </w:pPr>
    <w:rPr>
      <w:rFonts w:ascii="Calibri" w:hAnsi="Calibri"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0"/>
    <w:pPr>
      <w:widowControl w:val="0"/>
      <w:jc w:val="both"/>
    </w:pPr>
    <w:rPr>
      <w:rFonts w:ascii="Calibri" w:hAnsi="Calibri" w:eastAsia="宋体" w:cs="Times New Roman"/>
      <w:kern w:val="0"/>
      <w:sz w:val="20"/>
      <w:szCs w:val="20"/>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0"/>
    <w:pPr>
      <w:widowControl w:val="0"/>
      <w:jc w:val="both"/>
    </w:pPr>
    <w:rPr>
      <w:rFonts w:ascii="Calibri" w:hAnsi="Calibri"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0"/>
    <w:pPr>
      <w:widowControl w:val="0"/>
      <w:jc w:val="both"/>
    </w:pPr>
    <w:rPr>
      <w:rFonts w:ascii="Calibri" w:hAnsi="Calibri" w:eastAsia="宋体" w:cs="Times New Roman"/>
      <w:b/>
      <w:bCs/>
      <w:kern w:val="0"/>
      <w:sz w:val="20"/>
      <w:szCs w:val="20"/>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0"/>
    <w:pPr>
      <w:widowControl w:val="0"/>
      <w:jc w:val="both"/>
    </w:pPr>
    <w:rPr>
      <w:rFonts w:ascii="Calibri" w:hAnsi="Calibri"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0"/>
    <w:pPr>
      <w:widowControl w:val="0"/>
      <w:jc w:val="both"/>
    </w:pPr>
    <w:rPr>
      <w:rFonts w:ascii="Calibri" w:hAnsi="Calibri" w:eastAsia="宋体" w:cs="Times New Roman"/>
      <w:kern w:val="0"/>
      <w:sz w:val="20"/>
      <w:szCs w:val="20"/>
    </w:r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0"/>
    <w:pPr>
      <w:widowControl w:val="0"/>
      <w:jc w:val="both"/>
    </w:pPr>
    <w:rPr>
      <w:rFonts w:ascii="Calibri" w:hAnsi="Calibri"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0"/>
    <w:pPr>
      <w:widowControl w:val="0"/>
      <w:jc w:val="both"/>
    </w:pPr>
    <w:rPr>
      <w:rFonts w:ascii="Calibri" w:hAnsi="Calibri" w:eastAsia="宋体" w:cs="Times New Roman"/>
      <w:kern w:val="0"/>
      <w:sz w:val="20"/>
      <w:szCs w:val="20"/>
    </w:rPr>
    <w:tblPr>
      <w:tblBorders>
        <w:insideH w:val="single" w:color="000000" w:sz="6" w:space="0"/>
        <w:insideV w:val="single" w:color="000000" w:sz="6" w:space="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0"/>
    <w:pPr>
      <w:widowControl w:val="0"/>
      <w:jc w:val="both"/>
    </w:pPr>
    <w:rPr>
      <w:rFonts w:ascii="Calibri" w:hAnsi="Calibri"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0"/>
    <w:pPr>
      <w:widowControl w:val="0"/>
      <w:jc w:val="both"/>
    </w:pPr>
    <w:rPr>
      <w:rFonts w:ascii="Calibri" w:hAnsi="Calibri"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0"/>
    <w:pPr>
      <w:widowControl w:val="0"/>
      <w:jc w:val="both"/>
    </w:pPr>
    <w:rPr>
      <w:rFonts w:ascii="Calibri" w:hAnsi="Calibri"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0"/>
    <w:pPr>
      <w:widowControl w:val="0"/>
      <w:jc w:val="both"/>
    </w:pPr>
    <w:rPr>
      <w:rFonts w:ascii="Calibri" w:hAnsi="Calibri"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30">
    <w:name w:val="Table Web 2"/>
    <w:basedOn w:val="88"/>
    <w:semiHidden/>
    <w:unhideWhenUsed/>
    <w:qFormat/>
    <w:uiPriority w:val="0"/>
    <w:pPr>
      <w:widowControl w:val="0"/>
      <w:jc w:val="both"/>
    </w:pPr>
    <w:rPr>
      <w:rFonts w:ascii="Calibri" w:hAnsi="Calibri"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31">
    <w:name w:val="Table Web 3"/>
    <w:basedOn w:val="88"/>
    <w:semiHidden/>
    <w:unhideWhenUsed/>
    <w:qFormat/>
    <w:uiPriority w:val="0"/>
    <w:pPr>
      <w:widowControl w:val="0"/>
      <w:jc w:val="both"/>
    </w:pPr>
    <w:rPr>
      <w:rFonts w:ascii="Calibri" w:hAnsi="Calibri"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132">
    <w:name w:val="Table Professional"/>
    <w:basedOn w:val="88"/>
    <w:semiHidden/>
    <w:unhideWhenUsed/>
    <w:qFormat/>
    <w:uiPriority w:val="0"/>
    <w:pPr>
      <w:widowControl w:val="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character" w:styleId="134">
    <w:name w:val="Strong"/>
    <w:qFormat/>
    <w:uiPriority w:val="0"/>
    <w:rPr>
      <w:b/>
      <w:bCs/>
    </w:rPr>
  </w:style>
  <w:style w:type="character" w:styleId="135">
    <w:name w:val="page number"/>
    <w:basedOn w:val="133"/>
    <w:semiHidden/>
    <w:qFormat/>
    <w:uiPriority w:val="0"/>
  </w:style>
  <w:style w:type="character" w:styleId="136">
    <w:name w:val="FollowedHyperlink"/>
    <w:semiHidden/>
    <w:uiPriority w:val="0"/>
    <w:rPr>
      <w:color w:val="800080"/>
      <w:u w:val="single"/>
    </w:rPr>
  </w:style>
  <w:style w:type="character" w:styleId="137">
    <w:name w:val="Emphasis"/>
    <w:qFormat/>
    <w:uiPriority w:val="0"/>
    <w:rPr>
      <w:i/>
      <w:iCs/>
    </w:rPr>
  </w:style>
  <w:style w:type="character" w:styleId="138">
    <w:name w:val="line number"/>
    <w:basedOn w:val="133"/>
    <w:semiHidden/>
    <w:qFormat/>
    <w:uiPriority w:val="0"/>
  </w:style>
  <w:style w:type="character" w:styleId="139">
    <w:name w:val="HTML Definition"/>
    <w:semiHidden/>
    <w:qFormat/>
    <w:uiPriority w:val="0"/>
    <w:rPr>
      <w:i/>
      <w:iCs/>
    </w:rPr>
  </w:style>
  <w:style w:type="character" w:styleId="140">
    <w:name w:val="HTML Typewriter"/>
    <w:semiHidden/>
    <w:uiPriority w:val="0"/>
    <w:rPr>
      <w:rFonts w:hint="default" w:ascii="Courier New" w:hAnsi="Courier New" w:eastAsia="Times New Roman" w:cs="Courier New"/>
      <w:sz w:val="24"/>
      <w:szCs w:val="24"/>
    </w:rPr>
  </w:style>
  <w:style w:type="character" w:styleId="141">
    <w:name w:val="HTML Acronym"/>
    <w:basedOn w:val="133"/>
    <w:semiHidden/>
    <w:qFormat/>
    <w:uiPriority w:val="0"/>
  </w:style>
  <w:style w:type="character" w:styleId="142">
    <w:name w:val="HTML Variable"/>
    <w:semiHidden/>
    <w:qFormat/>
    <w:uiPriority w:val="0"/>
    <w:rPr>
      <w:i/>
      <w:iCs/>
    </w:rPr>
  </w:style>
  <w:style w:type="character" w:styleId="143">
    <w:name w:val="Hyperlink"/>
    <w:semiHidden/>
    <w:qFormat/>
    <w:uiPriority w:val="99"/>
    <w:rPr>
      <w:color w:val="0000FF"/>
      <w:u w:val="single"/>
    </w:rPr>
  </w:style>
  <w:style w:type="character" w:styleId="144">
    <w:name w:val="HTML Code"/>
    <w:semiHidden/>
    <w:uiPriority w:val="0"/>
    <w:rPr>
      <w:rFonts w:hint="default" w:ascii="Courier New" w:hAnsi="Courier New" w:eastAsia="Times New Roman" w:cs="Courier New"/>
      <w:sz w:val="24"/>
      <w:szCs w:val="24"/>
    </w:rPr>
  </w:style>
  <w:style w:type="character" w:styleId="145">
    <w:name w:val="annotation reference"/>
    <w:semiHidden/>
    <w:uiPriority w:val="99"/>
    <w:rPr>
      <w:sz w:val="21"/>
      <w:szCs w:val="21"/>
    </w:rPr>
  </w:style>
  <w:style w:type="character" w:styleId="146">
    <w:name w:val="HTML Cite"/>
    <w:semiHidden/>
    <w:qFormat/>
    <w:uiPriority w:val="0"/>
    <w:rPr>
      <w:i/>
      <w:iCs/>
    </w:rPr>
  </w:style>
  <w:style w:type="character" w:styleId="147">
    <w:name w:val="footnote reference"/>
    <w:semiHidden/>
    <w:uiPriority w:val="99"/>
    <w:rPr>
      <w:vertAlign w:val="superscript"/>
    </w:rPr>
  </w:style>
  <w:style w:type="character" w:styleId="148">
    <w:name w:val="HTML Keyboard"/>
    <w:semiHidden/>
    <w:uiPriority w:val="0"/>
    <w:rPr>
      <w:rFonts w:hint="default" w:ascii="Courier New" w:hAnsi="Courier New" w:eastAsia="Times New Roman" w:cs="Courier New"/>
      <w:sz w:val="24"/>
      <w:szCs w:val="24"/>
    </w:rPr>
  </w:style>
  <w:style w:type="character" w:styleId="149">
    <w:name w:val="HTML Sample"/>
    <w:semiHidden/>
    <w:uiPriority w:val="0"/>
    <w:rPr>
      <w:rFonts w:hint="default" w:ascii="Courier New" w:hAnsi="Courier New" w:eastAsia="Times New Roman" w:cs="Courier New"/>
    </w:rPr>
  </w:style>
  <w:style w:type="character" w:customStyle="1" w:styleId="150">
    <w:name w:val="页眉 Char"/>
    <w:basedOn w:val="133"/>
    <w:link w:val="57"/>
    <w:semiHidden/>
    <w:uiPriority w:val="99"/>
    <w:rPr>
      <w:sz w:val="18"/>
      <w:szCs w:val="18"/>
    </w:rPr>
  </w:style>
  <w:style w:type="character" w:customStyle="1" w:styleId="151">
    <w:name w:val="页脚 Char"/>
    <w:basedOn w:val="133"/>
    <w:link w:val="55"/>
    <w:uiPriority w:val="99"/>
    <w:rPr>
      <w:sz w:val="18"/>
      <w:szCs w:val="18"/>
    </w:rPr>
  </w:style>
  <w:style w:type="paragraph" w:customStyle="1" w:styleId="152">
    <w:name w:val="01表头大标题"/>
    <w:basedOn w:val="1"/>
    <w:next w:val="1"/>
    <w:qFormat/>
    <w:uiPriority w:val="0"/>
    <w:pPr>
      <w:pageBreakBefore/>
      <w:spacing w:line="440" w:lineRule="exact"/>
      <w:jc w:val="center"/>
      <w:outlineLvl w:val="0"/>
    </w:pPr>
    <w:rPr>
      <w:rFonts w:ascii="Times New Roman" w:hAnsi="Times New Roman" w:eastAsia="黑体" w:cs="Courier New"/>
      <w:sz w:val="30"/>
      <w:szCs w:val="21"/>
    </w:rPr>
  </w:style>
  <w:style w:type="character" w:customStyle="1" w:styleId="153">
    <w:name w:val="07表格内容 Char"/>
    <w:link w:val="154"/>
    <w:qFormat/>
    <w:locked/>
    <w:uiPriority w:val="0"/>
    <w:rPr>
      <w:rFonts w:ascii="Times New Roman" w:hAnsi="Times New Roman"/>
      <w:szCs w:val="24"/>
    </w:rPr>
  </w:style>
  <w:style w:type="paragraph" w:customStyle="1" w:styleId="154">
    <w:name w:val="07表格内容"/>
    <w:basedOn w:val="45"/>
    <w:next w:val="45"/>
    <w:link w:val="153"/>
    <w:qFormat/>
    <w:uiPriority w:val="0"/>
    <w:pPr>
      <w:adjustRightInd w:val="0"/>
      <w:jc w:val="center"/>
    </w:pPr>
    <w:rPr>
      <w:rFonts w:ascii="Times New Roman" w:hAnsi="Times New Roman" w:eastAsiaTheme="minorEastAsia" w:cstheme="minorBidi"/>
      <w:szCs w:val="24"/>
    </w:rPr>
  </w:style>
  <w:style w:type="character" w:customStyle="1" w:styleId="155">
    <w:name w:val="05正文 Char"/>
    <w:link w:val="156"/>
    <w:qFormat/>
    <w:locked/>
    <w:uiPriority w:val="0"/>
    <w:rPr>
      <w:rFonts w:ascii="Times New Roman" w:hAnsi="Times New Roman" w:cs="Courier New"/>
      <w:sz w:val="24"/>
      <w:szCs w:val="21"/>
    </w:rPr>
  </w:style>
  <w:style w:type="paragraph" w:customStyle="1" w:styleId="156">
    <w:name w:val="05正文"/>
    <w:link w:val="155"/>
    <w:qFormat/>
    <w:uiPriority w:val="0"/>
    <w:pPr>
      <w:snapToGrid w:val="0"/>
      <w:spacing w:line="520" w:lineRule="exact"/>
      <w:ind w:firstLine="200" w:firstLineChars="200"/>
    </w:pPr>
    <w:rPr>
      <w:rFonts w:ascii="Times New Roman" w:hAnsi="Times New Roman" w:cs="Courier New" w:eastAsiaTheme="minorEastAsia"/>
      <w:kern w:val="2"/>
      <w:sz w:val="24"/>
      <w:szCs w:val="21"/>
      <w:lang w:val="en-US" w:eastAsia="zh-CN" w:bidi="ar-SA"/>
    </w:rPr>
  </w:style>
  <w:style w:type="paragraph" w:customStyle="1" w:styleId="157">
    <w:name w:val="03表格内1级标题"/>
    <w:basedOn w:val="45"/>
    <w:next w:val="156"/>
    <w:qFormat/>
    <w:uiPriority w:val="0"/>
    <w:pPr>
      <w:spacing w:line="520" w:lineRule="exact"/>
    </w:pPr>
    <w:rPr>
      <w:rFonts w:ascii="Times New Roman" w:hAnsi="Times New Roman" w:eastAsia="楷体" w:cs="Times New Roman"/>
      <w:b/>
    </w:rPr>
  </w:style>
  <w:style w:type="paragraph" w:customStyle="1" w:styleId="158">
    <w:name w:val="02表格内0级标题"/>
    <w:basedOn w:val="156"/>
    <w:next w:val="156"/>
    <w:qFormat/>
    <w:uiPriority w:val="0"/>
    <w:pPr>
      <w:spacing w:beforeLines="50"/>
      <w:ind w:firstLine="0" w:firstLineChars="0"/>
    </w:pPr>
    <w:rPr>
      <w:b/>
    </w:rPr>
  </w:style>
  <w:style w:type="character" w:customStyle="1" w:styleId="159">
    <w:name w:val="7表格内容 Char Char"/>
    <w:link w:val="160"/>
    <w:qFormat/>
    <w:locked/>
    <w:uiPriority w:val="0"/>
    <w:rPr>
      <w:rFonts w:ascii="Times New Roman" w:hAnsi="Times New Roman"/>
    </w:rPr>
  </w:style>
  <w:style w:type="paragraph" w:customStyle="1" w:styleId="160">
    <w:name w:val="7表格内容"/>
    <w:basedOn w:val="1"/>
    <w:link w:val="159"/>
    <w:uiPriority w:val="0"/>
    <w:pPr>
      <w:jc w:val="center"/>
    </w:pPr>
    <w:rPr>
      <w:rFonts w:ascii="Times New Roman" w:hAnsi="Times New Roman" w:eastAsiaTheme="minorEastAsia" w:cstheme="minorBidi"/>
    </w:rPr>
  </w:style>
  <w:style w:type="character" w:customStyle="1" w:styleId="161">
    <w:name w:val="6表头 Char Char"/>
    <w:link w:val="162"/>
    <w:qFormat/>
    <w:locked/>
    <w:uiPriority w:val="0"/>
    <w:rPr>
      <w:rFonts w:ascii="Times New Roman" w:hAnsi="Times New Roman" w:eastAsia="黑体"/>
      <w:sz w:val="24"/>
    </w:rPr>
  </w:style>
  <w:style w:type="paragraph" w:customStyle="1" w:styleId="162">
    <w:name w:val="6表头"/>
    <w:basedOn w:val="1"/>
    <w:link w:val="161"/>
    <w:uiPriority w:val="0"/>
    <w:pPr>
      <w:spacing w:line="520" w:lineRule="exact"/>
      <w:ind w:firstLine="200" w:firstLineChars="200"/>
    </w:pPr>
    <w:rPr>
      <w:rFonts w:ascii="Times New Roman" w:hAnsi="Times New Roman" w:eastAsia="黑体" w:cstheme="minorBidi"/>
    </w:rPr>
  </w:style>
  <w:style w:type="character" w:customStyle="1" w:styleId="163">
    <w:name w:val="纯文本 Char"/>
    <w:basedOn w:val="133"/>
    <w:link w:val="45"/>
    <w:uiPriority w:val="99"/>
    <w:rPr>
      <w:rFonts w:ascii="宋体" w:hAnsi="Courier New" w:eastAsia="宋体" w:cs="Courier New"/>
      <w:szCs w:val="21"/>
    </w:rPr>
  </w:style>
  <w:style w:type="character" w:customStyle="1" w:styleId="164">
    <w:name w:val="04正文 Char"/>
    <w:link w:val="165"/>
    <w:semiHidden/>
    <w:locked/>
    <w:uiPriority w:val="0"/>
    <w:rPr>
      <w:rFonts w:ascii="Times New Roman" w:hAnsi="Times New Roman" w:cs="Courier New"/>
      <w:szCs w:val="21"/>
    </w:rPr>
  </w:style>
  <w:style w:type="paragraph" w:customStyle="1" w:styleId="165">
    <w:name w:val="04正文"/>
    <w:link w:val="164"/>
    <w:semiHidden/>
    <w:uiPriority w:val="0"/>
    <w:pPr>
      <w:snapToGrid w:val="0"/>
      <w:spacing w:line="440" w:lineRule="exact"/>
      <w:ind w:firstLine="200" w:firstLineChars="200"/>
    </w:pPr>
    <w:rPr>
      <w:rFonts w:ascii="Times New Roman" w:hAnsi="Times New Roman" w:cs="Courier New" w:eastAsiaTheme="minorEastAsia"/>
      <w:kern w:val="2"/>
      <w:sz w:val="21"/>
      <w:szCs w:val="21"/>
      <w:lang w:val="en-US" w:eastAsia="zh-CN" w:bidi="ar-SA"/>
    </w:rPr>
  </w:style>
  <w:style w:type="character" w:customStyle="1" w:styleId="166">
    <w:name w:val="5正文 Char"/>
    <w:link w:val="167"/>
    <w:qFormat/>
    <w:locked/>
    <w:uiPriority w:val="0"/>
    <w:rPr>
      <w:rFonts w:ascii="Times New Roman" w:hAnsi="Times New Roman"/>
      <w:sz w:val="24"/>
    </w:rPr>
  </w:style>
  <w:style w:type="paragraph" w:customStyle="1" w:styleId="167">
    <w:name w:val="5正文"/>
    <w:basedOn w:val="1"/>
    <w:link w:val="166"/>
    <w:qFormat/>
    <w:uiPriority w:val="0"/>
    <w:pPr>
      <w:spacing w:line="520" w:lineRule="exact"/>
      <w:ind w:firstLine="200" w:firstLineChars="200"/>
    </w:pPr>
    <w:rPr>
      <w:rFonts w:ascii="Times New Roman" w:hAnsi="Times New Roman" w:eastAsiaTheme="minorEastAsia" w:cstheme="minorBidi"/>
    </w:rPr>
  </w:style>
  <w:style w:type="character" w:customStyle="1" w:styleId="168">
    <w:name w:val="批注框文本 Char"/>
    <w:basedOn w:val="133"/>
    <w:link w:val="54"/>
    <w:semiHidden/>
    <w:uiPriority w:val="99"/>
    <w:rPr>
      <w:rFonts w:ascii="Calibri" w:hAnsi="Calibri" w:eastAsia="宋体" w:cs="Times New Roman"/>
      <w:sz w:val="18"/>
      <w:szCs w:val="18"/>
    </w:rPr>
  </w:style>
  <w:style w:type="character" w:customStyle="1" w:styleId="169">
    <w:name w:val="标题 1 Char"/>
    <w:basedOn w:val="133"/>
    <w:link w:val="3"/>
    <w:uiPriority w:val="0"/>
    <w:rPr>
      <w:rFonts w:ascii="Calibri" w:hAnsi="Calibri" w:eastAsia="宋体" w:cs="Times New Roman"/>
      <w:b/>
      <w:bCs/>
      <w:kern w:val="44"/>
      <w:sz w:val="44"/>
      <w:szCs w:val="44"/>
    </w:rPr>
  </w:style>
  <w:style w:type="character" w:customStyle="1" w:styleId="170">
    <w:name w:val="标题 2 Char"/>
    <w:basedOn w:val="133"/>
    <w:link w:val="4"/>
    <w:uiPriority w:val="0"/>
    <w:rPr>
      <w:rFonts w:ascii="Arial" w:hAnsi="Arial" w:eastAsia="黑体" w:cs="Times New Roman"/>
      <w:b/>
      <w:bCs/>
      <w:sz w:val="32"/>
      <w:szCs w:val="32"/>
    </w:rPr>
  </w:style>
  <w:style w:type="character" w:customStyle="1" w:styleId="171">
    <w:name w:val="标题 3 Char"/>
    <w:basedOn w:val="133"/>
    <w:link w:val="5"/>
    <w:uiPriority w:val="0"/>
    <w:rPr>
      <w:rFonts w:ascii="Calibri" w:hAnsi="Calibri" w:eastAsia="宋体" w:cs="Times New Roman"/>
      <w:b/>
      <w:bCs/>
      <w:sz w:val="32"/>
      <w:szCs w:val="32"/>
    </w:rPr>
  </w:style>
  <w:style w:type="character" w:customStyle="1" w:styleId="172">
    <w:name w:val="标题 4 Char"/>
    <w:basedOn w:val="133"/>
    <w:link w:val="6"/>
    <w:uiPriority w:val="0"/>
    <w:rPr>
      <w:rFonts w:ascii="Cambria" w:hAnsi="Cambria" w:eastAsia="宋体" w:cs="Times New Roman"/>
      <w:b/>
      <w:bCs/>
      <w:sz w:val="28"/>
      <w:szCs w:val="28"/>
    </w:rPr>
  </w:style>
  <w:style w:type="character" w:customStyle="1" w:styleId="173">
    <w:name w:val="标题 5 Char"/>
    <w:basedOn w:val="133"/>
    <w:link w:val="7"/>
    <w:uiPriority w:val="0"/>
    <w:rPr>
      <w:rFonts w:ascii="Calibri" w:hAnsi="Calibri" w:eastAsia="宋体" w:cs="Times New Roman"/>
      <w:b/>
      <w:bCs/>
      <w:sz w:val="28"/>
      <w:szCs w:val="28"/>
    </w:rPr>
  </w:style>
  <w:style w:type="character" w:customStyle="1" w:styleId="174">
    <w:name w:val="标题 6 Char"/>
    <w:basedOn w:val="133"/>
    <w:link w:val="8"/>
    <w:uiPriority w:val="0"/>
    <w:rPr>
      <w:rFonts w:ascii="Arial" w:hAnsi="Arial" w:eastAsia="黑体" w:cs="Times New Roman"/>
      <w:b/>
      <w:bCs/>
      <w:sz w:val="24"/>
      <w:szCs w:val="24"/>
    </w:rPr>
  </w:style>
  <w:style w:type="character" w:customStyle="1" w:styleId="175">
    <w:name w:val="标题 7 Char"/>
    <w:basedOn w:val="133"/>
    <w:link w:val="9"/>
    <w:uiPriority w:val="99"/>
    <w:rPr>
      <w:rFonts w:ascii="Calibri" w:hAnsi="Calibri" w:eastAsia="宋体" w:cs="Times New Roman"/>
      <w:b/>
      <w:bCs/>
      <w:sz w:val="24"/>
      <w:szCs w:val="24"/>
    </w:rPr>
  </w:style>
  <w:style w:type="character" w:customStyle="1" w:styleId="176">
    <w:name w:val="标题 8 Char"/>
    <w:basedOn w:val="133"/>
    <w:link w:val="10"/>
    <w:uiPriority w:val="99"/>
    <w:rPr>
      <w:rFonts w:ascii="Arial" w:hAnsi="Arial" w:eastAsia="黑体" w:cs="Times New Roman"/>
      <w:sz w:val="24"/>
      <w:szCs w:val="24"/>
    </w:rPr>
  </w:style>
  <w:style w:type="character" w:customStyle="1" w:styleId="177">
    <w:name w:val="标题 9 Char"/>
    <w:basedOn w:val="133"/>
    <w:link w:val="11"/>
    <w:uiPriority w:val="99"/>
    <w:rPr>
      <w:rFonts w:ascii="Arial" w:hAnsi="Arial" w:eastAsia="黑体" w:cs="Times New Roman"/>
      <w:szCs w:val="21"/>
    </w:rPr>
  </w:style>
  <w:style w:type="character" w:customStyle="1" w:styleId="178">
    <w:name w:val="文档结构图 Char"/>
    <w:basedOn w:val="133"/>
    <w:link w:val="26"/>
    <w:semiHidden/>
    <w:uiPriority w:val="99"/>
    <w:rPr>
      <w:rFonts w:ascii="宋体" w:hAnsi="Calibri" w:eastAsia="宋体" w:cs="Times New Roman"/>
      <w:sz w:val="18"/>
      <w:szCs w:val="18"/>
    </w:rPr>
  </w:style>
  <w:style w:type="paragraph" w:customStyle="1" w:styleId="179">
    <w:name w:val="04表格内2级标题"/>
    <w:basedOn w:val="45"/>
    <w:next w:val="156"/>
    <w:qFormat/>
    <w:uiPriority w:val="0"/>
    <w:pPr>
      <w:spacing w:line="520" w:lineRule="exact"/>
    </w:pPr>
    <w:rPr>
      <w:rFonts w:ascii="Times New Roman" w:hAnsi="Times New Roman" w:cs="Times New Roman"/>
    </w:rPr>
  </w:style>
  <w:style w:type="character" w:customStyle="1" w:styleId="180">
    <w:name w:val="05表头 Char"/>
    <w:link w:val="181"/>
    <w:qFormat/>
    <w:locked/>
    <w:uiPriority w:val="0"/>
    <w:rPr>
      <w:rFonts w:ascii="Times New Roman" w:hAnsi="Times New Roman" w:cs="Courier New"/>
      <w:b/>
      <w:szCs w:val="24"/>
    </w:rPr>
  </w:style>
  <w:style w:type="paragraph" w:customStyle="1" w:styleId="181">
    <w:name w:val="05表头"/>
    <w:basedOn w:val="1"/>
    <w:next w:val="1"/>
    <w:link w:val="180"/>
    <w:semiHidden/>
    <w:uiPriority w:val="0"/>
    <w:pPr>
      <w:pageBreakBefore/>
      <w:spacing w:line="400" w:lineRule="exact"/>
      <w:ind w:firstLine="200" w:firstLineChars="200"/>
    </w:pPr>
    <w:rPr>
      <w:rFonts w:ascii="Times New Roman" w:hAnsi="Times New Roman" w:cs="Courier New" w:eastAsiaTheme="minorEastAsia"/>
      <w:b/>
    </w:rPr>
  </w:style>
  <w:style w:type="paragraph" w:customStyle="1" w:styleId="182">
    <w:name w:val="06表头"/>
    <w:basedOn w:val="45"/>
    <w:next w:val="45"/>
    <w:link w:val="183"/>
    <w:qFormat/>
    <w:uiPriority w:val="0"/>
    <w:pPr>
      <w:spacing w:line="400" w:lineRule="exact"/>
      <w:ind w:firstLine="200" w:firstLineChars="200"/>
    </w:pPr>
    <w:rPr>
      <w:rFonts w:ascii="Times New Roman" w:hAnsi="Times New Roman" w:eastAsia="黑体" w:cs="Times New Roman"/>
      <w:szCs w:val="24"/>
    </w:rPr>
  </w:style>
  <w:style w:type="character" w:customStyle="1" w:styleId="183">
    <w:name w:val="06表头 Char"/>
    <w:link w:val="182"/>
    <w:qFormat/>
    <w:locked/>
    <w:uiPriority w:val="0"/>
    <w:rPr>
      <w:rFonts w:ascii="Times New Roman" w:hAnsi="Times New Roman" w:eastAsia="黑体" w:cs="Times New Roman"/>
      <w:sz w:val="24"/>
      <w:szCs w:val="24"/>
    </w:rPr>
  </w:style>
  <w:style w:type="paragraph" w:customStyle="1" w:styleId="184">
    <w:name w:val="03表格内2级标题"/>
    <w:basedOn w:val="45"/>
    <w:next w:val="165"/>
    <w:semiHidden/>
    <w:uiPriority w:val="0"/>
    <w:pPr>
      <w:snapToGrid w:val="0"/>
      <w:spacing w:line="440" w:lineRule="exact"/>
    </w:pPr>
    <w:rPr>
      <w:rFonts w:ascii="Times New Roman" w:hAnsi="Times New Roman" w:cs="Times New Roman"/>
    </w:rPr>
  </w:style>
  <w:style w:type="paragraph" w:customStyle="1" w:styleId="185">
    <w:name w:val="04表格内1级标题"/>
    <w:basedOn w:val="45"/>
    <w:next w:val="165"/>
    <w:uiPriority w:val="0"/>
    <w:pPr>
      <w:snapToGrid w:val="0"/>
      <w:spacing w:line="480" w:lineRule="exact"/>
    </w:pPr>
    <w:rPr>
      <w:rFonts w:ascii="Times New Roman" w:hAnsi="Times New Roman" w:cs="Times New Roman"/>
      <w:b/>
    </w:rPr>
  </w:style>
  <w:style w:type="character" w:customStyle="1" w:styleId="186">
    <w:name w:val="批注文字 Char"/>
    <w:basedOn w:val="133"/>
    <w:link w:val="28"/>
    <w:qFormat/>
    <w:uiPriority w:val="0"/>
    <w:rPr>
      <w:rFonts w:ascii="Calibri" w:hAnsi="Calibri" w:eastAsia="宋体" w:cs="Times New Roman"/>
    </w:rPr>
  </w:style>
  <w:style w:type="character" w:customStyle="1" w:styleId="187">
    <w:name w:val="批注主题 Char"/>
    <w:basedOn w:val="186"/>
    <w:link w:val="85"/>
    <w:uiPriority w:val="99"/>
    <w:rPr>
      <w:b/>
      <w:bCs/>
    </w:rPr>
  </w:style>
  <w:style w:type="character" w:customStyle="1" w:styleId="188">
    <w:name w:val="HTML 地址 Char"/>
    <w:basedOn w:val="133"/>
    <w:link w:val="41"/>
    <w:semiHidden/>
    <w:uiPriority w:val="0"/>
    <w:rPr>
      <w:rFonts w:ascii="Calibri" w:hAnsi="Calibri" w:eastAsia="宋体" w:cs="Times New Roman"/>
      <w:i/>
      <w:iCs/>
      <w:szCs w:val="20"/>
    </w:rPr>
  </w:style>
  <w:style w:type="character" w:customStyle="1" w:styleId="189">
    <w:name w:val="标题 3 Char2"/>
    <w:semiHidden/>
    <w:uiPriority w:val="0"/>
    <w:rPr>
      <w:rFonts w:hint="eastAsia" w:ascii="宋体" w:hAnsi="宋体" w:eastAsia="宋体" w:cs="Times New Roman"/>
      <w:b/>
      <w:bCs/>
      <w:kern w:val="2"/>
      <w:sz w:val="32"/>
      <w:szCs w:val="32"/>
    </w:rPr>
  </w:style>
  <w:style w:type="character" w:customStyle="1" w:styleId="190">
    <w:name w:val="标题 5 Char1"/>
    <w:semiHidden/>
    <w:uiPriority w:val="0"/>
    <w:rPr>
      <w:rFonts w:hint="eastAsia" w:ascii="宋体" w:hAnsi="宋体" w:eastAsia="宋体" w:cs="Times New Roman"/>
      <w:b/>
      <w:bCs/>
      <w:kern w:val="2"/>
      <w:sz w:val="28"/>
      <w:szCs w:val="28"/>
    </w:rPr>
  </w:style>
  <w:style w:type="character" w:customStyle="1" w:styleId="191">
    <w:name w:val="标题 6 Char1"/>
    <w:semiHidden/>
    <w:uiPriority w:val="0"/>
    <w:rPr>
      <w:rFonts w:hint="default" w:ascii="Cambria" w:hAnsi="Cambria" w:eastAsia="宋体" w:cs="Times New Roman"/>
      <w:b/>
      <w:bCs/>
      <w:kern w:val="2"/>
      <w:sz w:val="24"/>
      <w:szCs w:val="24"/>
    </w:rPr>
  </w:style>
  <w:style w:type="character" w:customStyle="1" w:styleId="192">
    <w:name w:val="HTML 预设格式 Char"/>
    <w:basedOn w:val="133"/>
    <w:link w:val="80"/>
    <w:semiHidden/>
    <w:uiPriority w:val="99"/>
    <w:rPr>
      <w:rFonts w:ascii="Courier New" w:hAnsi="Courier New" w:eastAsia="宋体" w:cs="Times New Roman"/>
      <w:sz w:val="20"/>
      <w:szCs w:val="20"/>
    </w:rPr>
  </w:style>
  <w:style w:type="character" w:customStyle="1" w:styleId="193">
    <w:name w:val="标题 7 Char1"/>
    <w:semiHidden/>
    <w:uiPriority w:val="0"/>
    <w:rPr>
      <w:rFonts w:hint="eastAsia" w:ascii="宋体" w:hAnsi="宋体" w:eastAsia="宋体" w:cs="Times New Roman"/>
      <w:b/>
      <w:bCs/>
      <w:kern w:val="2"/>
      <w:sz w:val="24"/>
      <w:szCs w:val="24"/>
    </w:rPr>
  </w:style>
  <w:style w:type="paragraph" w:customStyle="1" w:styleId="194">
    <w:name w:val="目录 21"/>
    <w:basedOn w:val="1"/>
    <w:next w:val="1"/>
    <w:autoRedefine/>
    <w:semiHidden/>
    <w:qFormat/>
    <w:uiPriority w:val="39"/>
    <w:pPr>
      <w:spacing w:line="480" w:lineRule="exact"/>
      <w:ind w:left="200" w:leftChars="200"/>
    </w:pPr>
    <w:rPr>
      <w:rFonts w:ascii="Times New Roman" w:hAnsi="Times New Roman"/>
      <w:szCs w:val="20"/>
    </w:rPr>
  </w:style>
  <w:style w:type="character" w:customStyle="1" w:styleId="195">
    <w:name w:val="正文缩进 Char1"/>
    <w:basedOn w:val="133"/>
    <w:link w:val="21"/>
    <w:qFormat/>
    <w:locked/>
    <w:uiPriority w:val="0"/>
    <w:rPr>
      <w:rFonts w:ascii="Calibri" w:hAnsi="Calibri" w:eastAsia="宋体" w:cs="Times New Roman"/>
      <w:kern w:val="0"/>
      <w:sz w:val="20"/>
      <w:szCs w:val="20"/>
    </w:rPr>
  </w:style>
  <w:style w:type="character" w:customStyle="1" w:styleId="196">
    <w:name w:val="脚注文本 Char"/>
    <w:basedOn w:val="133"/>
    <w:link w:val="67"/>
    <w:semiHidden/>
    <w:qFormat/>
    <w:uiPriority w:val="99"/>
    <w:rPr>
      <w:rFonts w:ascii="Calibri" w:hAnsi="Calibri" w:eastAsia="宋体" w:cs="Times New Roman"/>
      <w:sz w:val="18"/>
      <w:szCs w:val="18"/>
    </w:rPr>
  </w:style>
  <w:style w:type="character" w:customStyle="1" w:styleId="197">
    <w:name w:val="页眉 Char1"/>
    <w:semiHidden/>
    <w:qFormat/>
    <w:uiPriority w:val="99"/>
    <w:rPr>
      <w:kern w:val="2"/>
      <w:sz w:val="18"/>
      <w:szCs w:val="18"/>
    </w:rPr>
  </w:style>
  <w:style w:type="character" w:customStyle="1" w:styleId="198">
    <w:name w:val="题注 Char"/>
    <w:link w:val="22"/>
    <w:qFormat/>
    <w:locked/>
    <w:uiPriority w:val="0"/>
    <w:rPr>
      <w:rFonts w:ascii="Cambria" w:hAnsi="Cambria" w:eastAsia="黑体"/>
    </w:rPr>
  </w:style>
  <w:style w:type="character" w:customStyle="1" w:styleId="199">
    <w:name w:val="尾注文本 Char"/>
    <w:basedOn w:val="133"/>
    <w:link w:val="52"/>
    <w:semiHidden/>
    <w:qFormat/>
    <w:uiPriority w:val="99"/>
    <w:rPr>
      <w:rFonts w:ascii="宋体" w:hAnsi="Times New Roman" w:eastAsia="宋体" w:cs="Times New Roman"/>
      <w:sz w:val="28"/>
      <w:szCs w:val="26"/>
    </w:rPr>
  </w:style>
  <w:style w:type="character" w:customStyle="1" w:styleId="200">
    <w:name w:val="宏文本 Char"/>
    <w:basedOn w:val="133"/>
    <w:link w:val="2"/>
    <w:semiHidden/>
    <w:qFormat/>
    <w:uiPriority w:val="99"/>
    <w:rPr>
      <w:rFonts w:ascii="Courier New" w:hAnsi="Courier New" w:eastAsia="宋体" w:cs="Times New Roman"/>
      <w:spacing w:val="6"/>
      <w:sz w:val="24"/>
      <w:szCs w:val="24"/>
    </w:rPr>
  </w:style>
  <w:style w:type="character" w:customStyle="1" w:styleId="201">
    <w:name w:val="标题 Char"/>
    <w:basedOn w:val="133"/>
    <w:link w:val="84"/>
    <w:qFormat/>
    <w:uiPriority w:val="99"/>
    <w:rPr>
      <w:rFonts w:ascii="Arial" w:hAnsi="Arial" w:eastAsia="宋体" w:cs="Times New Roman"/>
      <w:b/>
      <w:bCs/>
      <w:sz w:val="32"/>
      <w:szCs w:val="32"/>
    </w:rPr>
  </w:style>
  <w:style w:type="character" w:customStyle="1" w:styleId="202">
    <w:name w:val="结束语 Char"/>
    <w:basedOn w:val="133"/>
    <w:link w:val="32"/>
    <w:semiHidden/>
    <w:qFormat/>
    <w:uiPriority w:val="99"/>
    <w:rPr>
      <w:rFonts w:ascii="Calibri" w:hAnsi="Calibri" w:eastAsia="宋体" w:cs="Times New Roman"/>
      <w:szCs w:val="20"/>
    </w:rPr>
  </w:style>
  <w:style w:type="character" w:customStyle="1" w:styleId="203">
    <w:name w:val="签名 Char"/>
    <w:basedOn w:val="133"/>
    <w:link w:val="58"/>
    <w:semiHidden/>
    <w:qFormat/>
    <w:uiPriority w:val="99"/>
    <w:rPr>
      <w:rFonts w:ascii="Calibri" w:hAnsi="Calibri" w:eastAsia="宋体" w:cs="Times New Roman"/>
      <w:szCs w:val="20"/>
    </w:rPr>
  </w:style>
  <w:style w:type="character" w:customStyle="1" w:styleId="204">
    <w:name w:val="正文文本 Char"/>
    <w:basedOn w:val="133"/>
    <w:link w:val="34"/>
    <w:semiHidden/>
    <w:qFormat/>
    <w:uiPriority w:val="99"/>
    <w:rPr>
      <w:rFonts w:ascii="Calibri" w:hAnsi="Calibri" w:eastAsia="宋体" w:cs="Times New Roman"/>
      <w:szCs w:val="20"/>
    </w:rPr>
  </w:style>
  <w:style w:type="character" w:customStyle="1" w:styleId="205">
    <w:name w:val="正文文本缩进 Char"/>
    <w:basedOn w:val="133"/>
    <w:link w:val="35"/>
    <w:semiHidden/>
    <w:qFormat/>
    <w:uiPriority w:val="99"/>
    <w:rPr>
      <w:rFonts w:ascii="Calibri" w:hAnsi="Calibri" w:eastAsia="宋体" w:cs="Times New Roman"/>
      <w:szCs w:val="20"/>
    </w:rPr>
  </w:style>
  <w:style w:type="character" w:customStyle="1" w:styleId="206">
    <w:name w:val="信息标题 Char"/>
    <w:basedOn w:val="133"/>
    <w:link w:val="79"/>
    <w:semiHidden/>
    <w:qFormat/>
    <w:uiPriority w:val="99"/>
    <w:rPr>
      <w:rFonts w:ascii="Arial" w:hAnsi="Arial" w:eastAsia="宋体" w:cs="Times New Roman"/>
      <w:sz w:val="24"/>
      <w:szCs w:val="24"/>
      <w:shd w:val="pct20" w:color="auto" w:fill="auto"/>
    </w:rPr>
  </w:style>
  <w:style w:type="character" w:customStyle="1" w:styleId="207">
    <w:name w:val="副标题 Char"/>
    <w:basedOn w:val="133"/>
    <w:link w:val="64"/>
    <w:qFormat/>
    <w:uiPriority w:val="99"/>
    <w:rPr>
      <w:rFonts w:ascii="Arial" w:hAnsi="Arial" w:eastAsia="宋体" w:cs="Times New Roman"/>
      <w:b/>
      <w:bCs/>
      <w:kern w:val="28"/>
      <w:sz w:val="32"/>
      <w:szCs w:val="32"/>
    </w:rPr>
  </w:style>
  <w:style w:type="character" w:customStyle="1" w:styleId="208">
    <w:name w:val="称呼 Char"/>
    <w:basedOn w:val="133"/>
    <w:link w:val="30"/>
    <w:semiHidden/>
    <w:qFormat/>
    <w:uiPriority w:val="99"/>
    <w:rPr>
      <w:rFonts w:ascii="Calibri" w:hAnsi="Calibri" w:eastAsia="宋体" w:cs="Times New Roman"/>
      <w:szCs w:val="20"/>
    </w:rPr>
  </w:style>
  <w:style w:type="character" w:customStyle="1" w:styleId="209">
    <w:name w:val="日期 Char"/>
    <w:basedOn w:val="133"/>
    <w:link w:val="50"/>
    <w:semiHidden/>
    <w:qFormat/>
    <w:uiPriority w:val="99"/>
    <w:rPr>
      <w:rFonts w:ascii="Calibri" w:hAnsi="Calibri" w:eastAsia="宋体" w:cs="Times New Roman"/>
      <w:szCs w:val="20"/>
    </w:rPr>
  </w:style>
  <w:style w:type="character" w:customStyle="1" w:styleId="210">
    <w:name w:val="正文首行缩进 Char"/>
    <w:basedOn w:val="204"/>
    <w:link w:val="86"/>
    <w:semiHidden/>
    <w:qFormat/>
    <w:uiPriority w:val="99"/>
  </w:style>
  <w:style w:type="character" w:customStyle="1" w:styleId="211">
    <w:name w:val="正文首行缩进 2 Char"/>
    <w:basedOn w:val="205"/>
    <w:link w:val="87"/>
    <w:semiHidden/>
    <w:qFormat/>
    <w:uiPriority w:val="99"/>
  </w:style>
  <w:style w:type="character" w:customStyle="1" w:styleId="212">
    <w:name w:val="注释标题 Char"/>
    <w:basedOn w:val="133"/>
    <w:link w:val="16"/>
    <w:semiHidden/>
    <w:qFormat/>
    <w:uiPriority w:val="99"/>
    <w:rPr>
      <w:rFonts w:ascii="Calibri" w:hAnsi="Calibri" w:eastAsia="宋体" w:cs="Times New Roman"/>
      <w:szCs w:val="20"/>
    </w:rPr>
  </w:style>
  <w:style w:type="character" w:customStyle="1" w:styleId="213">
    <w:name w:val="正文文本 2 Char"/>
    <w:basedOn w:val="133"/>
    <w:link w:val="76"/>
    <w:semiHidden/>
    <w:qFormat/>
    <w:uiPriority w:val="99"/>
    <w:rPr>
      <w:rFonts w:ascii="Calibri" w:hAnsi="Calibri" w:eastAsia="宋体" w:cs="Times New Roman"/>
      <w:szCs w:val="20"/>
    </w:rPr>
  </w:style>
  <w:style w:type="character" w:customStyle="1" w:styleId="214">
    <w:name w:val="正文文本 3 Char"/>
    <w:basedOn w:val="133"/>
    <w:link w:val="31"/>
    <w:semiHidden/>
    <w:qFormat/>
    <w:uiPriority w:val="99"/>
    <w:rPr>
      <w:rFonts w:ascii="Calibri" w:hAnsi="Calibri" w:eastAsia="宋体" w:cs="Times New Roman"/>
      <w:sz w:val="16"/>
      <w:szCs w:val="16"/>
    </w:rPr>
  </w:style>
  <w:style w:type="character" w:customStyle="1" w:styleId="215">
    <w:name w:val="正文文本缩进 2 Char"/>
    <w:basedOn w:val="133"/>
    <w:link w:val="51"/>
    <w:semiHidden/>
    <w:qFormat/>
    <w:uiPriority w:val="99"/>
    <w:rPr>
      <w:rFonts w:ascii="Calibri" w:hAnsi="Calibri" w:eastAsia="宋体" w:cs="Times New Roman"/>
      <w:szCs w:val="20"/>
    </w:rPr>
  </w:style>
  <w:style w:type="character" w:customStyle="1" w:styleId="216">
    <w:name w:val="正文文本缩进 3 Char"/>
    <w:basedOn w:val="133"/>
    <w:link w:val="70"/>
    <w:semiHidden/>
    <w:qFormat/>
    <w:uiPriority w:val="99"/>
    <w:rPr>
      <w:rFonts w:ascii="Calibri" w:hAnsi="Calibri" w:eastAsia="宋体" w:cs="Times New Roman"/>
      <w:sz w:val="16"/>
      <w:szCs w:val="16"/>
    </w:rPr>
  </w:style>
  <w:style w:type="character" w:customStyle="1" w:styleId="217">
    <w:name w:val="纯文本 Char1"/>
    <w:semiHidden/>
    <w:qFormat/>
    <w:uiPriority w:val="99"/>
    <w:rPr>
      <w:rFonts w:ascii="宋体" w:hAnsi="Courier New" w:cs="Courier New"/>
      <w:kern w:val="2"/>
      <w:sz w:val="21"/>
      <w:szCs w:val="21"/>
    </w:rPr>
  </w:style>
  <w:style w:type="character" w:customStyle="1" w:styleId="218">
    <w:name w:val="电子邮件签名 Char"/>
    <w:basedOn w:val="133"/>
    <w:link w:val="19"/>
    <w:semiHidden/>
    <w:qFormat/>
    <w:uiPriority w:val="99"/>
    <w:rPr>
      <w:rFonts w:ascii="Calibri" w:hAnsi="Calibri" w:eastAsia="宋体" w:cs="Times New Roman"/>
      <w:szCs w:val="20"/>
    </w:rPr>
  </w:style>
  <w:style w:type="paragraph" w:customStyle="1" w:styleId="219">
    <w:name w:val="Revision"/>
    <w:semiHidden/>
    <w:qFormat/>
    <w:uiPriority w:val="99"/>
    <w:rPr>
      <w:rFonts w:ascii="Calibri" w:hAnsi="Calibri" w:eastAsia="宋体" w:cs="Times New Roman"/>
      <w:kern w:val="2"/>
      <w:sz w:val="21"/>
      <w:szCs w:val="22"/>
      <w:lang w:val="en-US" w:eastAsia="zh-CN" w:bidi="ar-SA"/>
    </w:rPr>
  </w:style>
  <w:style w:type="paragraph" w:styleId="220">
    <w:name w:val="List Paragraph"/>
    <w:basedOn w:val="1"/>
    <w:qFormat/>
    <w:uiPriority w:val="99"/>
    <w:pPr>
      <w:adjustRightInd w:val="0"/>
      <w:snapToGrid w:val="0"/>
      <w:spacing w:after="200"/>
      <w:ind w:firstLine="420" w:firstLineChars="200"/>
    </w:pPr>
    <w:rPr>
      <w:rFonts w:ascii="Tahoma" w:hAnsi="Tahoma" w:eastAsia="微软雅黑"/>
      <w:sz w:val="22"/>
      <w:szCs w:val="20"/>
    </w:rPr>
  </w:style>
  <w:style w:type="paragraph" w:styleId="221">
    <w:name w:val="Quote"/>
    <w:basedOn w:val="1"/>
    <w:next w:val="1"/>
    <w:link w:val="368"/>
    <w:qFormat/>
    <w:uiPriority w:val="29"/>
    <w:pPr>
      <w:spacing w:line="360" w:lineRule="exact"/>
      <w:jc w:val="center"/>
    </w:pPr>
    <w:rPr>
      <w:iCs/>
      <w:color w:val="000000"/>
      <w:szCs w:val="21"/>
    </w:rPr>
  </w:style>
  <w:style w:type="character" w:customStyle="1" w:styleId="222">
    <w:name w:val="引用 Char"/>
    <w:basedOn w:val="133"/>
    <w:link w:val="221"/>
    <w:qFormat/>
    <w:uiPriority w:val="29"/>
    <w:rPr>
      <w:rFonts w:ascii="Calibri" w:hAnsi="Calibri" w:eastAsia="宋体" w:cs="Times New Roman"/>
      <w:i/>
      <w:iCs/>
      <w:color w:val="000000" w:themeColor="text1"/>
    </w:rPr>
  </w:style>
  <w:style w:type="paragraph" w:customStyle="1" w:styleId="223">
    <w:name w:val="TOC Heading"/>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224">
    <w:name w:val="2级标题"/>
    <w:basedOn w:val="1"/>
    <w:next w:val="1"/>
    <w:qFormat/>
    <w:uiPriority w:val="0"/>
    <w:pPr>
      <w:spacing w:beforeLines="50" w:line="520" w:lineRule="exact"/>
      <w:outlineLvl w:val="1"/>
    </w:pPr>
    <w:rPr>
      <w:rFonts w:ascii="Times New Roman" w:hAnsi="Times New Roman" w:eastAsia="黑体"/>
      <w:sz w:val="28"/>
      <w:szCs w:val="20"/>
    </w:rPr>
  </w:style>
  <w:style w:type="paragraph" w:customStyle="1" w:styleId="225">
    <w:name w:val="1级标题"/>
    <w:next w:val="224"/>
    <w:semiHidden/>
    <w:qFormat/>
    <w:uiPriority w:val="99"/>
    <w:pPr>
      <w:pageBreakBefore/>
      <w:spacing w:beforeLines="50" w:line="520" w:lineRule="exact"/>
      <w:jc w:val="center"/>
      <w:outlineLvl w:val="0"/>
    </w:pPr>
    <w:rPr>
      <w:rFonts w:ascii="Times New Roman" w:hAnsi="Times New Roman" w:eastAsia="黑体" w:cs="Times New Roman"/>
      <w:kern w:val="2"/>
      <w:sz w:val="44"/>
      <w:szCs w:val="22"/>
      <w:lang w:val="en-US" w:eastAsia="zh-CN" w:bidi="ar-SA"/>
    </w:rPr>
  </w:style>
  <w:style w:type="paragraph" w:customStyle="1" w:styleId="226">
    <w:name w:val="4级标题"/>
    <w:basedOn w:val="1"/>
    <w:next w:val="167"/>
    <w:semiHidden/>
    <w:qFormat/>
    <w:uiPriority w:val="99"/>
    <w:pPr>
      <w:spacing w:line="520" w:lineRule="exact"/>
      <w:outlineLvl w:val="3"/>
    </w:pPr>
    <w:rPr>
      <w:rFonts w:ascii="Times New Roman" w:hAnsi="Times New Roman"/>
      <w:b/>
      <w:szCs w:val="20"/>
    </w:rPr>
  </w:style>
  <w:style w:type="character" w:customStyle="1" w:styleId="227">
    <w:name w:val="3级标题 Char"/>
    <w:link w:val="228"/>
    <w:semiHidden/>
    <w:qFormat/>
    <w:locked/>
    <w:uiPriority w:val="0"/>
    <w:rPr>
      <w:rFonts w:ascii="Times New Roman" w:hAnsi="Times New Roman" w:eastAsia="楷体"/>
      <w:sz w:val="28"/>
    </w:rPr>
  </w:style>
  <w:style w:type="paragraph" w:customStyle="1" w:styleId="228">
    <w:name w:val="3级标题"/>
    <w:basedOn w:val="1"/>
    <w:next w:val="226"/>
    <w:link w:val="227"/>
    <w:semiHidden/>
    <w:qFormat/>
    <w:uiPriority w:val="0"/>
    <w:pPr>
      <w:spacing w:beforeLines="50" w:line="520" w:lineRule="exact"/>
      <w:outlineLvl w:val="2"/>
    </w:pPr>
    <w:rPr>
      <w:rFonts w:ascii="Times New Roman" w:hAnsi="Times New Roman" w:eastAsia="楷体" w:cstheme="minorBidi"/>
      <w:sz w:val="28"/>
    </w:rPr>
  </w:style>
  <w:style w:type="paragraph" w:customStyle="1" w:styleId="229">
    <w:name w:val="正文文本缩进1"/>
    <w:basedOn w:val="1"/>
    <w:semiHidden/>
    <w:qFormat/>
    <w:uiPriority w:val="99"/>
    <w:pPr>
      <w:tabs>
        <w:tab w:val="left" w:pos="0"/>
      </w:tabs>
      <w:adjustRightInd w:val="0"/>
      <w:snapToGrid w:val="0"/>
      <w:spacing w:line="360" w:lineRule="auto"/>
      <w:ind w:firstLine="560" w:firstLineChars="200"/>
    </w:pPr>
    <w:rPr>
      <w:rFonts w:ascii="Times New Roman" w:hAnsi="Times New Roman"/>
      <w:sz w:val="28"/>
    </w:rPr>
  </w:style>
  <w:style w:type="character" w:customStyle="1" w:styleId="230">
    <w:name w:val="表格文字 Char"/>
    <w:link w:val="231"/>
    <w:semiHidden/>
    <w:qFormat/>
    <w:locked/>
    <w:uiPriority w:val="0"/>
    <w:rPr>
      <w:rFonts w:ascii="Times New Roman" w:hAnsi="Times New Roman"/>
      <w:szCs w:val="21"/>
    </w:rPr>
  </w:style>
  <w:style w:type="paragraph" w:customStyle="1" w:styleId="231">
    <w:name w:val="表格文字"/>
    <w:basedOn w:val="1"/>
    <w:next w:val="1"/>
    <w:link w:val="230"/>
    <w:semiHidden/>
    <w:qFormat/>
    <w:uiPriority w:val="0"/>
    <w:pPr>
      <w:adjustRightInd w:val="0"/>
      <w:snapToGrid w:val="0"/>
      <w:spacing w:line="360" w:lineRule="exact"/>
      <w:jc w:val="center"/>
    </w:pPr>
    <w:rPr>
      <w:rFonts w:ascii="Times New Roman" w:hAnsi="Times New Roman" w:eastAsiaTheme="minorEastAsia" w:cstheme="minorBidi"/>
      <w:szCs w:val="21"/>
    </w:rPr>
  </w:style>
  <w:style w:type="character" w:customStyle="1" w:styleId="232">
    <w:name w:val="表格 Char"/>
    <w:link w:val="233"/>
    <w:qFormat/>
    <w:locked/>
    <w:uiPriority w:val="0"/>
    <w:rPr>
      <w:rFonts w:ascii="Times New Roman" w:hAnsi="Times New Roman"/>
      <w:sz w:val="24"/>
      <w:szCs w:val="24"/>
    </w:rPr>
  </w:style>
  <w:style w:type="paragraph" w:customStyle="1" w:styleId="233">
    <w:name w:val="表格"/>
    <w:basedOn w:val="1"/>
    <w:link w:val="232"/>
    <w:qFormat/>
    <w:uiPriority w:val="0"/>
    <w:pPr>
      <w:jc w:val="center"/>
    </w:pPr>
    <w:rPr>
      <w:rFonts w:ascii="Times New Roman" w:hAnsi="Times New Roman" w:eastAsiaTheme="minorEastAsia" w:cstheme="minorBidi"/>
    </w:rPr>
  </w:style>
  <w:style w:type="paragraph" w:customStyle="1" w:styleId="234">
    <w:name w:val="mailsub"/>
    <w:basedOn w:val="1"/>
    <w:semiHidden/>
    <w:qFormat/>
    <w:uiPriority w:val="99"/>
    <w:pPr>
      <w:pBdr>
        <w:top w:val="single" w:color="AAAAAA" w:sz="6" w:space="0"/>
        <w:left w:val="single" w:color="AAAAAA" w:sz="6" w:space="0"/>
        <w:bottom w:val="single" w:color="AAAAAA" w:sz="6" w:space="0"/>
        <w:right w:val="single" w:color="AAAAAA" w:sz="6" w:space="0"/>
      </w:pBdr>
      <w:spacing w:before="100" w:beforeAutospacing="1" w:after="100" w:afterAutospacing="1" w:line="270" w:lineRule="atLeast"/>
    </w:pPr>
    <w:rPr>
      <w:sz w:val="18"/>
      <w:szCs w:val="18"/>
    </w:rPr>
  </w:style>
  <w:style w:type="character" w:customStyle="1" w:styleId="235">
    <w:name w:val="蓝森正文 Char Char"/>
    <w:link w:val="236"/>
    <w:semiHidden/>
    <w:qFormat/>
    <w:locked/>
    <w:uiPriority w:val="0"/>
    <w:rPr>
      <w:bCs/>
      <w:sz w:val="24"/>
      <w:szCs w:val="24"/>
    </w:rPr>
  </w:style>
  <w:style w:type="paragraph" w:customStyle="1" w:styleId="236">
    <w:name w:val="蓝森正文"/>
    <w:basedOn w:val="1"/>
    <w:link w:val="235"/>
    <w:semiHidden/>
    <w:qFormat/>
    <w:uiPriority w:val="0"/>
    <w:pPr>
      <w:spacing w:line="520" w:lineRule="exact"/>
      <w:ind w:firstLine="480" w:firstLineChars="200"/>
    </w:pPr>
    <w:rPr>
      <w:rFonts w:asciiTheme="minorHAnsi" w:hAnsiTheme="minorHAnsi" w:eastAsiaTheme="minorEastAsia" w:cstheme="minorBidi"/>
      <w:bCs/>
    </w:rPr>
  </w:style>
  <w:style w:type="character" w:customStyle="1" w:styleId="237">
    <w:name w:val="样式 君邦正文 + Times New Roman Char"/>
    <w:link w:val="238"/>
    <w:semiHidden/>
    <w:qFormat/>
    <w:locked/>
    <w:uiPriority w:val="0"/>
    <w:rPr>
      <w:sz w:val="24"/>
      <w:szCs w:val="24"/>
    </w:rPr>
  </w:style>
  <w:style w:type="paragraph" w:customStyle="1" w:styleId="238">
    <w:name w:val="样式 君邦正文 + Times New Roman"/>
    <w:basedOn w:val="1"/>
    <w:link w:val="237"/>
    <w:semiHidden/>
    <w:qFormat/>
    <w:uiPriority w:val="0"/>
    <w:pPr>
      <w:adjustRightInd w:val="0"/>
      <w:snapToGrid w:val="0"/>
      <w:spacing w:line="360" w:lineRule="auto"/>
      <w:ind w:left="-2" w:leftChars="-2" w:firstLine="200" w:firstLineChars="200"/>
    </w:pPr>
    <w:rPr>
      <w:rFonts w:asciiTheme="minorHAnsi" w:hAnsiTheme="minorHAnsi" w:eastAsiaTheme="minorEastAsia" w:cstheme="minorBidi"/>
    </w:rPr>
  </w:style>
  <w:style w:type="paragraph" w:customStyle="1" w:styleId="239">
    <w:name w:val="表格、图标题"/>
    <w:basedOn w:val="1"/>
    <w:semiHidden/>
    <w:qFormat/>
    <w:uiPriority w:val="99"/>
    <w:pPr>
      <w:spacing w:line="520" w:lineRule="exact"/>
      <w:ind w:firstLine="480" w:firstLineChars="200"/>
    </w:pPr>
    <w:rPr>
      <w:rFonts w:ascii="Times New Roman" w:hAnsi="Times New Roman" w:eastAsia="黑体"/>
      <w:bCs/>
    </w:rPr>
  </w:style>
  <w:style w:type="character" w:customStyle="1" w:styleId="240">
    <w:name w:val="6正文 Char Char"/>
    <w:link w:val="241"/>
    <w:semiHidden/>
    <w:qFormat/>
    <w:locked/>
    <w:uiPriority w:val="99"/>
    <w:rPr>
      <w:rFonts w:ascii="Times New Roman" w:hAnsi="Times New Roman"/>
      <w:sz w:val="24"/>
      <w:szCs w:val="28"/>
    </w:rPr>
  </w:style>
  <w:style w:type="paragraph" w:customStyle="1" w:styleId="241">
    <w:name w:val="6正文"/>
    <w:link w:val="240"/>
    <w:semiHidden/>
    <w:qFormat/>
    <w:uiPriority w:val="99"/>
    <w:pPr>
      <w:widowControl w:val="0"/>
      <w:spacing w:line="520" w:lineRule="exact"/>
      <w:ind w:firstLine="200" w:firstLineChars="200"/>
      <w:jc w:val="both"/>
    </w:pPr>
    <w:rPr>
      <w:rFonts w:ascii="Times New Roman" w:hAnsi="Times New Roman" w:eastAsiaTheme="minorEastAsia" w:cstheme="minorBidi"/>
      <w:kern w:val="2"/>
      <w:sz w:val="24"/>
      <w:szCs w:val="28"/>
      <w:lang w:val="en-US" w:eastAsia="zh-CN" w:bidi="ar-SA"/>
    </w:rPr>
  </w:style>
  <w:style w:type="paragraph" w:customStyle="1" w:styleId="242">
    <w:name w:val="1大标题"/>
    <w:next w:val="241"/>
    <w:semiHidden/>
    <w:qFormat/>
    <w:uiPriority w:val="99"/>
    <w:pPr>
      <w:widowControl w:val="0"/>
      <w:spacing w:beforeLines="100" w:line="520" w:lineRule="exact"/>
      <w:jc w:val="center"/>
      <w:outlineLvl w:val="0"/>
    </w:pPr>
    <w:rPr>
      <w:rFonts w:ascii="Times New Roman" w:hAnsi="Times New Roman" w:eastAsia="黑体" w:cs="Times New Roman"/>
      <w:kern w:val="2"/>
      <w:sz w:val="44"/>
      <w:szCs w:val="24"/>
      <w:lang w:val="en-US" w:eastAsia="zh-CN" w:bidi="ar-SA"/>
    </w:rPr>
  </w:style>
  <w:style w:type="character" w:customStyle="1" w:styleId="243">
    <w:name w:val="3三级标题 Char"/>
    <w:link w:val="244"/>
    <w:semiHidden/>
    <w:qFormat/>
    <w:locked/>
    <w:uiPriority w:val="0"/>
    <w:rPr>
      <w:rFonts w:ascii="Times New Roman" w:hAnsi="Times New Roman" w:eastAsia="楷体_GB2312"/>
      <w:sz w:val="28"/>
      <w:szCs w:val="24"/>
    </w:rPr>
  </w:style>
  <w:style w:type="paragraph" w:customStyle="1" w:styleId="244">
    <w:name w:val="3三级标题"/>
    <w:next w:val="241"/>
    <w:link w:val="243"/>
    <w:semiHidden/>
    <w:qFormat/>
    <w:uiPriority w:val="0"/>
    <w:pPr>
      <w:widowControl w:val="0"/>
      <w:spacing w:beforeLines="50" w:line="520" w:lineRule="exact"/>
      <w:outlineLvl w:val="2"/>
    </w:pPr>
    <w:rPr>
      <w:rFonts w:ascii="Times New Roman" w:hAnsi="Times New Roman" w:eastAsia="楷体_GB2312" w:cstheme="minorBidi"/>
      <w:kern w:val="2"/>
      <w:sz w:val="28"/>
      <w:szCs w:val="24"/>
      <w:lang w:val="en-US" w:eastAsia="zh-CN" w:bidi="ar-SA"/>
    </w:rPr>
  </w:style>
  <w:style w:type="character" w:customStyle="1" w:styleId="245">
    <w:name w:val="2二级标题 Char"/>
    <w:link w:val="246"/>
    <w:semiHidden/>
    <w:qFormat/>
    <w:locked/>
    <w:uiPriority w:val="0"/>
    <w:rPr>
      <w:rFonts w:ascii="Times New Roman" w:hAnsi="Times New Roman" w:eastAsia="黑体"/>
      <w:sz w:val="28"/>
    </w:rPr>
  </w:style>
  <w:style w:type="paragraph" w:customStyle="1" w:styleId="246">
    <w:name w:val="2二级标题"/>
    <w:next w:val="167"/>
    <w:link w:val="245"/>
    <w:semiHidden/>
    <w:qFormat/>
    <w:uiPriority w:val="0"/>
    <w:pPr>
      <w:widowControl w:val="0"/>
      <w:spacing w:beforeLines="50" w:line="520" w:lineRule="exact"/>
      <w:outlineLvl w:val="1"/>
    </w:pPr>
    <w:rPr>
      <w:rFonts w:ascii="Times New Roman" w:hAnsi="Times New Roman" w:eastAsia="黑体" w:cstheme="minorBidi"/>
      <w:kern w:val="2"/>
      <w:sz w:val="28"/>
      <w:szCs w:val="22"/>
      <w:lang w:val="en-US" w:eastAsia="zh-CN" w:bidi="ar-SA"/>
    </w:rPr>
  </w:style>
  <w:style w:type="character" w:customStyle="1" w:styleId="247">
    <w:name w:val="正文(首行缩进) Char"/>
    <w:link w:val="248"/>
    <w:semiHidden/>
    <w:qFormat/>
    <w:locked/>
    <w:uiPriority w:val="0"/>
    <w:rPr>
      <w:rFonts w:ascii="宋体" w:hAnsi="宋体"/>
      <w:sz w:val="24"/>
      <w:szCs w:val="24"/>
    </w:rPr>
  </w:style>
  <w:style w:type="paragraph" w:customStyle="1" w:styleId="248">
    <w:name w:val="正文(首行缩进)"/>
    <w:basedOn w:val="1"/>
    <w:link w:val="247"/>
    <w:semiHidden/>
    <w:qFormat/>
    <w:uiPriority w:val="0"/>
    <w:pPr>
      <w:snapToGrid w:val="0"/>
      <w:spacing w:line="360" w:lineRule="auto"/>
      <w:ind w:firstLine="480" w:firstLineChars="200"/>
    </w:pPr>
    <w:rPr>
      <w:rFonts w:eastAsiaTheme="minorEastAsia" w:cstheme="minorBidi"/>
    </w:rPr>
  </w:style>
  <w:style w:type="character" w:customStyle="1" w:styleId="249">
    <w:name w:val="报告正文 Char"/>
    <w:link w:val="250"/>
    <w:semiHidden/>
    <w:qFormat/>
    <w:locked/>
    <w:uiPriority w:val="0"/>
    <w:rPr>
      <w:color w:val="000000"/>
      <w:sz w:val="24"/>
      <w:szCs w:val="24"/>
    </w:rPr>
  </w:style>
  <w:style w:type="paragraph" w:customStyle="1" w:styleId="250">
    <w:name w:val="报告正文"/>
    <w:basedOn w:val="1"/>
    <w:link w:val="249"/>
    <w:semiHidden/>
    <w:qFormat/>
    <w:uiPriority w:val="0"/>
    <w:pPr>
      <w:spacing w:line="480" w:lineRule="exact"/>
      <w:ind w:firstLine="200" w:firstLineChars="200"/>
    </w:pPr>
    <w:rPr>
      <w:rFonts w:asciiTheme="minorHAnsi" w:hAnsiTheme="minorHAnsi" w:eastAsiaTheme="minorEastAsia" w:cstheme="minorBidi"/>
      <w:color w:val="000000"/>
    </w:rPr>
  </w:style>
  <w:style w:type="character" w:customStyle="1" w:styleId="251">
    <w:name w:val="2正文 Char"/>
    <w:link w:val="252"/>
    <w:semiHidden/>
    <w:qFormat/>
    <w:locked/>
    <w:uiPriority w:val="0"/>
    <w:rPr>
      <w:rFonts w:ascii="Times New Roman" w:hAnsi="Times New Roman" w:cs="Courier New"/>
      <w:sz w:val="24"/>
      <w:szCs w:val="24"/>
    </w:rPr>
  </w:style>
  <w:style w:type="paragraph" w:customStyle="1" w:styleId="252">
    <w:name w:val="2正文"/>
    <w:basedOn w:val="45"/>
    <w:link w:val="251"/>
    <w:semiHidden/>
    <w:qFormat/>
    <w:uiPriority w:val="0"/>
    <w:pPr>
      <w:spacing w:line="520" w:lineRule="exact"/>
      <w:ind w:firstLine="200" w:firstLineChars="200"/>
    </w:pPr>
    <w:rPr>
      <w:rFonts w:ascii="Times New Roman" w:hAnsi="Times New Roman" w:eastAsiaTheme="minorEastAsia"/>
      <w:szCs w:val="24"/>
    </w:rPr>
  </w:style>
  <w:style w:type="character" w:customStyle="1" w:styleId="253">
    <w:name w:val="6表格内容 Char Char"/>
    <w:link w:val="254"/>
    <w:semiHidden/>
    <w:qFormat/>
    <w:locked/>
    <w:uiPriority w:val="0"/>
    <w:rPr>
      <w:sz w:val="24"/>
    </w:rPr>
  </w:style>
  <w:style w:type="paragraph" w:customStyle="1" w:styleId="254">
    <w:name w:val="6表格内容"/>
    <w:basedOn w:val="1"/>
    <w:next w:val="1"/>
    <w:link w:val="253"/>
    <w:semiHidden/>
    <w:qFormat/>
    <w:uiPriority w:val="0"/>
    <w:pPr>
      <w:adjustRightInd w:val="0"/>
      <w:snapToGrid w:val="0"/>
      <w:spacing w:line="320" w:lineRule="atLeast"/>
      <w:ind w:firstLine="200" w:firstLineChars="200"/>
      <w:jc w:val="center"/>
    </w:pPr>
    <w:rPr>
      <w:rFonts w:asciiTheme="minorHAnsi" w:hAnsiTheme="minorHAnsi" w:eastAsiaTheme="minorEastAsia" w:cstheme="minorBidi"/>
    </w:rPr>
  </w:style>
  <w:style w:type="character" w:customStyle="1" w:styleId="255">
    <w:name w:val="表 Char"/>
    <w:link w:val="256"/>
    <w:semiHidden/>
    <w:qFormat/>
    <w:locked/>
    <w:uiPriority w:val="0"/>
    <w:rPr>
      <w:rFonts w:ascii="宋体" w:hAnsi="宋体" w:cs="宋体"/>
      <w:color w:val="000000"/>
      <w:szCs w:val="21"/>
    </w:rPr>
  </w:style>
  <w:style w:type="paragraph" w:customStyle="1" w:styleId="256">
    <w:name w:val="表"/>
    <w:basedOn w:val="1"/>
    <w:link w:val="255"/>
    <w:semiHidden/>
    <w:qFormat/>
    <w:uiPriority w:val="0"/>
    <w:pPr>
      <w:adjustRightInd w:val="0"/>
      <w:snapToGrid w:val="0"/>
      <w:spacing w:line="326" w:lineRule="auto"/>
      <w:jc w:val="center"/>
    </w:pPr>
    <w:rPr>
      <w:rFonts w:eastAsiaTheme="minorEastAsia"/>
      <w:color w:val="000000"/>
      <w:szCs w:val="21"/>
    </w:rPr>
  </w:style>
  <w:style w:type="character" w:customStyle="1" w:styleId="257">
    <w:name w:val="日化表格 Char"/>
    <w:link w:val="258"/>
    <w:semiHidden/>
    <w:qFormat/>
    <w:locked/>
    <w:uiPriority w:val="0"/>
    <w:rPr>
      <w:rFonts w:ascii="Times New Roman" w:hAnsi="Times New Roman"/>
      <w:szCs w:val="21"/>
    </w:rPr>
  </w:style>
  <w:style w:type="paragraph" w:customStyle="1" w:styleId="258">
    <w:name w:val="日化表格"/>
    <w:basedOn w:val="1"/>
    <w:link w:val="257"/>
    <w:semiHidden/>
    <w:qFormat/>
    <w:uiPriority w:val="0"/>
    <w:pPr>
      <w:adjustRightInd w:val="0"/>
      <w:snapToGrid w:val="0"/>
      <w:spacing w:line="360" w:lineRule="exact"/>
      <w:jc w:val="center"/>
    </w:pPr>
    <w:rPr>
      <w:rFonts w:ascii="Times New Roman" w:hAnsi="Times New Roman" w:eastAsiaTheme="minorEastAsia" w:cstheme="minorBidi"/>
      <w:szCs w:val="21"/>
    </w:rPr>
  </w:style>
  <w:style w:type="paragraph" w:customStyle="1" w:styleId="259">
    <w:name w:val="表格内容"/>
    <w:basedOn w:val="1"/>
    <w:next w:val="1"/>
    <w:semiHidden/>
    <w:qFormat/>
    <w:uiPriority w:val="99"/>
    <w:pPr>
      <w:spacing w:line="360" w:lineRule="exact"/>
      <w:jc w:val="center"/>
    </w:pPr>
    <w:rPr>
      <w:rFonts w:ascii="Times New Roman" w:hAnsi="Times New Roman"/>
    </w:rPr>
  </w:style>
  <w:style w:type="character" w:customStyle="1" w:styleId="260">
    <w:name w:val="表格、图标文字 Char"/>
    <w:link w:val="261"/>
    <w:semiHidden/>
    <w:qFormat/>
    <w:locked/>
    <w:uiPriority w:val="0"/>
    <w:rPr>
      <w:rFonts w:ascii="Times New Roman" w:hAnsi="Times New Roman"/>
      <w:szCs w:val="24"/>
    </w:rPr>
  </w:style>
  <w:style w:type="paragraph" w:customStyle="1" w:styleId="261">
    <w:name w:val="表格、图标文字"/>
    <w:basedOn w:val="1"/>
    <w:link w:val="260"/>
    <w:semiHidden/>
    <w:qFormat/>
    <w:uiPriority w:val="0"/>
    <w:pPr>
      <w:adjustRightInd w:val="0"/>
      <w:snapToGrid w:val="0"/>
      <w:spacing w:line="360" w:lineRule="exact"/>
      <w:ind w:firstLine="200" w:firstLineChars="200"/>
      <w:jc w:val="center"/>
    </w:pPr>
    <w:rPr>
      <w:rFonts w:ascii="Times New Roman" w:hAnsi="Times New Roman" w:eastAsiaTheme="minorEastAsia" w:cstheme="minorBidi"/>
    </w:rPr>
  </w:style>
  <w:style w:type="paragraph" w:customStyle="1" w:styleId="262">
    <w:name w:val="表内格式"/>
    <w:basedOn w:val="1"/>
    <w:semiHidden/>
    <w:qFormat/>
    <w:uiPriority w:val="0"/>
    <w:pPr>
      <w:spacing w:line="280" w:lineRule="exact"/>
      <w:jc w:val="center"/>
    </w:pPr>
    <w:rPr>
      <w:rFonts w:hAnsi="Times New Roman"/>
      <w:sz w:val="18"/>
      <w:szCs w:val="20"/>
    </w:rPr>
  </w:style>
  <w:style w:type="character" w:customStyle="1" w:styleId="263">
    <w:name w:val="4表头 Char"/>
    <w:link w:val="264"/>
    <w:semiHidden/>
    <w:qFormat/>
    <w:locked/>
    <w:uiPriority w:val="0"/>
    <w:rPr>
      <w:rFonts w:ascii="黑体" w:hAnsi="黑体" w:eastAsia="黑体"/>
      <w:sz w:val="24"/>
      <w:szCs w:val="24"/>
    </w:rPr>
  </w:style>
  <w:style w:type="paragraph" w:customStyle="1" w:styleId="264">
    <w:name w:val="4表头"/>
    <w:next w:val="1"/>
    <w:link w:val="263"/>
    <w:semiHidden/>
    <w:qFormat/>
    <w:uiPriority w:val="0"/>
    <w:pPr>
      <w:pageBreakBefore/>
      <w:spacing w:line="520" w:lineRule="exact"/>
      <w:ind w:firstLine="200" w:firstLineChars="200"/>
    </w:pPr>
    <w:rPr>
      <w:rFonts w:ascii="黑体" w:hAnsi="黑体" w:eastAsia="黑体" w:cstheme="minorBidi"/>
      <w:kern w:val="2"/>
      <w:sz w:val="24"/>
      <w:szCs w:val="24"/>
      <w:lang w:val="en-US" w:eastAsia="zh-CN" w:bidi="ar-SA"/>
    </w:rPr>
  </w:style>
  <w:style w:type="paragraph" w:customStyle="1" w:styleId="265">
    <w:name w:val="5表格内容"/>
    <w:next w:val="1"/>
    <w:semiHidden/>
    <w:qFormat/>
    <w:uiPriority w:val="99"/>
    <w:pPr>
      <w:widowControl w:val="0"/>
      <w:spacing w:line="400" w:lineRule="exact"/>
      <w:jc w:val="center"/>
    </w:pPr>
    <w:rPr>
      <w:rFonts w:ascii="Times New Roman" w:hAnsi="Times New Roman" w:eastAsia="宋体" w:cs="Times New Roman"/>
      <w:kern w:val="2"/>
      <w:sz w:val="21"/>
      <w:szCs w:val="24"/>
      <w:lang w:val="en-US" w:eastAsia="zh-CN" w:bidi="ar-SA"/>
    </w:rPr>
  </w:style>
  <w:style w:type="paragraph" w:customStyle="1" w:styleId="266">
    <w:name w:val="中文报告书样式"/>
    <w:basedOn w:val="1"/>
    <w:semiHidden/>
    <w:qFormat/>
    <w:uiPriority w:val="99"/>
    <w:pPr>
      <w:adjustRightInd w:val="0"/>
      <w:snapToGrid w:val="0"/>
      <w:spacing w:line="360" w:lineRule="auto"/>
      <w:ind w:firstLine="480" w:firstLineChars="200"/>
    </w:pPr>
    <w:rPr>
      <w:rFonts w:ascii="Times New Roman" w:hAnsi="Times New Roman"/>
      <w:kern w:val="24"/>
      <w:szCs w:val="20"/>
    </w:rPr>
  </w:style>
  <w:style w:type="character" w:customStyle="1" w:styleId="267">
    <w:name w:val="4正文 Char"/>
    <w:link w:val="268"/>
    <w:semiHidden/>
    <w:qFormat/>
    <w:locked/>
    <w:uiPriority w:val="0"/>
    <w:rPr>
      <w:rFonts w:ascii="Times New Roman" w:hAnsi="Times New Roman"/>
      <w:sz w:val="24"/>
    </w:rPr>
  </w:style>
  <w:style w:type="paragraph" w:customStyle="1" w:styleId="268">
    <w:name w:val="4正文"/>
    <w:link w:val="267"/>
    <w:semiHidden/>
    <w:qFormat/>
    <w:uiPriority w:val="0"/>
    <w:pPr>
      <w:widowControl w:val="0"/>
      <w:spacing w:line="520" w:lineRule="exact"/>
      <w:ind w:firstLine="200" w:firstLineChars="200"/>
      <w:jc w:val="both"/>
    </w:pPr>
    <w:rPr>
      <w:rFonts w:ascii="Times New Roman" w:hAnsi="Times New Roman" w:eastAsiaTheme="minorEastAsia" w:cstheme="minorBidi"/>
      <w:kern w:val="2"/>
      <w:sz w:val="24"/>
      <w:szCs w:val="22"/>
      <w:lang w:val="en-US" w:eastAsia="zh-CN" w:bidi="ar-SA"/>
    </w:rPr>
  </w:style>
  <w:style w:type="character" w:customStyle="1" w:styleId="269">
    <w:name w:val="5表头 Char"/>
    <w:link w:val="270"/>
    <w:semiHidden/>
    <w:qFormat/>
    <w:locked/>
    <w:uiPriority w:val="0"/>
    <w:rPr>
      <w:rFonts w:ascii="Times New Roman" w:hAnsi="Times New Roman" w:eastAsia="黑体"/>
      <w:sz w:val="24"/>
    </w:rPr>
  </w:style>
  <w:style w:type="paragraph" w:customStyle="1" w:styleId="270">
    <w:name w:val="5表头"/>
    <w:next w:val="268"/>
    <w:link w:val="269"/>
    <w:semiHidden/>
    <w:qFormat/>
    <w:uiPriority w:val="0"/>
    <w:pPr>
      <w:widowControl w:val="0"/>
      <w:spacing w:line="520" w:lineRule="exact"/>
      <w:ind w:firstLine="200" w:firstLineChars="200"/>
    </w:pPr>
    <w:rPr>
      <w:rFonts w:ascii="Times New Roman" w:hAnsi="Times New Roman" w:eastAsia="黑体" w:cstheme="minorBidi"/>
      <w:kern w:val="2"/>
      <w:sz w:val="24"/>
      <w:szCs w:val="22"/>
      <w:lang w:val="en-US" w:eastAsia="zh-CN" w:bidi="ar-SA"/>
    </w:rPr>
  </w:style>
  <w:style w:type="character" w:customStyle="1" w:styleId="271">
    <w:name w:val="表、图标题 Char"/>
    <w:link w:val="272"/>
    <w:semiHidden/>
    <w:qFormat/>
    <w:locked/>
    <w:uiPriority w:val="0"/>
    <w:rPr>
      <w:rFonts w:ascii="Times New Roman" w:hAnsi="Times New Roman" w:eastAsia="黑体"/>
      <w:sz w:val="24"/>
      <w:szCs w:val="24"/>
    </w:rPr>
  </w:style>
  <w:style w:type="paragraph" w:customStyle="1" w:styleId="272">
    <w:name w:val="表、图标题"/>
    <w:basedOn w:val="1"/>
    <w:link w:val="271"/>
    <w:semiHidden/>
    <w:qFormat/>
    <w:uiPriority w:val="0"/>
    <w:pPr>
      <w:keepNext/>
      <w:adjustRightInd w:val="0"/>
      <w:snapToGrid w:val="0"/>
      <w:spacing w:beforeLines="50" w:line="360" w:lineRule="exact"/>
      <w:ind w:firstLine="560" w:firstLineChars="200"/>
    </w:pPr>
    <w:rPr>
      <w:rFonts w:ascii="Times New Roman" w:hAnsi="Times New Roman" w:eastAsia="黑体" w:cstheme="minorBidi"/>
    </w:rPr>
  </w:style>
  <w:style w:type="paragraph" w:customStyle="1" w:styleId="273">
    <w:name w:val="默认段落字体 Para Char Char Char Char"/>
    <w:basedOn w:val="1"/>
    <w:semiHidden/>
    <w:qFormat/>
    <w:uiPriority w:val="99"/>
    <w:pPr>
      <w:adjustRightInd w:val="0"/>
      <w:snapToGrid w:val="0"/>
      <w:spacing w:line="520" w:lineRule="exact"/>
      <w:ind w:firstLine="560" w:firstLineChars="200"/>
    </w:pPr>
    <w:rPr>
      <w:rFonts w:ascii="Times New Roman" w:hAnsi="Times New Roman"/>
    </w:rPr>
  </w:style>
  <w:style w:type="paragraph" w:customStyle="1" w:styleId="274">
    <w:name w:val="表格内容格式"/>
    <w:semiHidden/>
    <w:qFormat/>
    <w:uiPriority w:val="99"/>
    <w:pPr>
      <w:adjustRightInd w:val="0"/>
      <w:snapToGrid w:val="0"/>
      <w:jc w:val="center"/>
    </w:pPr>
    <w:rPr>
      <w:rFonts w:ascii="Times New Roman" w:hAnsi="Times New Roman" w:eastAsia="宋体" w:cs="Times New Roman"/>
      <w:kern w:val="0"/>
      <w:sz w:val="21"/>
      <w:szCs w:val="21"/>
      <w:lang w:val="en-US" w:eastAsia="zh-CN" w:bidi="ar-SA"/>
    </w:rPr>
  </w:style>
  <w:style w:type="character" w:customStyle="1" w:styleId="275">
    <w:name w:val="1111图文字 Char"/>
    <w:link w:val="276"/>
    <w:semiHidden/>
    <w:qFormat/>
    <w:locked/>
    <w:uiPriority w:val="0"/>
    <w:rPr>
      <w:rFonts w:ascii="Times New Roman" w:hAnsi="Times New Roman"/>
      <w:b/>
      <w:sz w:val="24"/>
      <w:szCs w:val="24"/>
    </w:rPr>
  </w:style>
  <w:style w:type="paragraph" w:customStyle="1" w:styleId="276">
    <w:name w:val="1111图文字"/>
    <w:basedOn w:val="1"/>
    <w:next w:val="1"/>
    <w:link w:val="275"/>
    <w:autoRedefine/>
    <w:semiHidden/>
    <w:qFormat/>
    <w:uiPriority w:val="0"/>
    <w:pPr>
      <w:snapToGrid w:val="0"/>
      <w:spacing w:line="520" w:lineRule="exact"/>
      <w:ind w:firstLine="482"/>
      <w:jc w:val="center"/>
    </w:pPr>
    <w:rPr>
      <w:rFonts w:ascii="Times New Roman" w:hAnsi="Times New Roman" w:eastAsiaTheme="minorEastAsia" w:cstheme="minorBidi"/>
      <w:b/>
    </w:rPr>
  </w:style>
  <w:style w:type="character" w:customStyle="1" w:styleId="277">
    <w:name w:val="1111正文 Char"/>
    <w:link w:val="278"/>
    <w:semiHidden/>
    <w:qFormat/>
    <w:locked/>
    <w:uiPriority w:val="0"/>
    <w:rPr>
      <w:rFonts w:ascii="Times New Roman" w:hAnsi="Times New Roman"/>
      <w:sz w:val="24"/>
      <w:szCs w:val="24"/>
    </w:rPr>
  </w:style>
  <w:style w:type="paragraph" w:customStyle="1" w:styleId="278">
    <w:name w:val="1111正文"/>
    <w:basedOn w:val="1"/>
    <w:link w:val="277"/>
    <w:autoRedefine/>
    <w:semiHidden/>
    <w:qFormat/>
    <w:uiPriority w:val="0"/>
    <w:pPr>
      <w:spacing w:line="520" w:lineRule="exact"/>
      <w:ind w:firstLine="480" w:firstLineChars="200"/>
    </w:pPr>
    <w:rPr>
      <w:rFonts w:ascii="Times New Roman" w:hAnsi="Times New Roman" w:eastAsiaTheme="minorEastAsia" w:cstheme="minorBidi"/>
    </w:rPr>
  </w:style>
  <w:style w:type="paragraph" w:customStyle="1" w:styleId="279">
    <w:name w:val="1111二级标题"/>
    <w:basedOn w:val="278"/>
    <w:next w:val="278"/>
    <w:autoRedefine/>
    <w:semiHidden/>
    <w:qFormat/>
    <w:uiPriority w:val="99"/>
    <w:pPr>
      <w:spacing w:beforeLines="50"/>
      <w:ind w:firstLine="0" w:firstLineChars="0"/>
      <w:outlineLvl w:val="1"/>
    </w:pPr>
    <w:rPr>
      <w:rFonts w:ascii="黑体" w:eastAsia="黑体"/>
      <w:sz w:val="28"/>
      <w:szCs w:val="28"/>
    </w:rPr>
  </w:style>
  <w:style w:type="character" w:customStyle="1" w:styleId="280">
    <w:name w:val="段前2字符 Char"/>
    <w:link w:val="281"/>
    <w:semiHidden/>
    <w:qFormat/>
    <w:locked/>
    <w:uiPriority w:val="0"/>
    <w:rPr>
      <w:snapToGrid w:val="0"/>
      <w:sz w:val="24"/>
    </w:rPr>
  </w:style>
  <w:style w:type="paragraph" w:customStyle="1" w:styleId="281">
    <w:name w:val="段前2字符"/>
    <w:basedOn w:val="1"/>
    <w:link w:val="280"/>
    <w:semiHidden/>
    <w:qFormat/>
    <w:uiPriority w:val="0"/>
    <w:pPr>
      <w:adjustRightInd w:val="0"/>
      <w:snapToGrid w:val="0"/>
      <w:spacing w:line="360" w:lineRule="auto"/>
      <w:ind w:firstLine="480" w:firstLineChars="200"/>
    </w:pPr>
    <w:rPr>
      <w:rFonts w:asciiTheme="minorHAnsi" w:hAnsiTheme="minorHAnsi" w:eastAsiaTheme="minorEastAsia" w:cstheme="minorBidi"/>
      <w:snapToGrid w:val="0"/>
    </w:rPr>
  </w:style>
  <w:style w:type="paragraph" w:customStyle="1" w:styleId="282">
    <w:name w:val="表头 +1行"/>
    <w:basedOn w:val="1"/>
    <w:semiHidden/>
    <w:qFormat/>
    <w:uiPriority w:val="99"/>
    <w:pPr>
      <w:adjustRightInd w:val="0"/>
      <w:snapToGrid w:val="0"/>
      <w:spacing w:before="312" w:line="360" w:lineRule="auto"/>
      <w:jc w:val="center"/>
    </w:pPr>
    <w:rPr>
      <w:rFonts w:ascii="Times New Roman" w:hAnsi="Times New Roman" w:eastAsia="黑体"/>
      <w:szCs w:val="20"/>
    </w:rPr>
  </w:style>
  <w:style w:type="character" w:customStyle="1" w:styleId="283">
    <w:name w:val="正文+1行 Char"/>
    <w:basedOn w:val="280"/>
    <w:link w:val="284"/>
    <w:semiHidden/>
    <w:locked/>
    <w:uiPriority w:val="0"/>
  </w:style>
  <w:style w:type="paragraph" w:customStyle="1" w:styleId="284">
    <w:name w:val="正文+1行"/>
    <w:basedOn w:val="281"/>
    <w:link w:val="283"/>
    <w:semiHidden/>
    <w:qFormat/>
    <w:uiPriority w:val="0"/>
    <w:pPr>
      <w:spacing w:before="312"/>
    </w:pPr>
  </w:style>
  <w:style w:type="paragraph" w:customStyle="1" w:styleId="285">
    <w:name w:val="三级标题"/>
    <w:basedOn w:val="64"/>
    <w:semiHidden/>
    <w:qFormat/>
    <w:uiPriority w:val="99"/>
    <w:pPr>
      <w:spacing w:before="50" w:after="0" w:line="520" w:lineRule="exact"/>
      <w:jc w:val="left"/>
      <w:outlineLvl w:val="2"/>
    </w:pPr>
    <w:rPr>
      <w:rFonts w:ascii="Times New Roman" w:hAnsi="Times New Roman" w:eastAsia="华文楷体"/>
      <w:b w:val="0"/>
      <w:sz w:val="28"/>
      <w:szCs w:val="24"/>
    </w:rPr>
  </w:style>
  <w:style w:type="character" w:customStyle="1" w:styleId="286">
    <w:name w:val="表头 Char1"/>
    <w:link w:val="287"/>
    <w:semiHidden/>
    <w:qFormat/>
    <w:locked/>
    <w:uiPriority w:val="99"/>
    <w:rPr>
      <w:rFonts w:eastAsia="黑体"/>
      <w:bCs/>
      <w:sz w:val="24"/>
      <w:szCs w:val="24"/>
    </w:rPr>
  </w:style>
  <w:style w:type="paragraph" w:customStyle="1" w:styleId="287">
    <w:name w:val="表头"/>
    <w:basedOn w:val="1"/>
    <w:link w:val="286"/>
    <w:semiHidden/>
    <w:qFormat/>
    <w:uiPriority w:val="99"/>
    <w:pPr>
      <w:numPr>
        <w:ilvl w:val="0"/>
        <w:numId w:val="11"/>
      </w:numPr>
      <w:autoSpaceDE w:val="0"/>
      <w:autoSpaceDN w:val="0"/>
      <w:spacing w:line="520" w:lineRule="exact"/>
    </w:pPr>
    <w:rPr>
      <w:rFonts w:eastAsia="黑体" w:asciiTheme="minorHAnsi" w:hAnsiTheme="minorHAnsi" w:cstheme="minorBidi"/>
      <w:bCs/>
    </w:rPr>
  </w:style>
  <w:style w:type="paragraph" w:customStyle="1" w:styleId="288">
    <w:name w:val="表头0"/>
    <w:basedOn w:val="1"/>
    <w:semiHidden/>
    <w:qFormat/>
    <w:uiPriority w:val="99"/>
    <w:pPr>
      <w:autoSpaceDE w:val="0"/>
      <w:autoSpaceDN w:val="0"/>
      <w:adjustRightInd w:val="0"/>
      <w:snapToGrid w:val="0"/>
      <w:spacing w:line="520" w:lineRule="exact"/>
      <w:ind w:firstLine="480" w:firstLineChars="200"/>
    </w:pPr>
    <w:rPr>
      <w:rFonts w:ascii="Times New Roman" w:eastAsia="黑体"/>
      <w:szCs w:val="20"/>
    </w:rPr>
  </w:style>
  <w:style w:type="character" w:customStyle="1" w:styleId="289">
    <w:name w:val="文本 Char"/>
    <w:link w:val="290"/>
    <w:semiHidden/>
    <w:qFormat/>
    <w:locked/>
    <w:uiPriority w:val="0"/>
    <w:rPr>
      <w:sz w:val="24"/>
      <w:szCs w:val="24"/>
    </w:rPr>
  </w:style>
  <w:style w:type="paragraph" w:customStyle="1" w:styleId="290">
    <w:name w:val="文本"/>
    <w:basedOn w:val="1"/>
    <w:link w:val="289"/>
    <w:semiHidden/>
    <w:qFormat/>
    <w:uiPriority w:val="0"/>
    <w:pPr>
      <w:spacing w:line="360" w:lineRule="auto"/>
      <w:ind w:firstLine="480" w:firstLineChars="200"/>
    </w:pPr>
    <w:rPr>
      <w:rFonts w:asciiTheme="minorHAnsi" w:hAnsiTheme="minorHAnsi" w:eastAsiaTheme="minorEastAsia" w:cstheme="minorBidi"/>
    </w:rPr>
  </w:style>
  <w:style w:type="paragraph" w:customStyle="1" w:styleId="291">
    <w:name w:val="四级标题"/>
    <w:basedOn w:val="1"/>
    <w:semiHidden/>
    <w:qFormat/>
    <w:uiPriority w:val="99"/>
    <w:pPr>
      <w:spacing w:line="520" w:lineRule="exact"/>
      <w:outlineLvl w:val="3"/>
    </w:pPr>
    <w:rPr>
      <w:rFonts w:ascii="Times New Roman" w:hAnsi="Times New Roman"/>
      <w:b/>
      <w:bCs/>
    </w:rPr>
  </w:style>
  <w:style w:type="character" w:customStyle="1" w:styleId="292">
    <w:name w:val="报告书正文 Char Char"/>
    <w:link w:val="293"/>
    <w:semiHidden/>
    <w:qFormat/>
    <w:locked/>
    <w:uiPriority w:val="0"/>
    <w:rPr>
      <w:sz w:val="24"/>
      <w:szCs w:val="24"/>
    </w:rPr>
  </w:style>
  <w:style w:type="paragraph" w:customStyle="1" w:styleId="293">
    <w:name w:val="报告书正文"/>
    <w:basedOn w:val="1"/>
    <w:next w:val="1"/>
    <w:link w:val="292"/>
    <w:semiHidden/>
    <w:qFormat/>
    <w:uiPriority w:val="0"/>
    <w:pPr>
      <w:spacing w:line="360" w:lineRule="auto"/>
      <w:ind w:firstLine="200" w:firstLineChars="200"/>
    </w:pPr>
    <w:rPr>
      <w:rFonts w:asciiTheme="minorHAnsi" w:hAnsiTheme="minorHAnsi" w:eastAsiaTheme="minorEastAsia" w:cstheme="minorBidi"/>
    </w:rPr>
  </w:style>
  <w:style w:type="paragraph" w:customStyle="1" w:styleId="294">
    <w:name w:val="二级标题"/>
    <w:basedOn w:val="1"/>
    <w:semiHidden/>
    <w:qFormat/>
    <w:uiPriority w:val="99"/>
    <w:pPr>
      <w:keepNext/>
      <w:keepLines/>
      <w:spacing w:beforeLines="50" w:line="520" w:lineRule="exact"/>
      <w:outlineLvl w:val="1"/>
    </w:pPr>
    <w:rPr>
      <w:rFonts w:ascii="Times New Roman" w:hAnsi="Times New Roman" w:eastAsia="黑体"/>
      <w:sz w:val="28"/>
      <w:szCs w:val="28"/>
    </w:rPr>
  </w:style>
  <w:style w:type="paragraph" w:customStyle="1" w:styleId="295">
    <w:name w:val="标题3"/>
    <w:basedOn w:val="5"/>
    <w:next w:val="1"/>
    <w:semiHidden/>
    <w:qFormat/>
    <w:uiPriority w:val="99"/>
    <w:pPr>
      <w:spacing w:before="0" w:after="0" w:line="480" w:lineRule="exact"/>
      <w:outlineLvl w:val="3"/>
    </w:pPr>
    <w:rPr>
      <w:rFonts w:ascii="Times New Roman" w:hAnsi="Times New Roman"/>
      <w:b w:val="0"/>
      <w:sz w:val="24"/>
    </w:rPr>
  </w:style>
  <w:style w:type="character" w:customStyle="1" w:styleId="296">
    <w:name w:val="表内内容 Char"/>
    <w:link w:val="297"/>
    <w:semiHidden/>
    <w:qFormat/>
    <w:locked/>
    <w:uiPriority w:val="0"/>
    <w:rPr>
      <w:rFonts w:ascii="Times New Roman" w:hAnsi="Times New Roman"/>
      <w:szCs w:val="21"/>
    </w:rPr>
  </w:style>
  <w:style w:type="paragraph" w:customStyle="1" w:styleId="297">
    <w:name w:val="表内内容"/>
    <w:basedOn w:val="1"/>
    <w:link w:val="296"/>
    <w:semiHidden/>
    <w:qFormat/>
    <w:uiPriority w:val="0"/>
    <w:pPr>
      <w:jc w:val="center"/>
    </w:pPr>
    <w:rPr>
      <w:rFonts w:ascii="Times New Roman" w:hAnsi="Times New Roman" w:eastAsiaTheme="minorEastAsia" w:cstheme="minorBidi"/>
      <w:szCs w:val="21"/>
    </w:rPr>
  </w:style>
  <w:style w:type="paragraph" w:customStyle="1" w:styleId="298">
    <w:name w:val="Char Char Char1 Char Char Char Char Char Char Char Char Char Char Char Char Char Char Char Char Char Char Char2"/>
    <w:basedOn w:val="1"/>
    <w:semiHidden/>
    <w:qFormat/>
    <w:uiPriority w:val="99"/>
    <w:pPr>
      <w:spacing w:line="360" w:lineRule="auto"/>
      <w:ind w:firstLine="200" w:firstLineChars="200"/>
    </w:pPr>
    <w:rPr>
      <w:rFonts w:ascii="Times New Roman" w:hAnsi="Times New Roman"/>
      <w:szCs w:val="20"/>
    </w:rPr>
  </w:style>
  <w:style w:type="paragraph" w:customStyle="1" w:styleId="299">
    <w:name w:val="Table Paragraph"/>
    <w:basedOn w:val="1"/>
    <w:semiHidden/>
    <w:qFormat/>
    <w:uiPriority w:val="1"/>
    <w:pPr>
      <w:autoSpaceDE w:val="0"/>
      <w:autoSpaceDN w:val="0"/>
      <w:jc w:val="center"/>
    </w:pPr>
    <w:rPr>
      <w:rFonts w:ascii="Noto Sans CJK JP Regular" w:hAnsi="Noto Sans CJK JP Regular" w:eastAsia="Noto Sans CJK JP Regular" w:cs="Noto Sans CJK JP Regular"/>
      <w:sz w:val="22"/>
      <w:szCs w:val="20"/>
      <w:lang w:eastAsia="en-US"/>
    </w:rPr>
  </w:style>
  <w:style w:type="paragraph" w:customStyle="1" w:styleId="300">
    <w:name w:val="三级标题0"/>
    <w:basedOn w:val="1"/>
    <w:semiHidden/>
    <w:qFormat/>
    <w:uiPriority w:val="99"/>
    <w:pPr>
      <w:spacing w:line="520" w:lineRule="exact"/>
      <w:outlineLvl w:val="2"/>
    </w:pPr>
    <w:rPr>
      <w:rFonts w:ascii="Times New Roman" w:hAnsi="Times New Roman" w:eastAsia="楷体"/>
      <w:bCs/>
      <w:kern w:val="28"/>
      <w:sz w:val="28"/>
    </w:rPr>
  </w:style>
  <w:style w:type="paragraph" w:customStyle="1" w:styleId="301">
    <w:name w:val="二级标题0"/>
    <w:basedOn w:val="1"/>
    <w:semiHidden/>
    <w:qFormat/>
    <w:uiPriority w:val="99"/>
    <w:pPr>
      <w:keepNext/>
      <w:keepLines/>
      <w:adjustRightInd w:val="0"/>
      <w:snapToGrid w:val="0"/>
      <w:spacing w:before="120" w:after="120" w:line="520" w:lineRule="exact"/>
      <w:outlineLvl w:val="1"/>
    </w:pPr>
    <w:rPr>
      <w:rFonts w:ascii="Times New Roman" w:hAnsi="Times New Roman" w:eastAsia="黑体"/>
      <w:kern w:val="24"/>
      <w:sz w:val="28"/>
      <w:szCs w:val="28"/>
    </w:rPr>
  </w:style>
  <w:style w:type="paragraph" w:customStyle="1" w:styleId="302">
    <w:name w:val="三级"/>
    <w:basedOn w:val="1"/>
    <w:semiHidden/>
    <w:qFormat/>
    <w:uiPriority w:val="99"/>
    <w:pPr>
      <w:spacing w:line="520" w:lineRule="exact"/>
      <w:outlineLvl w:val="2"/>
    </w:pPr>
    <w:rPr>
      <w:rFonts w:ascii="Times New Roman" w:hAnsi="Times New Roman" w:eastAsia="楷体"/>
      <w:bCs/>
      <w:kern w:val="28"/>
      <w:sz w:val="28"/>
    </w:rPr>
  </w:style>
  <w:style w:type="paragraph" w:customStyle="1" w:styleId="303">
    <w:name w:val="表格1"/>
    <w:basedOn w:val="39"/>
    <w:qFormat/>
    <w:uiPriority w:val="0"/>
    <w:pPr>
      <w:adjustRightInd w:val="0"/>
      <w:snapToGrid w:val="0"/>
      <w:spacing w:after="0" w:line="360" w:lineRule="exact"/>
      <w:ind w:left="0" w:leftChars="0" w:right="0" w:rightChars="0"/>
      <w:jc w:val="center"/>
    </w:pPr>
    <w:rPr>
      <w:rFonts w:ascii="Times New Roman" w:hAnsi="Times New Roman" w:eastAsia="黑体"/>
      <w:szCs w:val="28"/>
    </w:rPr>
  </w:style>
  <w:style w:type="paragraph" w:customStyle="1" w:styleId="304">
    <w:name w:val="4表格内3级标题"/>
    <w:basedOn w:val="167"/>
    <w:next w:val="167"/>
    <w:qFormat/>
    <w:uiPriority w:val="0"/>
    <w:pPr>
      <w:ind w:firstLine="0" w:firstLineChars="0"/>
    </w:pPr>
    <w:rPr>
      <w:rFonts w:ascii="Calibri" w:hAnsi="Calibri" w:eastAsia="宋体" w:cs="Times New Roman"/>
    </w:rPr>
  </w:style>
  <w:style w:type="character" w:customStyle="1" w:styleId="305">
    <w:name w:val="表内字 Char"/>
    <w:link w:val="306"/>
    <w:semiHidden/>
    <w:qFormat/>
    <w:locked/>
    <w:uiPriority w:val="0"/>
    <w:rPr>
      <w:rFonts w:ascii="Times New Roman" w:hAnsi="Times New Roman"/>
      <w:bCs/>
      <w:szCs w:val="21"/>
    </w:rPr>
  </w:style>
  <w:style w:type="paragraph" w:customStyle="1" w:styleId="306">
    <w:name w:val="表内字"/>
    <w:link w:val="305"/>
    <w:semiHidden/>
    <w:qFormat/>
    <w:uiPriority w:val="0"/>
    <w:pPr>
      <w:spacing w:line="320" w:lineRule="exact"/>
      <w:jc w:val="center"/>
    </w:pPr>
    <w:rPr>
      <w:rFonts w:ascii="Times New Roman" w:hAnsi="Times New Roman" w:eastAsiaTheme="minorEastAsia" w:cstheme="minorBidi"/>
      <w:bCs/>
      <w:kern w:val="2"/>
      <w:sz w:val="21"/>
      <w:szCs w:val="21"/>
      <w:lang w:val="en-US" w:eastAsia="zh-CN" w:bidi="ar-SA"/>
    </w:rPr>
  </w:style>
  <w:style w:type="character" w:customStyle="1" w:styleId="307">
    <w:name w:val="图表标题 Char"/>
    <w:link w:val="308"/>
    <w:semiHidden/>
    <w:qFormat/>
    <w:locked/>
    <w:uiPriority w:val="0"/>
    <w:rPr>
      <w:rFonts w:ascii="Times New Roman" w:hAnsi="Times New Roman" w:eastAsia="黑体" w:cs="Arial"/>
      <w:szCs w:val="24"/>
    </w:rPr>
  </w:style>
  <w:style w:type="paragraph" w:customStyle="1" w:styleId="308">
    <w:name w:val="图表标题"/>
    <w:basedOn w:val="1"/>
    <w:link w:val="307"/>
    <w:semiHidden/>
    <w:qFormat/>
    <w:uiPriority w:val="0"/>
    <w:pPr>
      <w:snapToGrid w:val="0"/>
      <w:jc w:val="center"/>
    </w:pPr>
    <w:rPr>
      <w:rFonts w:ascii="Times New Roman" w:hAnsi="Times New Roman" w:eastAsia="黑体" w:cs="Arial"/>
    </w:rPr>
  </w:style>
  <w:style w:type="character" w:customStyle="1" w:styleId="309">
    <w:name w:val="正文 首行缩进:  2 字符 Char"/>
    <w:link w:val="310"/>
    <w:semiHidden/>
    <w:qFormat/>
    <w:locked/>
    <w:uiPriority w:val="0"/>
    <w:rPr>
      <w:rFonts w:ascii="Times New Roman" w:hAnsi="Times New Roman" w:cs="宋体"/>
      <w:sz w:val="24"/>
    </w:rPr>
  </w:style>
  <w:style w:type="paragraph" w:customStyle="1" w:styleId="310">
    <w:name w:val="正文 首行缩进:  2 字符"/>
    <w:basedOn w:val="1"/>
    <w:link w:val="309"/>
    <w:semiHidden/>
    <w:qFormat/>
    <w:uiPriority w:val="0"/>
    <w:pPr>
      <w:adjustRightInd w:val="0"/>
      <w:snapToGrid w:val="0"/>
      <w:spacing w:line="500" w:lineRule="exact"/>
      <w:ind w:firstLine="200" w:firstLineChars="200"/>
    </w:pPr>
    <w:rPr>
      <w:rFonts w:ascii="Times New Roman" w:hAnsi="Times New Roman" w:eastAsiaTheme="minorEastAsia"/>
    </w:rPr>
  </w:style>
  <w:style w:type="paragraph" w:customStyle="1" w:styleId="311">
    <w:name w:val="表格内容新"/>
    <w:basedOn w:val="1"/>
    <w:semiHidden/>
    <w:qFormat/>
    <w:uiPriority w:val="99"/>
    <w:rPr>
      <w:rFonts w:ascii="Times New Roman" w:hAnsi="Times New Roman"/>
      <w:szCs w:val="20"/>
    </w:rPr>
  </w:style>
  <w:style w:type="character" w:customStyle="1" w:styleId="312">
    <w:name w:val="环科院正文 Char"/>
    <w:link w:val="313"/>
    <w:semiHidden/>
    <w:qFormat/>
    <w:locked/>
    <w:uiPriority w:val="0"/>
    <w:rPr>
      <w:rFonts w:ascii="宋体" w:hAnsi="宋体"/>
      <w:bCs/>
      <w:sz w:val="24"/>
      <w:szCs w:val="24"/>
      <w:u w:color="000000"/>
      <w:lang w:val="zh-CN"/>
    </w:rPr>
  </w:style>
  <w:style w:type="paragraph" w:customStyle="1" w:styleId="313">
    <w:name w:val="环科院正文"/>
    <w:basedOn w:val="1"/>
    <w:link w:val="312"/>
    <w:semiHidden/>
    <w:qFormat/>
    <w:uiPriority w:val="0"/>
    <w:pPr>
      <w:tabs>
        <w:tab w:val="left" w:pos="5760"/>
      </w:tabs>
      <w:adjustRightInd w:val="0"/>
      <w:spacing w:before="120" w:after="120" w:line="500" w:lineRule="exact"/>
      <w:ind w:firstLine="480" w:firstLineChars="200"/>
    </w:pPr>
    <w:rPr>
      <w:rFonts w:eastAsiaTheme="minorEastAsia" w:cstheme="minorBidi"/>
      <w:bCs/>
      <w:u w:color="000000"/>
      <w:lang w:val="zh-CN"/>
    </w:rPr>
  </w:style>
  <w:style w:type="paragraph" w:customStyle="1" w:styleId="314">
    <w:name w:val="表注"/>
    <w:basedOn w:val="1"/>
    <w:semiHidden/>
    <w:qFormat/>
    <w:uiPriority w:val="99"/>
    <w:pPr>
      <w:autoSpaceDE w:val="0"/>
      <w:autoSpaceDN w:val="0"/>
      <w:adjustRightInd w:val="0"/>
      <w:snapToGrid w:val="0"/>
      <w:spacing w:beforeLines="50"/>
    </w:pPr>
    <w:rPr>
      <w:rFonts w:ascii="Times New Roman" w:hAnsi="Times New Roman" w:cs="Arial"/>
      <w:szCs w:val="21"/>
    </w:rPr>
  </w:style>
  <w:style w:type="paragraph" w:customStyle="1" w:styleId="315">
    <w:name w:val="样式 标题 1 + 华文中宋 两端对齐 左侧:  0 厘米"/>
    <w:basedOn w:val="3"/>
    <w:semiHidden/>
    <w:qFormat/>
    <w:uiPriority w:val="99"/>
    <w:pPr>
      <w:tabs>
        <w:tab w:val="left" w:pos="1272"/>
      </w:tabs>
      <w:snapToGrid w:val="0"/>
      <w:spacing w:after="340" w:line="240" w:lineRule="auto"/>
      <w:ind w:left="1272" w:hanging="705"/>
    </w:pPr>
    <w:rPr>
      <w:rFonts w:ascii="华文中宋" w:hAnsi="华文中宋" w:eastAsia="华文中宋"/>
      <w:b w:val="0"/>
      <w:bCs w:val="0"/>
      <w:sz w:val="28"/>
    </w:rPr>
  </w:style>
  <w:style w:type="paragraph" w:customStyle="1" w:styleId="316">
    <w:name w:val="样式 表头 + 首行缩进:  2 字符"/>
    <w:basedOn w:val="1"/>
    <w:semiHidden/>
    <w:qFormat/>
    <w:uiPriority w:val="99"/>
    <w:pPr>
      <w:snapToGrid w:val="0"/>
      <w:spacing w:line="360" w:lineRule="auto"/>
      <w:ind w:firstLine="200" w:firstLineChars="200"/>
    </w:pPr>
    <w:rPr>
      <w:rFonts w:ascii="Times New Roman" w:hAnsi="Times New Roman"/>
      <w:szCs w:val="20"/>
    </w:rPr>
  </w:style>
  <w:style w:type="paragraph" w:customStyle="1" w:styleId="317">
    <w:name w:val="样式 表字 + 首行缩进:  2 字符"/>
    <w:basedOn w:val="1"/>
    <w:semiHidden/>
    <w:qFormat/>
    <w:uiPriority w:val="99"/>
    <w:pPr>
      <w:snapToGrid w:val="0"/>
      <w:jc w:val="center"/>
    </w:pPr>
    <w:rPr>
      <w:rFonts w:hAnsi="Times New Roman"/>
      <w:szCs w:val="21"/>
    </w:rPr>
  </w:style>
  <w:style w:type="paragraph" w:customStyle="1" w:styleId="318">
    <w:name w:val="默认段落字体 Para Char"/>
    <w:basedOn w:val="1"/>
    <w:next w:val="1"/>
    <w:semiHidden/>
    <w:qFormat/>
    <w:uiPriority w:val="99"/>
    <w:pPr>
      <w:snapToGrid w:val="0"/>
      <w:spacing w:line="360" w:lineRule="auto"/>
      <w:ind w:firstLine="200" w:firstLineChars="200"/>
    </w:pPr>
  </w:style>
  <w:style w:type="paragraph" w:customStyle="1" w:styleId="319">
    <w:name w:val="Char"/>
    <w:basedOn w:val="1"/>
    <w:semiHidden/>
    <w:qFormat/>
    <w:uiPriority w:val="99"/>
    <w:pPr>
      <w:snapToGrid w:val="0"/>
    </w:pPr>
    <w:rPr>
      <w:rFonts w:ascii="Times New Roman" w:hAnsi="Times New Roman"/>
    </w:rPr>
  </w:style>
  <w:style w:type="paragraph" w:customStyle="1" w:styleId="320">
    <w:name w:val="Char Char Char Char Char Char Char"/>
    <w:basedOn w:val="1"/>
    <w:semiHidden/>
    <w:qFormat/>
    <w:uiPriority w:val="99"/>
    <w:pPr>
      <w:adjustRightInd w:val="0"/>
      <w:snapToGrid w:val="0"/>
      <w:spacing w:line="360" w:lineRule="auto"/>
    </w:pPr>
    <w:rPr>
      <w:rFonts w:ascii="Times New Roman" w:hAnsi="Times New Roman"/>
    </w:rPr>
  </w:style>
  <w:style w:type="paragraph" w:customStyle="1" w:styleId="321">
    <w:name w:val="Char Char2"/>
    <w:basedOn w:val="1"/>
    <w:semiHidden/>
    <w:qFormat/>
    <w:uiPriority w:val="99"/>
    <w:pPr>
      <w:snapToGrid w:val="0"/>
      <w:spacing w:line="360" w:lineRule="auto"/>
      <w:ind w:firstLine="200" w:firstLineChars="200"/>
    </w:pPr>
  </w:style>
  <w:style w:type="character" w:customStyle="1" w:styleId="322">
    <w:name w:val="01一级标题 Char"/>
    <w:link w:val="323"/>
    <w:semiHidden/>
    <w:locked/>
    <w:uiPriority w:val="0"/>
    <w:rPr>
      <w:rFonts w:ascii="Cambria" w:hAnsi="Cambria" w:cs="Arial"/>
      <w:b/>
      <w:bCs/>
      <w:sz w:val="32"/>
      <w:szCs w:val="32"/>
    </w:rPr>
  </w:style>
  <w:style w:type="paragraph" w:customStyle="1" w:styleId="323">
    <w:name w:val="01一级标题"/>
    <w:basedOn w:val="84"/>
    <w:link w:val="322"/>
    <w:semiHidden/>
    <w:qFormat/>
    <w:uiPriority w:val="0"/>
    <w:pPr>
      <w:pageBreakBefore/>
    </w:pPr>
    <w:rPr>
      <w:rFonts w:ascii="Cambria" w:hAnsi="Cambria" w:cs="Arial" w:eastAsiaTheme="minorEastAsia"/>
    </w:rPr>
  </w:style>
  <w:style w:type="paragraph" w:customStyle="1" w:styleId="324">
    <w:name w:val="02二级标题"/>
    <w:basedOn w:val="1"/>
    <w:semiHidden/>
    <w:qFormat/>
    <w:uiPriority w:val="99"/>
    <w:pPr>
      <w:spacing w:beforeLines="50" w:line="500" w:lineRule="exact"/>
      <w:outlineLvl w:val="1"/>
    </w:pPr>
    <w:rPr>
      <w:rFonts w:ascii="Times New Roman" w:hAnsi="Times New Roman" w:eastAsia="黑体"/>
      <w:sz w:val="28"/>
      <w:szCs w:val="20"/>
    </w:rPr>
  </w:style>
  <w:style w:type="paragraph" w:customStyle="1" w:styleId="325">
    <w:name w:val="03三级标题"/>
    <w:basedOn w:val="1"/>
    <w:semiHidden/>
    <w:qFormat/>
    <w:uiPriority w:val="99"/>
    <w:pPr>
      <w:spacing w:beforeLines="50" w:line="500" w:lineRule="exact"/>
      <w:outlineLvl w:val="2"/>
    </w:pPr>
    <w:rPr>
      <w:rFonts w:ascii="Times New Roman" w:hAnsi="Times New Roman"/>
      <w:sz w:val="28"/>
      <w:szCs w:val="20"/>
    </w:rPr>
  </w:style>
  <w:style w:type="paragraph" w:customStyle="1" w:styleId="326">
    <w:name w:val="04四级标题"/>
    <w:basedOn w:val="1"/>
    <w:semiHidden/>
    <w:qFormat/>
    <w:uiPriority w:val="99"/>
    <w:pPr>
      <w:spacing w:line="500" w:lineRule="exact"/>
      <w:outlineLvl w:val="3"/>
    </w:pPr>
    <w:rPr>
      <w:rFonts w:ascii="Times New Roman" w:hAnsi="Times New Roman"/>
      <w:sz w:val="28"/>
      <w:szCs w:val="20"/>
    </w:rPr>
  </w:style>
  <w:style w:type="paragraph" w:customStyle="1" w:styleId="327">
    <w:name w:val="表头格式"/>
    <w:basedOn w:val="1"/>
    <w:semiHidden/>
    <w:qFormat/>
    <w:uiPriority w:val="99"/>
    <w:pPr>
      <w:adjustRightInd w:val="0"/>
      <w:snapToGrid w:val="0"/>
      <w:ind w:firstLine="480" w:firstLineChars="200"/>
    </w:pPr>
    <w:rPr>
      <w:rFonts w:ascii="Times New Roman" w:hAnsi="Times New Roman" w:eastAsia="黑体"/>
      <w:color w:val="000000"/>
      <w:kern w:val="24"/>
      <w:szCs w:val="20"/>
    </w:rPr>
  </w:style>
  <w:style w:type="character" w:customStyle="1" w:styleId="328">
    <w:name w:val="3正文 Char Char"/>
    <w:link w:val="329"/>
    <w:semiHidden/>
    <w:qFormat/>
    <w:locked/>
    <w:uiPriority w:val="0"/>
    <w:rPr>
      <w:sz w:val="24"/>
      <w:szCs w:val="24"/>
    </w:rPr>
  </w:style>
  <w:style w:type="paragraph" w:customStyle="1" w:styleId="329">
    <w:name w:val="3正文"/>
    <w:link w:val="328"/>
    <w:semiHidden/>
    <w:qFormat/>
    <w:uiPriority w:val="0"/>
    <w:pPr>
      <w:widowControl w:val="0"/>
      <w:spacing w:line="520" w:lineRule="exact"/>
      <w:ind w:firstLine="200" w:firstLineChars="200"/>
      <w:jc w:val="both"/>
    </w:pPr>
    <w:rPr>
      <w:rFonts w:asciiTheme="minorHAnsi" w:hAnsiTheme="minorHAnsi" w:eastAsiaTheme="minorEastAsia" w:cstheme="minorBidi"/>
      <w:kern w:val="2"/>
      <w:sz w:val="24"/>
      <w:szCs w:val="24"/>
      <w:lang w:val="en-US" w:eastAsia="zh-CN" w:bidi="ar-SA"/>
    </w:rPr>
  </w:style>
  <w:style w:type="paragraph" w:customStyle="1" w:styleId="330">
    <w:name w:val="Default"/>
    <w:semiHidden/>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331">
    <w:name w:val="列出段落2"/>
    <w:basedOn w:val="1"/>
    <w:semiHidden/>
    <w:qFormat/>
    <w:uiPriority w:val="34"/>
    <w:pPr>
      <w:ind w:firstLine="420" w:firstLineChars="200"/>
    </w:pPr>
    <w:rPr>
      <w:rFonts w:ascii="Times New Roman" w:hAnsi="Times New Roman"/>
      <w:sz w:val="20"/>
      <w:szCs w:val="20"/>
    </w:rPr>
  </w:style>
  <w:style w:type="paragraph" w:customStyle="1" w:styleId="332">
    <w:name w:val="表格居中"/>
    <w:semiHidden/>
    <w:qFormat/>
    <w:uiPriority w:val="99"/>
    <w:pPr>
      <w:widowControl w:val="0"/>
      <w:snapToGrid w:val="0"/>
      <w:jc w:val="center"/>
    </w:pPr>
    <w:rPr>
      <w:rFonts w:ascii="Times New Roman" w:hAnsi="Times New Roman" w:eastAsia="宋体" w:cs="Times New Roman"/>
      <w:kern w:val="2"/>
      <w:sz w:val="21"/>
      <w:szCs w:val="22"/>
      <w:lang w:val="en-US" w:eastAsia="zh-CN" w:bidi="ar-SA"/>
    </w:rPr>
  </w:style>
  <w:style w:type="paragraph" w:customStyle="1" w:styleId="333">
    <w:name w:val="环评正文"/>
    <w:semiHidden/>
    <w:qFormat/>
    <w:uiPriority w:val="99"/>
    <w:pPr>
      <w:widowControl w:val="0"/>
      <w:spacing w:line="360" w:lineRule="auto"/>
      <w:ind w:firstLine="640" w:firstLineChars="200"/>
      <w:jc w:val="both"/>
    </w:pPr>
    <w:rPr>
      <w:rFonts w:ascii="Calibri" w:hAnsi="Calibri" w:eastAsia="宋体" w:cs="宋体"/>
      <w:kern w:val="2"/>
      <w:sz w:val="24"/>
      <w:szCs w:val="24"/>
      <w:lang w:val="en-US" w:eastAsia="zh-CN" w:bidi="ar-SA"/>
    </w:rPr>
  </w:style>
  <w:style w:type="paragraph" w:customStyle="1" w:styleId="334">
    <w:name w:val="TableStyle12"/>
    <w:semiHidden/>
    <w:qFormat/>
    <w:uiPriority w:val="99"/>
    <w:pPr>
      <w:widowControl w:val="0"/>
      <w:spacing w:line="360" w:lineRule="auto"/>
      <w:ind w:firstLine="883" w:firstLineChars="200"/>
      <w:jc w:val="center"/>
    </w:pPr>
    <w:rPr>
      <w:rFonts w:ascii="Times New Roman" w:hAnsi="Times New Roman" w:eastAsia="宋体" w:cs="Calibri"/>
      <w:kern w:val="2"/>
      <w:sz w:val="24"/>
      <w:szCs w:val="21"/>
      <w:lang w:val="en-US" w:eastAsia="zh-CN" w:bidi="ar-SA"/>
    </w:rPr>
  </w:style>
  <w:style w:type="paragraph" w:customStyle="1" w:styleId="335">
    <w:name w:val="样式 Times New Roman 黑色 首行缩进:  0.85 厘米 段后: 0 磅 行距: 1.5 倍行距1"/>
    <w:semiHidden/>
    <w:qFormat/>
    <w:uiPriority w:val="99"/>
    <w:pPr>
      <w:widowControl w:val="0"/>
      <w:spacing w:before="100" w:beforeAutospacing="1" w:line="520" w:lineRule="exact"/>
      <w:ind w:firstLine="200" w:firstLineChars="200"/>
      <w:jc w:val="both"/>
    </w:pPr>
    <w:rPr>
      <w:rFonts w:ascii="Calibri" w:hAnsi="Calibri" w:eastAsia="宋体" w:cs="宋体"/>
      <w:color w:val="000000"/>
      <w:kern w:val="2"/>
      <w:sz w:val="21"/>
      <w:szCs w:val="21"/>
      <w:lang w:val="en-US" w:eastAsia="zh-CN" w:bidi="ar-SA"/>
    </w:rPr>
  </w:style>
  <w:style w:type="paragraph" w:customStyle="1" w:styleId="336">
    <w:name w:val="yyp"/>
    <w:semiHidden/>
    <w:qFormat/>
    <w:uiPriority w:val="99"/>
    <w:pPr>
      <w:widowControl w:val="0"/>
      <w:spacing w:after="120"/>
      <w:ind w:firstLine="480" w:firstLineChars="200"/>
      <w:jc w:val="both"/>
    </w:pPr>
    <w:rPr>
      <w:rFonts w:ascii="Calibri" w:hAnsi="Calibri" w:eastAsia="宋体" w:cs="Times New Roman"/>
      <w:kern w:val="0"/>
      <w:sz w:val="24"/>
      <w:szCs w:val="20"/>
      <w:lang w:val="en-US" w:eastAsia="zh-CN" w:bidi="ar-SA"/>
    </w:rPr>
  </w:style>
  <w:style w:type="paragraph" w:customStyle="1" w:styleId="337">
    <w:name w:val="biant2"/>
    <w:semiHidden/>
    <w:qFormat/>
    <w:uiPriority w:val="99"/>
    <w:pPr>
      <w:keepNext/>
      <w:keepLines/>
      <w:widowControl w:val="0"/>
      <w:spacing w:line="360" w:lineRule="auto"/>
      <w:ind w:firstLine="200" w:firstLineChars="200"/>
      <w:jc w:val="both"/>
      <w:outlineLvl w:val="1"/>
    </w:pPr>
    <w:rPr>
      <w:rFonts w:ascii="宋体" w:hAnsi="Calibri" w:eastAsia="宋体" w:cs="Times New Roman"/>
      <w:b/>
      <w:bCs/>
      <w:kern w:val="0"/>
      <w:sz w:val="32"/>
      <w:szCs w:val="32"/>
      <w:lang w:val="en-US" w:eastAsia="zh-CN" w:bidi="ar-SA"/>
    </w:rPr>
  </w:style>
  <w:style w:type="paragraph" w:customStyle="1" w:styleId="338">
    <w:name w:val="表内"/>
    <w:basedOn w:val="1"/>
    <w:semiHidden/>
    <w:qFormat/>
    <w:uiPriority w:val="99"/>
    <w:pPr>
      <w:jc w:val="center"/>
    </w:pPr>
    <w:rPr>
      <w:rFonts w:ascii="Times New Roman" w:hAnsi="Times New Roman"/>
      <w:szCs w:val="20"/>
    </w:rPr>
  </w:style>
  <w:style w:type="paragraph" w:customStyle="1" w:styleId="339">
    <w:name w:val="图表名称"/>
    <w:semiHidden/>
    <w:qFormat/>
    <w:uiPriority w:val="99"/>
    <w:pPr>
      <w:widowControl w:val="0"/>
      <w:jc w:val="center"/>
    </w:pPr>
    <w:rPr>
      <w:rFonts w:ascii="Calibri" w:hAnsi="Calibri" w:eastAsia="宋体" w:cs="Times New Roman"/>
      <w:b/>
      <w:bCs/>
      <w:kern w:val="2"/>
      <w:sz w:val="21"/>
      <w:szCs w:val="21"/>
      <w:lang w:val="en-US" w:eastAsia="zh-CN" w:bidi="ar-SA"/>
    </w:rPr>
  </w:style>
  <w:style w:type="paragraph" w:customStyle="1" w:styleId="340">
    <w:name w:val="样式 Times New Roman 黑色 首行缩进:  0.85 厘米"/>
    <w:semiHidden/>
    <w:qFormat/>
    <w:uiPriority w:val="99"/>
    <w:pPr>
      <w:widowControl w:val="0"/>
      <w:spacing w:before="100" w:beforeAutospacing="1" w:line="520" w:lineRule="exact"/>
      <w:ind w:firstLine="200" w:firstLineChars="200"/>
      <w:jc w:val="both"/>
    </w:pPr>
    <w:rPr>
      <w:rFonts w:ascii="Calibri" w:hAnsi="Calibri" w:eastAsia="宋体" w:cs="宋体"/>
      <w:color w:val="000000"/>
      <w:kern w:val="2"/>
      <w:sz w:val="24"/>
      <w:szCs w:val="24"/>
      <w:lang w:val="en-US" w:eastAsia="zh-CN" w:bidi="ar-SA"/>
    </w:rPr>
  </w:style>
  <w:style w:type="paragraph" w:customStyle="1" w:styleId="341">
    <w:name w:val="样式 Times New Roman 黑色 首行缩进:  0.85 厘米 段后: 0 磅 行距: 1.5 倍行距"/>
    <w:semiHidden/>
    <w:qFormat/>
    <w:uiPriority w:val="99"/>
    <w:pPr>
      <w:widowControl w:val="0"/>
      <w:spacing w:before="100" w:beforeAutospacing="1" w:line="520" w:lineRule="exact"/>
      <w:ind w:firstLine="200" w:firstLineChars="200"/>
      <w:jc w:val="both"/>
    </w:pPr>
    <w:rPr>
      <w:rFonts w:ascii="Calibri" w:hAnsi="Calibri" w:eastAsia="宋体" w:cs="宋体"/>
      <w:color w:val="000000"/>
      <w:kern w:val="2"/>
      <w:sz w:val="24"/>
      <w:szCs w:val="24"/>
      <w:lang w:val="en-US" w:eastAsia="zh-CN" w:bidi="ar-SA"/>
    </w:rPr>
  </w:style>
  <w:style w:type="paragraph" w:customStyle="1" w:styleId="342">
    <w:name w:val="正文1"/>
    <w:semiHidden/>
    <w:qFormat/>
    <w:uiPriority w:val="99"/>
    <w:pPr>
      <w:jc w:val="both"/>
    </w:pPr>
    <w:rPr>
      <w:rFonts w:ascii="Calibri" w:hAnsi="Calibri" w:eastAsia="宋体" w:cs="宋体"/>
      <w:kern w:val="2"/>
      <w:sz w:val="21"/>
      <w:szCs w:val="21"/>
      <w:lang w:val="en-US" w:eastAsia="zh-CN" w:bidi="ar-SA"/>
    </w:rPr>
  </w:style>
  <w:style w:type="paragraph" w:customStyle="1" w:styleId="343">
    <w:name w:val="段"/>
    <w:semiHidden/>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344">
    <w:name w:val="00 Char"/>
    <w:link w:val="345"/>
    <w:semiHidden/>
    <w:qFormat/>
    <w:locked/>
    <w:uiPriority w:val="0"/>
    <w:rPr>
      <w:rFonts w:ascii="宋体" w:hAnsi="宋体" w:cs="宋体"/>
      <w:sz w:val="24"/>
    </w:rPr>
  </w:style>
  <w:style w:type="paragraph" w:customStyle="1" w:styleId="345">
    <w:name w:val="00"/>
    <w:link w:val="344"/>
    <w:semiHidden/>
    <w:qFormat/>
    <w:uiPriority w:val="0"/>
    <w:pPr>
      <w:widowControl w:val="0"/>
      <w:adjustRightInd w:val="0"/>
      <w:snapToGrid w:val="0"/>
      <w:spacing w:line="520" w:lineRule="exact"/>
      <w:ind w:firstLine="200" w:firstLineChars="200"/>
      <w:jc w:val="both"/>
    </w:pPr>
    <w:rPr>
      <w:rFonts w:ascii="宋体" w:hAnsi="宋体" w:cs="宋体" w:eastAsiaTheme="minorEastAsia"/>
      <w:kern w:val="2"/>
      <w:sz w:val="24"/>
      <w:szCs w:val="22"/>
      <w:lang w:val="en-US" w:eastAsia="zh-CN" w:bidi="ar-SA"/>
    </w:rPr>
  </w:style>
  <w:style w:type="paragraph" w:customStyle="1" w:styleId="346">
    <w:name w:val="样式 正文文本 3 + 字距调整四号"/>
    <w:next w:val="1"/>
    <w:semiHidden/>
    <w:qFormat/>
    <w:uiPriority w:val="99"/>
    <w:pPr>
      <w:widowControl w:val="0"/>
      <w:spacing w:line="440" w:lineRule="exact"/>
      <w:jc w:val="center"/>
    </w:pPr>
    <w:rPr>
      <w:rFonts w:ascii="Times New Roman" w:hAnsi="Times New Roman" w:eastAsia="宋体" w:cs="Times New Roman"/>
      <w:b/>
      <w:kern w:val="28"/>
      <w:sz w:val="21"/>
      <w:szCs w:val="16"/>
      <w:lang w:val="en-US" w:eastAsia="zh-CN" w:bidi="ar-SA"/>
    </w:rPr>
  </w:style>
  <w:style w:type="paragraph" w:customStyle="1" w:styleId="347">
    <w:name w:val="样式 样式 正文文本 3 + 字距调整四号 +"/>
    <w:semiHidden/>
    <w:qFormat/>
    <w:uiPriority w:val="99"/>
    <w:pPr>
      <w:widowControl w:val="0"/>
      <w:jc w:val="center"/>
    </w:pPr>
    <w:rPr>
      <w:rFonts w:ascii="Times New Roman" w:hAnsi="宋体" w:eastAsia="宋体" w:cs="Times New Roman"/>
      <w:bCs/>
      <w:kern w:val="28"/>
      <w:sz w:val="21"/>
      <w:szCs w:val="21"/>
      <w:lang w:val="en-US" w:eastAsia="zh-CN" w:bidi="ar-SA"/>
    </w:rPr>
  </w:style>
  <w:style w:type="paragraph" w:customStyle="1" w:styleId="348">
    <w:name w:val="标题4-正文"/>
    <w:semiHidden/>
    <w:qFormat/>
    <w:uiPriority w:val="99"/>
    <w:pPr>
      <w:widowControl w:val="0"/>
      <w:spacing w:line="440" w:lineRule="exact"/>
      <w:ind w:firstLine="480" w:firstLineChars="200"/>
      <w:jc w:val="both"/>
    </w:pPr>
    <w:rPr>
      <w:rFonts w:ascii="Times New Roman" w:hAnsi="Times New Roman" w:eastAsia="宋体" w:cs="Times New Roman"/>
      <w:kern w:val="0"/>
      <w:sz w:val="24"/>
      <w:szCs w:val="24"/>
      <w:lang w:val="en-US" w:eastAsia="zh-CN" w:bidi="ar-SA"/>
    </w:rPr>
  </w:style>
  <w:style w:type="paragraph" w:customStyle="1" w:styleId="349">
    <w:name w:val="正文（首行缩进）"/>
    <w:semiHidden/>
    <w:qFormat/>
    <w:uiPriority w:val="99"/>
    <w:pPr>
      <w:overflowPunct w:val="0"/>
      <w:topLinePunct/>
      <w:autoSpaceDE w:val="0"/>
      <w:autoSpaceDN w:val="0"/>
      <w:adjustRightInd w:val="0"/>
      <w:snapToGrid w:val="0"/>
      <w:spacing w:line="360" w:lineRule="auto"/>
      <w:jc w:val="both"/>
    </w:pPr>
    <w:rPr>
      <w:rFonts w:ascii="Times New Roman" w:hAnsi="Times New Roman" w:eastAsia="宋体" w:cs="Times New Roman"/>
      <w:bCs/>
      <w:kern w:val="0"/>
      <w:sz w:val="24"/>
      <w:szCs w:val="24"/>
      <w:lang w:val="en-US" w:eastAsia="zh-CN" w:bidi="ar-SA"/>
    </w:rPr>
  </w:style>
  <w:style w:type="paragraph" w:customStyle="1" w:styleId="350">
    <w:name w:val="biant1"/>
    <w:basedOn w:val="1"/>
    <w:semiHidden/>
    <w:qFormat/>
    <w:uiPriority w:val="99"/>
    <w:pPr>
      <w:keepNext/>
      <w:keepLines/>
      <w:spacing w:line="360" w:lineRule="auto"/>
      <w:outlineLvl w:val="0"/>
    </w:pPr>
    <w:rPr>
      <w:rFonts w:hAnsi="Times New Roman"/>
      <w:b/>
      <w:bCs/>
      <w:kern w:val="44"/>
      <w:sz w:val="44"/>
      <w:szCs w:val="44"/>
    </w:rPr>
  </w:style>
  <w:style w:type="paragraph" w:customStyle="1" w:styleId="351">
    <w:name w:val="Heading 3"/>
    <w:basedOn w:val="1"/>
    <w:semiHidden/>
    <w:qFormat/>
    <w:uiPriority w:val="1"/>
    <w:pPr>
      <w:spacing w:before="27"/>
      <w:ind w:left="108"/>
      <w:outlineLvl w:val="3"/>
    </w:pPr>
    <w:rPr>
      <w:b/>
      <w:bCs/>
      <w:u w:val="single" w:color="000000"/>
      <w:lang w:eastAsia="en-US"/>
    </w:rPr>
  </w:style>
  <w:style w:type="paragraph" w:customStyle="1" w:styleId="352">
    <w:name w:val="Char12"/>
    <w:basedOn w:val="1"/>
    <w:semiHidden/>
    <w:qFormat/>
    <w:uiPriority w:val="99"/>
    <w:pPr>
      <w:spacing w:line="360" w:lineRule="auto"/>
      <w:ind w:firstLine="200" w:firstLineChars="200"/>
    </w:pPr>
  </w:style>
  <w:style w:type="paragraph" w:customStyle="1" w:styleId="353">
    <w:name w:val="03正文"/>
    <w:basedOn w:val="256"/>
    <w:semiHidden/>
    <w:qFormat/>
    <w:uiPriority w:val="99"/>
    <w:pPr>
      <w:adjustRightInd/>
      <w:spacing w:line="440" w:lineRule="exact"/>
      <w:ind w:firstLine="482"/>
      <w:jc w:val="left"/>
    </w:pPr>
    <w:rPr>
      <w:rFonts w:ascii="Times New Roman" w:hAnsi="Times New Roman"/>
      <w:szCs w:val="24"/>
    </w:rPr>
  </w:style>
  <w:style w:type="paragraph" w:customStyle="1" w:styleId="354">
    <w:name w:val="正文样式1"/>
    <w:basedOn w:val="1"/>
    <w:semiHidden/>
    <w:qFormat/>
    <w:uiPriority w:val="99"/>
    <w:pPr>
      <w:adjustRightInd w:val="0"/>
      <w:spacing w:line="288" w:lineRule="auto"/>
      <w:ind w:firstLine="360" w:firstLineChars="150"/>
    </w:pPr>
    <w:rPr>
      <w:rFonts w:ascii="Times New Roman" w:hAnsi="Times New Roman"/>
      <w:szCs w:val="20"/>
    </w:rPr>
  </w:style>
  <w:style w:type="paragraph" w:customStyle="1" w:styleId="355">
    <w:name w:val="表格中"/>
    <w:basedOn w:val="1"/>
    <w:semiHidden/>
    <w:qFormat/>
    <w:uiPriority w:val="99"/>
    <w:pPr>
      <w:spacing w:line="280" w:lineRule="exact"/>
      <w:jc w:val="center"/>
    </w:pPr>
    <w:rPr>
      <w:rFonts w:hAnsi="Times New Roman"/>
      <w:sz w:val="18"/>
    </w:rPr>
  </w:style>
  <w:style w:type="paragraph" w:customStyle="1" w:styleId="356">
    <w:name w:val="Heading 2"/>
    <w:basedOn w:val="1"/>
    <w:semiHidden/>
    <w:qFormat/>
    <w:uiPriority w:val="1"/>
    <w:pPr>
      <w:ind w:left="108"/>
      <w:outlineLvl w:val="2"/>
    </w:pPr>
    <w:rPr>
      <w:sz w:val="28"/>
      <w:szCs w:val="28"/>
      <w:lang w:eastAsia="en-US"/>
    </w:rPr>
  </w:style>
  <w:style w:type="paragraph" w:customStyle="1" w:styleId="357">
    <w:name w:val="p0"/>
    <w:basedOn w:val="1"/>
    <w:semiHidden/>
    <w:qFormat/>
    <w:uiPriority w:val="99"/>
    <w:rPr>
      <w:rFonts w:ascii="Times New Roman" w:hAnsi="Times New Roman"/>
      <w:sz w:val="20"/>
      <w:szCs w:val="20"/>
    </w:rPr>
  </w:style>
  <w:style w:type="paragraph" w:customStyle="1" w:styleId="358">
    <w:name w:val="Char Char Char1"/>
    <w:basedOn w:val="1"/>
    <w:semiHidden/>
    <w:qFormat/>
    <w:uiPriority w:val="99"/>
    <w:pPr>
      <w:adjustRightInd w:val="0"/>
      <w:snapToGrid w:val="0"/>
      <w:spacing w:line="360" w:lineRule="auto"/>
      <w:ind w:firstLine="200" w:firstLineChars="200"/>
    </w:pPr>
  </w:style>
  <w:style w:type="paragraph" w:customStyle="1" w:styleId="359">
    <w:name w:val="表头2"/>
    <w:basedOn w:val="1"/>
    <w:semiHidden/>
    <w:qFormat/>
    <w:uiPriority w:val="99"/>
    <w:pPr>
      <w:adjustRightInd w:val="0"/>
      <w:snapToGrid w:val="0"/>
      <w:spacing w:line="360" w:lineRule="auto"/>
      <w:ind w:firstLine="480" w:firstLineChars="200"/>
    </w:pPr>
    <w:rPr>
      <w:rFonts w:ascii="Times New Roman" w:hAnsi="Times New Roman" w:eastAsia="黑体"/>
    </w:rPr>
  </w:style>
  <w:style w:type="paragraph" w:customStyle="1" w:styleId="360">
    <w:name w:val="6.表格字体"/>
    <w:basedOn w:val="160"/>
    <w:qFormat/>
    <w:uiPriority w:val="0"/>
    <w:pPr>
      <w:spacing w:line="360" w:lineRule="exact"/>
    </w:pPr>
    <w:rPr>
      <w:rFonts w:ascii="宋体" w:hAnsi="宋体" w:eastAsia="宋体" w:cs="Times New Roman"/>
      <w:sz w:val="20"/>
      <w:szCs w:val="21"/>
    </w:rPr>
  </w:style>
  <w:style w:type="character" w:customStyle="1" w:styleId="361">
    <w:name w:val="1正文 Char"/>
    <w:link w:val="362"/>
    <w:semiHidden/>
    <w:qFormat/>
    <w:locked/>
    <w:uiPriority w:val="0"/>
    <w:rPr>
      <w:sz w:val="24"/>
    </w:rPr>
  </w:style>
  <w:style w:type="paragraph" w:customStyle="1" w:styleId="362">
    <w:name w:val="1正文"/>
    <w:basedOn w:val="1"/>
    <w:link w:val="361"/>
    <w:semiHidden/>
    <w:qFormat/>
    <w:uiPriority w:val="0"/>
    <w:pPr>
      <w:adjustRightInd w:val="0"/>
      <w:snapToGrid w:val="0"/>
      <w:spacing w:beforeLines="50" w:line="360" w:lineRule="auto"/>
      <w:ind w:firstLine="200" w:firstLineChars="200"/>
    </w:pPr>
    <w:rPr>
      <w:rFonts w:asciiTheme="minorHAnsi" w:hAnsiTheme="minorHAnsi" w:eastAsiaTheme="minorEastAsia" w:cstheme="minorBidi"/>
    </w:rPr>
  </w:style>
  <w:style w:type="paragraph" w:customStyle="1" w:styleId="363">
    <w:name w:val="报告表正文"/>
    <w:basedOn w:val="1"/>
    <w:semiHidden/>
    <w:qFormat/>
    <w:uiPriority w:val="99"/>
    <w:pPr>
      <w:adjustRightInd w:val="0"/>
      <w:spacing w:line="312" w:lineRule="auto"/>
      <w:ind w:left="113" w:right="113" w:firstLine="482"/>
    </w:pPr>
    <w:rPr>
      <w:rFonts w:ascii="Times New Roman" w:hAnsi="Times New Roman"/>
      <w:szCs w:val="20"/>
    </w:rPr>
  </w:style>
  <w:style w:type="character" w:customStyle="1" w:styleId="364">
    <w:name w:val="Subtle Emphasis"/>
    <w:qFormat/>
    <w:uiPriority w:val="19"/>
    <w:rPr>
      <w:i/>
      <w:iCs/>
      <w:color w:val="808080"/>
    </w:rPr>
  </w:style>
  <w:style w:type="character" w:customStyle="1" w:styleId="365">
    <w:name w:val="引用 Char1"/>
    <w:semiHidden/>
    <w:qFormat/>
    <w:uiPriority w:val="29"/>
    <w:rPr>
      <w:i/>
      <w:iCs/>
      <w:color w:val="000000"/>
      <w:kern w:val="2"/>
      <w:sz w:val="21"/>
      <w:szCs w:val="22"/>
    </w:rPr>
  </w:style>
  <w:style w:type="character" w:customStyle="1" w:styleId="366">
    <w:name w:val="表格5号"/>
    <w:semiHidden/>
    <w:qFormat/>
    <w:uiPriority w:val="0"/>
    <w:rPr>
      <w:rFonts w:hint="eastAsia" w:ascii="宋体" w:hAnsi="宋体" w:eastAsia="宋体"/>
      <w:kern w:val="0"/>
      <w:sz w:val="21"/>
      <w:szCs w:val="24"/>
      <w:lang w:val="en-US"/>
    </w:rPr>
  </w:style>
  <w:style w:type="character" w:customStyle="1" w:styleId="367">
    <w:name w:val="5正文 Char Char"/>
    <w:qFormat/>
    <w:uiPriority w:val="0"/>
    <w:rPr>
      <w:kern w:val="2"/>
      <w:sz w:val="24"/>
      <w:lang w:val="en-US" w:eastAsia="zh-CN" w:bidi="ar-SA"/>
    </w:rPr>
  </w:style>
  <w:style w:type="character" w:customStyle="1" w:styleId="368">
    <w:name w:val="引用 Char2"/>
    <w:link w:val="221"/>
    <w:qFormat/>
    <w:locked/>
    <w:uiPriority w:val="29"/>
    <w:rPr>
      <w:rFonts w:ascii="Calibri" w:hAnsi="Calibri" w:eastAsia="宋体" w:cs="Times New Roman"/>
      <w:iCs/>
      <w:color w:val="000000"/>
      <w:szCs w:val="21"/>
    </w:rPr>
  </w:style>
  <w:style w:type="character" w:customStyle="1" w:styleId="369">
    <w:name w:val="apple-style-span"/>
    <w:semiHidden/>
    <w:qFormat/>
    <w:uiPriority w:val="0"/>
    <w:rPr>
      <w:rFonts w:hint="eastAsia" w:ascii="宋体" w:hAnsi="宋体" w:eastAsia="宋体"/>
      <w:kern w:val="2"/>
      <w:sz w:val="24"/>
      <w:szCs w:val="24"/>
      <w:lang w:val="en-US" w:eastAsia="zh-CN" w:bidi="ar-SA"/>
    </w:rPr>
  </w:style>
  <w:style w:type="character" w:customStyle="1" w:styleId="370">
    <w:name w:val="t12h251"/>
    <w:semiHidden/>
    <w:qFormat/>
    <w:uiPriority w:val="0"/>
    <w:rPr>
      <w:color w:val="000000"/>
      <w:sz w:val="18"/>
      <w:szCs w:val="18"/>
      <w:u w:val="none"/>
    </w:rPr>
  </w:style>
  <w:style w:type="character" w:customStyle="1" w:styleId="371">
    <w:name w:val="6表格内容 Char"/>
    <w:semiHidden/>
    <w:uiPriority w:val="0"/>
    <w:rPr>
      <w:rFonts w:hint="eastAsia" w:ascii="宋体" w:hAnsi="宋体" w:eastAsia="宋体"/>
      <w:sz w:val="21"/>
      <w:lang w:val="en-US" w:eastAsia="zh-CN" w:bidi="ar-SA"/>
    </w:rPr>
  </w:style>
  <w:style w:type="character" w:customStyle="1" w:styleId="372">
    <w:name w:val="报告书正文 Char"/>
    <w:semiHidden/>
    <w:qFormat/>
    <w:uiPriority w:val="0"/>
    <w:rPr>
      <w:rFonts w:hint="default" w:ascii="Times New Roman" w:hAnsi="Times New Roman" w:eastAsia="宋体" w:cs="Times New Roman"/>
      <w:kern w:val="2"/>
      <w:sz w:val="24"/>
      <w:szCs w:val="24"/>
    </w:rPr>
  </w:style>
  <w:style w:type="character" w:customStyle="1" w:styleId="373">
    <w:name w:val="6表头 Char"/>
    <w:qFormat/>
    <w:locked/>
    <w:uiPriority w:val="0"/>
    <w:rPr>
      <w:rFonts w:hint="eastAsia" w:ascii="黑体" w:hAnsi="黑体" w:eastAsia="黑体"/>
      <w:sz w:val="24"/>
      <w:szCs w:val="24"/>
    </w:rPr>
  </w:style>
  <w:style w:type="character" w:customStyle="1" w:styleId="374">
    <w:name w:val="报告正文 Char1"/>
    <w:semiHidden/>
    <w:qFormat/>
    <w:uiPriority w:val="0"/>
    <w:rPr>
      <w:rFonts w:hint="eastAsia" w:ascii="宋体" w:hAnsi="Times New Roman" w:eastAsia="宋体" w:cs="Times New Roman"/>
      <w:sz w:val="28"/>
      <w:szCs w:val="20"/>
    </w:rPr>
  </w:style>
  <w:style w:type="character" w:customStyle="1" w:styleId="375">
    <w:name w:val="title-prefix"/>
    <w:basedOn w:val="133"/>
    <w:semiHidden/>
    <w:qFormat/>
    <w:uiPriority w:val="0"/>
  </w:style>
  <w:style w:type="character" w:customStyle="1" w:styleId="376">
    <w:name w:val="4正文 Char Char"/>
    <w:semiHidden/>
    <w:qFormat/>
    <w:locked/>
    <w:uiPriority w:val="0"/>
    <w:rPr>
      <w:sz w:val="24"/>
    </w:rPr>
  </w:style>
  <w:style w:type="character" w:customStyle="1" w:styleId="377">
    <w:name w:val="description"/>
    <w:basedOn w:val="133"/>
    <w:semiHidden/>
    <w:qFormat/>
    <w:uiPriority w:val="0"/>
  </w:style>
  <w:style w:type="character" w:customStyle="1" w:styleId="378">
    <w:name w:val="font71"/>
    <w:semiHidden/>
    <w:qFormat/>
    <w:uiPriority w:val="0"/>
    <w:rPr>
      <w:rFonts w:hint="default" w:ascii="Times New Roman" w:hAnsi="Times New Roman" w:cs="Times New Roman"/>
      <w:color w:val="000000"/>
      <w:sz w:val="22"/>
      <w:szCs w:val="22"/>
      <w:u w:val="none"/>
      <w:vertAlign w:val="subscript"/>
    </w:rPr>
  </w:style>
  <w:style w:type="character" w:customStyle="1" w:styleId="379">
    <w:name w:val="font51"/>
    <w:semiHidden/>
    <w:qFormat/>
    <w:uiPriority w:val="0"/>
    <w:rPr>
      <w:rFonts w:hint="default" w:ascii="Times New Roman" w:hAnsi="Times New Roman" w:cs="Times New Roman"/>
      <w:color w:val="000000"/>
      <w:sz w:val="22"/>
      <w:szCs w:val="22"/>
      <w:u w:val="none"/>
      <w:vertAlign w:val="superscript"/>
    </w:rPr>
  </w:style>
  <w:style w:type="character" w:customStyle="1" w:styleId="380">
    <w:name w:val="font21"/>
    <w:semiHidden/>
    <w:qFormat/>
    <w:uiPriority w:val="0"/>
    <w:rPr>
      <w:rFonts w:hint="default" w:ascii="Arial" w:hAnsi="Arial" w:cs="Arial"/>
      <w:color w:val="000000"/>
      <w:sz w:val="21"/>
      <w:szCs w:val="21"/>
      <w:u w:val="none"/>
    </w:rPr>
  </w:style>
  <w:style w:type="character" w:customStyle="1" w:styleId="381">
    <w:name w:val="铭洁 右对齐表头"/>
    <w:semiHidden/>
    <w:qFormat/>
    <w:uiPriority w:val="0"/>
    <w:rPr>
      <w:rFonts w:hint="default" w:ascii="Times New Roman" w:hAnsi="Times New Roman" w:eastAsia="黑体" w:cs="Times New Roman"/>
      <w:color w:val="FF00FF"/>
      <w:sz w:val="24"/>
      <w:szCs w:val="24"/>
    </w:rPr>
  </w:style>
  <w:style w:type="character" w:customStyle="1" w:styleId="382">
    <w:name w:val="15"/>
    <w:semiHidden/>
    <w:qFormat/>
    <w:uiPriority w:val="0"/>
    <w:rPr>
      <w:rFonts w:hint="default" w:ascii="Times New Roman" w:hAnsi="Times New Roman" w:cs="Times New Roman"/>
      <w:sz w:val="24"/>
    </w:rPr>
  </w:style>
  <w:style w:type="character" w:customStyle="1" w:styleId="383">
    <w:name w:val="标题 4 Char11"/>
    <w:semiHidden/>
    <w:qFormat/>
    <w:uiPriority w:val="0"/>
    <w:rPr>
      <w:rFonts w:hint="eastAsia" w:ascii="黑体" w:hAnsi="Arial" w:eastAsia="黑体"/>
      <w:b/>
      <w:kern w:val="2"/>
      <w:sz w:val="24"/>
    </w:rPr>
  </w:style>
  <w:style w:type="character" w:customStyle="1" w:styleId="384">
    <w:name w:val="font11"/>
    <w:semiHidden/>
    <w:qFormat/>
    <w:uiPriority w:val="0"/>
    <w:rPr>
      <w:rFonts w:hint="default" w:ascii="Times New Roman" w:hAnsi="Times New Roman" w:cs="Times New Roman"/>
      <w:color w:val="000000"/>
      <w:sz w:val="21"/>
      <w:szCs w:val="21"/>
      <w:u w:val="none"/>
    </w:rPr>
  </w:style>
  <w:style w:type="character" w:customStyle="1" w:styleId="385">
    <w:name w:val="正文（首行缩进两字） Char Char Char"/>
    <w:semiHidden/>
    <w:uiPriority w:val="0"/>
  </w:style>
  <w:style w:type="character" w:customStyle="1" w:styleId="386">
    <w:name w:val="c8"/>
    <w:basedOn w:val="133"/>
    <w:semiHidden/>
    <w:uiPriority w:val="0"/>
  </w:style>
  <w:style w:type="character" w:customStyle="1" w:styleId="387">
    <w:name w:val="批注文字 Char1"/>
    <w:semiHidden/>
    <w:qFormat/>
    <w:uiPriority w:val="99"/>
    <w:rPr>
      <w:rFonts w:hint="default" w:ascii="Calibri" w:hAnsi="Calibri" w:eastAsia="宋体" w:cs="Times New Roman"/>
    </w:rPr>
  </w:style>
  <w:style w:type="character" w:customStyle="1" w:styleId="388">
    <w:name w:val="文档结构图 Char1"/>
    <w:semiHidden/>
    <w:qFormat/>
    <w:uiPriority w:val="99"/>
    <w:rPr>
      <w:rFonts w:hint="eastAsia" w:ascii="宋体" w:hAnsi="Calibri" w:eastAsia="宋体" w:cs="Times New Roman"/>
      <w:sz w:val="18"/>
      <w:szCs w:val="18"/>
    </w:rPr>
  </w:style>
  <w:style w:type="character" w:customStyle="1" w:styleId="389">
    <w:name w:val="批注框文本 Char1"/>
    <w:semiHidden/>
    <w:qFormat/>
    <w:uiPriority w:val="99"/>
    <w:rPr>
      <w:rFonts w:hint="default" w:ascii="Calibri" w:hAnsi="Calibri" w:eastAsia="宋体" w:cs="Times New Roman"/>
      <w:sz w:val="18"/>
      <w:szCs w:val="18"/>
    </w:rPr>
  </w:style>
  <w:style w:type="character" w:customStyle="1" w:styleId="390">
    <w:name w:val="脚注文本 Char1"/>
    <w:semiHidden/>
    <w:qFormat/>
    <w:uiPriority w:val="99"/>
    <w:rPr>
      <w:rFonts w:hint="default" w:ascii="Calibri" w:hAnsi="Calibri" w:eastAsia="宋体" w:cs="Times New Roman"/>
      <w:sz w:val="18"/>
      <w:szCs w:val="18"/>
    </w:rPr>
  </w:style>
  <w:style w:type="character" w:customStyle="1" w:styleId="391">
    <w:name w:val="批注主题 Char1"/>
    <w:semiHidden/>
    <w:qFormat/>
    <w:uiPriority w:val="99"/>
    <w:rPr>
      <w:rFonts w:hint="default" w:ascii="Calibri" w:hAnsi="Calibri" w:eastAsia="宋体" w:cs="Times New Roman"/>
      <w:b/>
      <w:bCs/>
    </w:rPr>
  </w:style>
  <w:style w:type="character" w:customStyle="1" w:styleId="392">
    <w:name w:val="引用 Char3"/>
    <w:semiHidden/>
    <w:qFormat/>
    <w:uiPriority w:val="29"/>
    <w:rPr>
      <w:rFonts w:hint="default" w:ascii="Calibri" w:hAnsi="Calibri" w:eastAsia="宋体" w:cs="Times New Roman"/>
      <w:i/>
      <w:iCs/>
      <w:color w:val="000000"/>
    </w:rPr>
  </w:style>
  <w:style w:type="character" w:customStyle="1" w:styleId="393">
    <w:name w:val="font31"/>
    <w:semiHidden/>
    <w:qFormat/>
    <w:uiPriority w:val="0"/>
    <w:rPr>
      <w:rFonts w:hint="eastAsia" w:ascii="宋体" w:hAnsi="宋体" w:eastAsia="宋体" w:cs="宋体"/>
      <w:color w:val="000000"/>
      <w:sz w:val="22"/>
      <w:szCs w:val="22"/>
      <w:u w:val="none"/>
    </w:rPr>
  </w:style>
  <w:style w:type="character" w:customStyle="1" w:styleId="394">
    <w:name w:val="font41"/>
    <w:semiHidden/>
    <w:qFormat/>
    <w:uiPriority w:val="0"/>
    <w:rPr>
      <w:rFonts w:hint="default" w:ascii="Times New Roman" w:hAnsi="Times New Roman" w:cs="Times New Roman"/>
      <w:color w:val="000000"/>
      <w:sz w:val="21"/>
      <w:szCs w:val="21"/>
      <w:u w:val="none"/>
    </w:rPr>
  </w:style>
  <w:style w:type="table" w:customStyle="1" w:styleId="395">
    <w:name w:val="Table Normal"/>
    <w:semiHidden/>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table" w:customStyle="1" w:styleId="396">
    <w:name w:val="样式3"/>
    <w:semiHidden/>
    <w:qFormat/>
    <w:uiPriority w:val="99"/>
    <w:pPr>
      <w:jc w:val="center"/>
    </w:pPr>
    <w:rPr>
      <w:rFonts w:ascii="Times New Roman" w:hAnsi="Times New Roman"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0" w:type="dxa"/>
        <w:bottom w:w="0" w:type="dxa"/>
        <w:right w:w="0" w:type="dxa"/>
      </w:tblCellMar>
    </w:tblPr>
    <w:tcPr>
      <w:vAlign w:val="center"/>
    </w:tcPr>
  </w:style>
  <w:style w:type="character" w:customStyle="1" w:styleId="397">
    <w:name w:val="00正文 Char"/>
    <w:link w:val="398"/>
    <w:qFormat/>
    <w:uiPriority w:val="0"/>
    <w:rPr>
      <w:sz w:val="24"/>
      <w:szCs w:val="24"/>
    </w:rPr>
  </w:style>
  <w:style w:type="paragraph" w:customStyle="1" w:styleId="398">
    <w:name w:val="00正文"/>
    <w:link w:val="397"/>
    <w:qFormat/>
    <w:uiPriority w:val="0"/>
    <w:pPr>
      <w:widowControl w:val="0"/>
      <w:spacing w:line="520" w:lineRule="exact"/>
      <w:ind w:firstLine="480" w:firstLineChars="200"/>
      <w:jc w:val="both"/>
    </w:pPr>
    <w:rPr>
      <w:rFonts w:asciiTheme="minorHAnsi" w:hAnsiTheme="minorHAnsi" w:eastAsiaTheme="minorEastAsia" w:cstheme="minorBidi"/>
      <w:kern w:val="2"/>
      <w:sz w:val="24"/>
      <w:szCs w:val="24"/>
      <w:lang w:val="en-US" w:eastAsia="zh-CN" w:bidi="ar-SA"/>
    </w:rPr>
  </w:style>
  <w:style w:type="character" w:customStyle="1" w:styleId="399">
    <w:name w:val="批注文字 字符2"/>
    <w:qFormat/>
    <w:locked/>
    <w:uiPriority w:val="99"/>
    <w:rPr>
      <w:rFonts w:ascii="Times New Roman" w:hAnsi="Times New Roman" w:eastAsia="宋体"/>
      <w:sz w:val="24"/>
    </w:rPr>
  </w:style>
  <w:style w:type="paragraph" w:customStyle="1" w:styleId="400">
    <w:name w:val="3表格内2级标题"/>
    <w:next w:val="167"/>
    <w:qFormat/>
    <w:uiPriority w:val="0"/>
    <w:pPr>
      <w:spacing w:line="520" w:lineRule="exact"/>
    </w:pPr>
    <w:rPr>
      <w:rFonts w:ascii="Times New Roman" w:hAnsi="Times New Roman" w:eastAsia="楷体" w:cs="Times New Roman"/>
      <w:b/>
      <w:color w:val="000000"/>
      <w:kern w:val="2"/>
      <w:sz w:val="24"/>
      <w:szCs w:val="24"/>
      <w:lang w:val="en-US" w:eastAsia="zh-CN" w:bidi="ar-SA"/>
    </w:rPr>
  </w:style>
  <w:style w:type="paragraph" w:customStyle="1" w:styleId="401">
    <w:name w:val="刘正文"/>
    <w:basedOn w:val="1"/>
    <w:qFormat/>
    <w:uiPriority w:val="0"/>
    <w:pPr>
      <w:spacing w:line="460" w:lineRule="exact"/>
      <w:ind w:firstLine="480" w:firstLineChars="200"/>
    </w:pPr>
    <w:rPr>
      <w:rFonts w:ascii="Times New Roman" w:hAnsi="Times New Roman"/>
      <w:color w:val="000000"/>
    </w:rPr>
  </w:style>
  <w:style w:type="character" w:customStyle="1" w:styleId="402">
    <w:name w:val="普通(网站) Char"/>
    <w:link w:val="81"/>
    <w:qFormat/>
    <w:locked/>
    <w:uiPriority w:val="0"/>
    <w:rPr>
      <w:rFonts w:ascii="Times New Roman" w:hAnsi="Times New Roman" w:eastAsia="宋体" w:cs="Times New Roman"/>
      <w:sz w:val="24"/>
      <w:szCs w:val="24"/>
    </w:rPr>
  </w:style>
  <w:style w:type="character" w:styleId="403">
    <w:name w:val="Placeholder Text"/>
    <w:basedOn w:val="13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0"/>
    <customShpInfo spid="_x0000_s2077"/>
    <customShpInfo spid="_x0000_s2078"/>
    <customShpInfo spid="_x0000_s2053"/>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D516C-E103-4C19-AEC6-5735F61DFF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140</Words>
  <Characters>172</Characters>
  <Lines>486</Lines>
  <Paragraphs>137</Paragraphs>
  <TotalTime>2462</TotalTime>
  <ScaleCrop>false</ScaleCrop>
  <LinksUpToDate>false</LinksUpToDate>
  <CharactersWithSpaces>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2025-07-02T09:29:00Z</dcterms:created>
  <dc:creator>Administrator</dc:creator>
  <cp:lastModifiedBy>烟雨任平生</cp:lastModifiedBy>
  <cp:lastPrinted>2025-08-20T01:46:00Z</cp:lastPrinted>
  <dcterms:modified xsi:type="dcterms:W3CDTF">2025-09-18T08:14:19Z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eyJoZGlkIjoiMzRhMTgyNzM1ZjhjNzcwNjE3NDM5NDUxOWI5YTQzNDMiLCJ1c2VySWQiOiIzNTE1MTc0NjAifQ==</vt:lpwstr>
  </property>
  <property fmtid="{D5CDD505-2E9C-101B-9397-08002B2CF9AE}" pid="3" name="KSOProductBuildVer">
    <vt:lpwstr>2052-12.1.0.22529</vt:lpwstr>
  </property>
  <property fmtid="{D5CDD505-2E9C-101B-9397-08002B2CF9AE}" pid="4" name="ICV">
    <vt:lpwstr>0A2443D2DE834BD5962006CEB3E4B063_12</vt:lpwstr>
  </property>
</Properties>
</file>