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AC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spacing w:val="10"/>
          <w:w w:val="10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10"/>
          <w:w w:val="100"/>
          <w:kern w:val="0"/>
          <w:sz w:val="44"/>
          <w:szCs w:val="44"/>
          <w:lang w:eastAsia="zh-CN"/>
        </w:rPr>
        <w:t>中共洛阳市偃师区林业局党组</w:t>
      </w:r>
    </w:p>
    <w:p w14:paraId="164D2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spacing w:val="10"/>
          <w:w w:val="10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10"/>
          <w:w w:val="100"/>
          <w:kern w:val="0"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10"/>
          <w:w w:val="100"/>
          <w:kern w:val="0"/>
          <w:sz w:val="44"/>
          <w:szCs w:val="44"/>
          <w:lang w:eastAsia="zh-CN"/>
        </w:rPr>
        <w:t>区委第二巡察组反馈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10"/>
          <w:w w:val="100"/>
          <w:kern w:val="0"/>
          <w:sz w:val="44"/>
          <w:szCs w:val="44"/>
          <w:lang w:val="en-US" w:eastAsia="zh-CN"/>
        </w:rPr>
        <w:t>意见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10"/>
          <w:w w:val="100"/>
          <w:kern w:val="0"/>
          <w:sz w:val="44"/>
          <w:szCs w:val="44"/>
          <w:lang w:eastAsia="zh-CN"/>
        </w:rPr>
        <w:t>整改落实</w:t>
      </w:r>
    </w:p>
    <w:p w14:paraId="7A2C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spacing w:val="10"/>
          <w:w w:val="10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10"/>
          <w:w w:val="100"/>
          <w:kern w:val="0"/>
          <w:sz w:val="44"/>
          <w:szCs w:val="44"/>
          <w:lang w:val="en-US" w:eastAsia="zh-CN"/>
        </w:rPr>
        <w:t>情况的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10"/>
          <w:w w:val="100"/>
          <w:kern w:val="0"/>
          <w:sz w:val="44"/>
          <w:szCs w:val="44"/>
          <w:lang w:eastAsia="zh-CN"/>
        </w:rPr>
        <w:t>报告</w:t>
      </w:r>
    </w:p>
    <w:p w14:paraId="024F2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2318A0D6">
      <w:pPr>
        <w:pStyle w:val="2"/>
        <w:spacing w:after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区委巡察工作领导小组：</w:t>
      </w:r>
    </w:p>
    <w:p w14:paraId="39657256">
      <w:pPr>
        <w:pStyle w:val="2"/>
        <w:ind w:firstLine="640" w:firstLineChars="200"/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根据区委统一部署，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月15日至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1月2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日，区委第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巡察组对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区林业局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党组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了常规巡察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并于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月2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反馈了巡察意见。接到反馈意见后，区林业局党组高度重视，立即召开党组会议，成立以党组主要负责人为组长的整改工作领导小组，研究制定整改方案，全面压实工作责任，确保各项整改工作按时保质完成，并取得了显著成效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highlight w:val="none"/>
        </w:rPr>
        <w:t>按照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highlight w:val="none"/>
          <w:lang w:val="en-US" w:eastAsia="zh-CN"/>
        </w:rPr>
        <w:t>巡察工作有关要求，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现将整改情况报告如下：</w:t>
      </w:r>
    </w:p>
    <w:p w14:paraId="4C86E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一、坚持三级联动，确保整改工作有序推进</w:t>
      </w:r>
    </w:p>
    <w:p w14:paraId="6B212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color w:val="000000"/>
          <w:sz w:val="32"/>
          <w:szCs w:val="32"/>
          <w:lang w:val="en-US" w:eastAsia="zh-CN"/>
        </w:rPr>
        <w:t>一是主要领导全面抓。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区林业局党组对巡察反馈意见诚恳接受、照单全改，主要领导扛起第一责任人责任，把巡察整改工作摆上重要议事日程，将反馈问题整改列入党组会议固定议题，认真研究整改方案、整改措施和整改时限，每周听取分管班子成员整改进度汇报，发现问题，现场协调解决，</w:t>
      </w:r>
      <w:r>
        <w:rPr>
          <w:rFonts w:hint="eastAsia" w:ascii="Times New Roman" w:hAnsi="Times New Roman" w:eastAsia="华文仿宋" w:cs="Times New Roman"/>
          <w:b w:val="0"/>
          <w:bCs w:val="0"/>
          <w:color w:val="000000"/>
          <w:sz w:val="32"/>
          <w:szCs w:val="32"/>
          <w:lang w:val="en-US" w:eastAsia="zh-CN"/>
        </w:rPr>
        <w:t>确保整改工作有序推进。</w:t>
      </w:r>
    </w:p>
    <w:p w14:paraId="4420D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华文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color w:val="000000"/>
          <w:sz w:val="32"/>
          <w:szCs w:val="32"/>
          <w:lang w:val="en-US" w:eastAsia="zh-CN"/>
        </w:rPr>
        <w:t>二是分管领导具体抓。</w:t>
      </w:r>
      <w:r>
        <w:rPr>
          <w:rFonts w:hint="eastAsia" w:ascii="Times New Roman" w:hAnsi="Times New Roman" w:eastAsia="华文仿宋" w:cs="Times New Roman"/>
          <w:b w:val="0"/>
          <w:bCs w:val="0"/>
          <w:color w:val="000000"/>
          <w:sz w:val="32"/>
          <w:szCs w:val="32"/>
          <w:lang w:val="en-US" w:eastAsia="zh-CN"/>
        </w:rPr>
        <w:t>分管班子成员按照整改方案要求，带领科室负责人逐条对照整改清单，组织精干力量深入实地进行调研调查，研究制定切实可行的整改办法。坚持一般问题不过夜，较难问题不过周，最难问题不过月，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确保整改工作全面完成。</w:t>
      </w:r>
    </w:p>
    <w:p w14:paraId="09806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华文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color w:val="000000"/>
          <w:sz w:val="32"/>
          <w:szCs w:val="32"/>
          <w:lang w:val="en-US" w:eastAsia="zh-CN"/>
        </w:rPr>
        <w:t>三是科室负责人抓落实。</w:t>
      </w:r>
      <w:r>
        <w:rPr>
          <w:rFonts w:hint="eastAsia" w:ascii="Times New Roman" w:hAnsi="Times New Roman" w:eastAsia="华文仿宋" w:cs="Times New Roman"/>
          <w:b w:val="0"/>
          <w:bCs w:val="0"/>
          <w:color w:val="000000"/>
          <w:sz w:val="32"/>
          <w:szCs w:val="32"/>
          <w:lang w:val="en-US" w:eastAsia="zh-CN"/>
        </w:rPr>
        <w:t>科室负责人以高度负责的担当精神抓落实，把需要整改的问题梳理归类，认真剖析问题产生的原因，实行标号管理，按照时间节点逐个销号，确保在规定时间内问题归零。</w:t>
      </w:r>
    </w:p>
    <w:p w14:paraId="247BC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color w:val="000000"/>
          <w:sz w:val="32"/>
          <w:szCs w:val="32"/>
          <w:lang w:val="en-US" w:eastAsia="zh-CN"/>
        </w:rPr>
        <w:t>四是强化成果运用。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区林业局党组认真落实整改要求，修订完善了机关各项工作制度，规范了财务、干部人事等内部管理制度，严格执行工作纪律，规范各类经费的使用管理，通过建章立制，举一反三，从源头上切实巩固巡察整改成果。</w:t>
      </w:r>
    </w:p>
    <w:p w14:paraId="491C4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二、坚持真抓真改，确保整改工作取得真正成效</w:t>
      </w:r>
    </w:p>
    <w:p w14:paraId="2760D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1、上轮巡察反馈问题整改情况</w:t>
      </w:r>
    </w:p>
    <w:p w14:paraId="030BC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（1）个别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巡察反馈问题未整改。</w:t>
      </w:r>
    </w:p>
    <w:p w14:paraId="5EF41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整改结果：</w:t>
      </w:r>
      <w:r>
        <w:rPr>
          <w:rFonts w:hint="default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已完成／长期坚持</w:t>
      </w:r>
    </w:p>
    <w:p w14:paraId="7877E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val="en-US" w:eastAsia="zh-CN"/>
        </w:rPr>
        <w:t>找准问题根源。确定了“先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eastAsia="zh-CN"/>
        </w:rPr>
        <w:t>摸底调查、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val="en-US" w:eastAsia="zh-CN"/>
        </w:rPr>
        <w:t>再逐步收回、后发展林下经济”的基本思路。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eastAsia="zh-CN"/>
        </w:rPr>
        <w:t>6月底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eastAsia="zh-CN"/>
        </w:rPr>
        <w:t>，一期招商标段承包绿化合同和绿化现状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val="en-US" w:eastAsia="zh-CN"/>
        </w:rPr>
        <w:t>工作完成摸底排查，为全面整改打下了坚实基础。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二是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加大收回力度。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eastAsia="zh-CN"/>
        </w:rPr>
        <w:t>对一期招商标段签订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的9份共计1329亩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eastAsia="zh-CN"/>
        </w:rPr>
        <w:t>承包绿化合同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，逐一与招商标段承包人进行谈判，目前已自愿解除合同5家，收回土地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792.4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亩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三是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实施招商盘活。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通过外出考察，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与意向投资人多次深入洽谈，一期林地发展林下经济系统的规划方案已制定完成。</w:t>
      </w:r>
    </w:p>
    <w:p w14:paraId="2AEF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2、</w:t>
      </w: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党组领导核心作用发挥不够充分，执行上级关于生态文明建设的重大决策部署不够有力，林业资源管护还有薄弱环节</w:t>
      </w:r>
    </w:p>
    <w:p w14:paraId="0BCCF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（2）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履行绿化及管护职能不到位。</w:t>
      </w:r>
    </w:p>
    <w:p w14:paraId="0526F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整改结果：</w:t>
      </w:r>
      <w:r>
        <w:rPr>
          <w:rFonts w:hint="default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已完成／长期坚持</w:t>
      </w:r>
    </w:p>
    <w:p w14:paraId="76B661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一是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eastAsia="zh-CN"/>
        </w:rPr>
        <w:t>提前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eastAsia="zh-CN"/>
        </w:rPr>
        <w:t>谋划，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val="en-US" w:eastAsia="zh-CN"/>
        </w:rPr>
        <w:t>增强造林主动性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u w:val="none"/>
          <w:lang w:val="en-US" w:eastAsia="zh-CN" w:bidi="ar"/>
        </w:rPr>
        <w:t>深挖造林空间，于1～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3月在缑氏镇邢村、孙坡南部山区开展植被恢复费造林1693亩；3～5月建设2025年度省级森林乡村21个，较上年增加12个。二是加强管护，提高造林保存率。及时制定新造林管护措施，对造林保存率低的地块进行补植补栽，完工后移交至当地村委或荒山承包户进行管护。三是明确责任，深入推行林长制。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区、镇、村三级林长、“一长两员”（林长+监管员+护林员）组织体系已进一步完善，出台了《区级部门协作制度》，明确了助理协作单位工作职责。</w:t>
      </w:r>
    </w:p>
    <w:p w14:paraId="35653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（3）森林防护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有短板。</w:t>
      </w:r>
    </w:p>
    <w:p w14:paraId="609E3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整改结果：</w:t>
      </w:r>
      <w:r>
        <w:rPr>
          <w:rFonts w:hint="default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已完成／长期坚持</w:t>
      </w:r>
    </w:p>
    <w:p w14:paraId="2B9E1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扎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实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做好病虫害防治。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2025年6月按技术规范在山张林场、首阳山森林公园及主要通道安装诱捕器80套；开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展生物防治释放周氏啮小蜂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200万余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头，实施“以虫治虫”。二是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持续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强化森林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防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灭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火。今年上半年开展技能培训和实战演练各1次。针对重大气象灾害（高温）三级应急响应，对重点林区增派巡查人员，山张林场采用无人机监测；扑火队伍全员备勤，制止3起林区野炊用火。</w:t>
      </w:r>
    </w:p>
    <w:p w14:paraId="06921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（4）</w:t>
      </w: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林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业资源监管不到位。</w:t>
      </w:r>
    </w:p>
    <w:p w14:paraId="0B287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26DCE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落实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法律顾问制度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目前，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已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eastAsia="zh-CN"/>
        </w:rPr>
        <w:t>聘请河南铭志律师事务所作为我局常年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法律顾问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规范采伐更新验收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对2023年以来办理的所有采伐证，逐一电话联系督促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责任人，要求及时完成伐后更新、落实占地平衡，并按规定申请验收。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加强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古树名木保护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已及时更正古树名木电子台账信息，并为相关古树名木重新制作、发放并悬挂规范标牌，确保信息准确、标牌清晰牢固。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四是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注重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野生动物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救助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val="en-US" w:eastAsia="zh-CN"/>
        </w:rPr>
        <w:t>今年以来，累计成功救助国家保护野生动物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val="en-US" w:eastAsia="zh-CN"/>
        </w:rPr>
        <w:t>次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4只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五是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增强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湿地保护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意识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目前，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《偃师区湿地名录》已正式公布，明确了辖区内6处湿地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的名称、位置等信息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/>
        </w:rPr>
        <w:t>；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按要求编制完成了《偃师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/>
        </w:rPr>
        <w:t>伊洛河省级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湿地公园项目实施方案》。</w:t>
      </w:r>
    </w:p>
    <w:p w14:paraId="778E9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林技推广创新不够。</w:t>
      </w:r>
    </w:p>
    <w:p w14:paraId="6F9CB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27550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挖掘林业人才资源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。完成乡土林业人才摸底调查并建立信息库，现有国家级“乡土专家”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1名、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省级“乡土专家”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名。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强化林业技术服务。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组织果树专家深入高龙镇、缑氏镇，开展春季枣树管理培训及葡萄结果期实地指导，培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训超100人次。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提升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林业产业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水平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。今年以来先后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u w:val="none" w:color="auto"/>
          <w:lang w:val="en-US" w:eastAsia="zh-CN"/>
        </w:rPr>
        <w:t>完成皂角产业发展及采刺技术、菊花产业、黄杨产业等调研</w:t>
      </w:r>
      <w:r>
        <w:rPr>
          <w:rFonts w:hint="eastAsia" w:ascii="Times New Roman" w:hAnsi="Times New Roman" w:eastAsia="华文仿宋" w:cs="Times New Roman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u w:val="none" w:color="auto"/>
          <w:lang w:val="en-US" w:eastAsia="zh-CN"/>
        </w:rPr>
        <w:t>11个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u w:val="none" w:color="auto"/>
          <w:lang w:val="en-US" w:eastAsia="zh-CN"/>
        </w:rPr>
        <w:t>。</w:t>
      </w:r>
    </w:p>
    <w:p w14:paraId="21F4F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（6）</w:t>
      </w: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“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两山”理念践行不深。</w:t>
      </w:r>
    </w:p>
    <w:p w14:paraId="39A4C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42EDD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积极实施“三山”文旅项目。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依托双龙山、首阳山、虎头山优质森林生态资源，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重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点实施了总投资4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00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余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万元的双龙山景区提升改造项目、投资4000万元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的双龙溪森林旅游康养项目；谋划了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首阳山北邙生态保护修复项目，目前设计方案已完成第三稿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；虎头山提升改造专项债项目已“三通过”，设计方案已完成。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二是全力加强公园日常管理。克服公园面积大、经费少、力量弱、天气旱等不利条件，在树木管护、卫生保洁、设施维护、森林防火、抗旱浇水等方面投入大量人力物力，公园管理水平逐步提高。三是大力发展林业特色产业。上半年专项对黄杨、葡萄、绿化苗木等种植、产业发展进行调研，形成高质量报告，为产业优化升级提供决策参考。</w:t>
      </w:r>
    </w:p>
    <w:p w14:paraId="644CC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华文仿宋" w:cs="Times New Roman"/>
          <w:b/>
          <w:bCs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3、履行全面从严治党</w:t>
      </w:r>
      <w:r>
        <w:rPr>
          <w:rFonts w:hint="eastAsia" w:ascii="Times New Roman" w:hAnsi="Times New Roman" w:eastAsia="华文仿宋" w:cs="Times New Roman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华文仿宋" w:cs="Times New Roman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两个责任</w:t>
      </w:r>
      <w:r>
        <w:rPr>
          <w:rFonts w:hint="eastAsia" w:ascii="Times New Roman" w:hAnsi="Times New Roman" w:eastAsia="华文仿宋" w:cs="Times New Roman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华文仿宋" w:cs="Times New Roman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不严不实，干部队伍管理宽松软，廉政风险依然存在方面</w:t>
      </w:r>
    </w:p>
    <w:p w14:paraId="51755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）全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面从严治党责任履行不力。</w:t>
      </w:r>
    </w:p>
    <w:p w14:paraId="4C648F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5DC605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一是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专题研究部署，层层传导压力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。上半年，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局党组书记与年轻干部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开展集体廉政谈话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次、与党组班子成员开展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廉政谈话各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2次，党组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班子成员与部门同志分别开展廉政谈话2次。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二是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深化廉政教育，推进以案促改。今年以来，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局党组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已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召开3次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“以案促改”工作会议，通过剖析本层级本领域典型案例，做到以案明纪释法。三是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val="en-US" w:eastAsia="zh-CN"/>
        </w:rPr>
        <w:t>强化机关管理，严格落实制度。规定使用公车，严格规范考勤及请销假制度，着力塑造纪律严明、高效务实的机关形象。</w:t>
      </w:r>
    </w:p>
    <w:p w14:paraId="0DD84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（8）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财务制度执行不严格。</w:t>
      </w:r>
    </w:p>
    <w:p w14:paraId="396A4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0BE561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val="en-US" w:eastAsia="zh-CN"/>
        </w:rPr>
        <w:t>完善内部审计制度。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成立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专班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，推动内部审计常态化、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val="en-US" w:eastAsia="zh-CN"/>
        </w:rPr>
        <w:t>长效化，有效防控管理风险、业务风险和廉政风险。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  <w:t>二是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val="en-US" w:eastAsia="zh-CN"/>
        </w:rPr>
        <w:t>规范政府采购流程。认真组织学习政府采购法、招标投标法等相关法律法规、区政府采购流程，将项目询价及招投标手续办理抓在平常，严格按规定执行，避免不规范手续发生。</w:t>
      </w:r>
    </w:p>
    <w:p w14:paraId="2AC5D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华文仿宋" w:cs="Times New Roman"/>
          <w:b/>
          <w:bCs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4、落实新时代党的组织路线有偏差，基层党建工作不够有力方面</w:t>
      </w:r>
    </w:p>
    <w:p w14:paraId="0F7BB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华文仿宋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（9）执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行干部选拔任用条例不严。</w:t>
      </w:r>
    </w:p>
    <w:p w14:paraId="1ACE86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61D84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规范任用程序。严把选人用人政治关、品行关、能力关、作风关、廉洁关，严格提名推荐、集体研究、民主测评等程序。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二是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全面摸清底子。全方位、多角度、近距离了解干部，进行综合分析研判，为党组选人用人提供依据和参考。三是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u w:val="none"/>
          <w:lang w:val="en-US" w:eastAsia="zh-CN"/>
        </w:rPr>
        <w:t>严格配备职数。按照“三定”方案核定的股级领导职数，对超权限任命的岗位进行了清理调整。</w:t>
      </w:r>
    </w:p>
    <w:p w14:paraId="20970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（10）落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实民主集中制不到位。</w:t>
      </w:r>
    </w:p>
    <w:p w14:paraId="0FB91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7FA31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健全议事规则和程序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严格遵循“集体领导、民主集中、个别酝酿、会议决定”原则。二是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严格执行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三重一大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制度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党组会议议题涉及“三重一大”事项，均邀请派驻纪检组全程到会指导监督，确保决策科学民主、合规高效。</w:t>
      </w:r>
    </w:p>
    <w:p w14:paraId="587FD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（11）党建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工作标准不高，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  <w:t>“三会一课”不扎实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u w:val="none"/>
          <w:lang w:val="en-US" w:eastAsia="zh-CN"/>
        </w:rPr>
        <w:t>。</w:t>
      </w:r>
    </w:p>
    <w:p w14:paraId="4744A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07067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eastAsia" w:ascii="华文仿宋" w:hAnsi="华文仿宋" w:eastAsia="华文仿宋" w:cs="华文仿宋"/>
          <w:b w:val="0"/>
          <w:bCs/>
          <w:color w:val="000000"/>
          <w:spacing w:val="0"/>
          <w:sz w:val="32"/>
          <w:szCs w:val="32"/>
          <w:u w:val="none"/>
          <w:lang w:val="en-US" w:eastAsia="zh-CN"/>
        </w:rPr>
        <w:t>加强责任落实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1月26日、7月22日两次局党组会议专题研究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部署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了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全系统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党建工作，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对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各支部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党建工作做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了示范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引领</w:t>
      </w:r>
      <w:r>
        <w:rPr>
          <w:rFonts w:hint="default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二是提升思想认识。三是夯实组织基础。四是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val="en-US" w:eastAsia="zh-CN"/>
        </w:rPr>
        <w:t>丰富党建内容。举办了一系列主题活动，使全系统干部职工凝聚力、战斗力得到持续增强。</w:t>
      </w:r>
    </w:p>
    <w:p w14:paraId="0A0F9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（12）落实意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识形态责任制还有差距。</w:t>
      </w:r>
    </w:p>
    <w:p w14:paraId="3FA88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316FC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落实主体责任。坚持每季度召开一次意识形态工作联席会议，及时传达上级有关精神，专题分析研判林业领域重大风险问题，将意识形态工作融入林业业务工作全流程各环节。二是</w:t>
      </w:r>
      <w:r>
        <w:rPr>
          <w:rFonts w:hint="eastAsia" w:ascii="华文仿宋" w:hAnsi="华文仿宋" w:eastAsia="华文仿宋" w:cs="华文仿宋"/>
          <w:b w:val="0"/>
          <w:bCs/>
          <w:color w:val="000000"/>
          <w:spacing w:val="0"/>
          <w:sz w:val="32"/>
          <w:szCs w:val="32"/>
          <w:u w:val="none"/>
          <w:lang w:val="en-US" w:eastAsia="zh-CN"/>
        </w:rPr>
        <w:t>强化理论武装。制定《区林业局党组理论学习中心组2025年度学习计划》，今年以来，局党组理论学习中心组共开展集体学习8次、集中学习研讨5次，党组成员重点发言5人次。</w:t>
      </w:r>
    </w:p>
    <w:p w14:paraId="193EC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华文楷体" w:hAnsi="华文楷体" w:eastAsia="华文楷体" w:cs="华文楷体"/>
          <w:b/>
          <w:bCs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（二）选人用人专项检查反馈问题</w:t>
      </w:r>
    </w:p>
    <w:p w14:paraId="23B23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1、干部队伍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u w:val="none"/>
          <w:lang w:val="en-US" w:eastAsia="zh-CN"/>
        </w:rPr>
        <w:t>建设有差距。</w:t>
      </w:r>
    </w:p>
    <w:p w14:paraId="3D70C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45B35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调优干部队伍年龄结构。二是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加强干部队伍梯次培养。</w:t>
      </w:r>
    </w:p>
    <w:p w14:paraId="1D9991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落实干部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u w:val="none"/>
          <w:lang w:val="en-US" w:eastAsia="zh-CN"/>
        </w:rPr>
        <w:t>政策不严格。</w:t>
      </w:r>
    </w:p>
    <w:p w14:paraId="45498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 xml:space="preserve">    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729C3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eastAsia" w:ascii="Times New Roman" w:hAnsi="Times New Roman" w:eastAsia="华文仿宋" w:cs="Times New Roman"/>
          <w:color w:val="000000"/>
          <w:spacing w:val="0"/>
          <w:sz w:val="32"/>
          <w:szCs w:val="32"/>
          <w:u w:val="none"/>
          <w:lang w:val="en-US" w:eastAsia="zh-CN"/>
        </w:rPr>
        <w:t>调查摸底。二是通盘考虑。</w:t>
      </w:r>
    </w:p>
    <w:p w14:paraId="6866CC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华文仿宋" w:cs="Times New Roman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color w:val="000000"/>
          <w:sz w:val="32"/>
          <w:szCs w:val="32"/>
          <w:u w:val="none"/>
          <w:lang w:val="en-US" w:eastAsia="zh-CN"/>
        </w:rPr>
        <w:t>选人用人质量不高。</w:t>
      </w:r>
    </w:p>
    <w:p w14:paraId="2CFF4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 xml:space="preserve">    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6A60B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提升质量。二是从严把关。</w:t>
      </w:r>
    </w:p>
    <w:p w14:paraId="7C558B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u w:val="none"/>
          <w:lang w:val="en-US" w:eastAsia="zh-CN"/>
        </w:rPr>
        <w:t>执行选人用人政策程序不规范。</w:t>
      </w:r>
    </w:p>
    <w:p w14:paraId="55447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 xml:space="preserve">    整改结果：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32"/>
          <w:szCs w:val="32"/>
          <w:lang w:val="en-US" w:eastAsia="zh-CN"/>
        </w:rPr>
        <w:t>已完成／长期坚持</w:t>
      </w:r>
    </w:p>
    <w:p w14:paraId="235D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整改情况：一是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严格程序。二是发扬民主。</w:t>
      </w:r>
    </w:p>
    <w:p w14:paraId="103E3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u w:val="none"/>
          <w:lang w:val="en-US" w:eastAsia="zh-CN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u w:val="none"/>
          <w:lang w:val="en-US" w:eastAsia="zh-CN"/>
        </w:rPr>
        <w:t>、坚持整改成果，确保工作成效持续提升</w:t>
      </w:r>
    </w:p>
    <w:p w14:paraId="1E6DA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经过四个月的集中攻坚，区林业局党组巡察整改工作取得了阶段性成效。局党组班子和成员、全体干部职工深刻感受到巡察带来的思想触动，切实增强了树立“四个意识”、践行“两个维护”的思想自觉和行动自觉。</w:t>
      </w:r>
    </w:p>
    <w:p w14:paraId="3255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下一步我们将以此次巡察整改为契机，进一步提高政治站位，严格贯彻新时代党的建设总要求不动摇；严格履行主体责任，拧紧管党治党螺丝；严格监督责任，强化压力传导。</w:t>
      </w:r>
    </w:p>
    <w:p w14:paraId="4F0ED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eastAsia="zh-CN"/>
        </w:rPr>
      </w:pPr>
    </w:p>
    <w:p w14:paraId="52A04950">
      <w:pPr>
        <w:pStyle w:val="2"/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  <w:lang w:eastAsia="zh-CN"/>
        </w:rPr>
      </w:pPr>
    </w:p>
    <w:p w14:paraId="3BE7D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2071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u w:val="none"/>
          <w:lang w:val="en-US" w:eastAsia="zh-CN"/>
        </w:rPr>
        <w:t>2025年10月9日</w:t>
      </w:r>
    </w:p>
    <w:sectPr>
      <w:footerReference r:id="rId3" w:type="default"/>
      <w:pgSz w:w="11906" w:h="16838"/>
      <w:pgMar w:top="1701" w:right="1418" w:bottom="1417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B0C6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64DD4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164DD4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A3514"/>
    <w:multiLevelType w:val="singleLevel"/>
    <w:tmpl w:val="68DA351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8DA352A"/>
    <w:multiLevelType w:val="singleLevel"/>
    <w:tmpl w:val="68DA352A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68DA3541"/>
    <w:multiLevelType w:val="singleLevel"/>
    <w:tmpl w:val="68DA354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F250AD"/>
    <w:rsid w:val="24E8008F"/>
    <w:rsid w:val="3F8E04C6"/>
    <w:rsid w:val="44B71B49"/>
    <w:rsid w:val="4C526172"/>
    <w:rsid w:val="4E143B1F"/>
    <w:rsid w:val="51C70EA9"/>
    <w:rsid w:val="577A33CF"/>
    <w:rsid w:val="78C338C8"/>
    <w:rsid w:val="7B5D2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0"/>
    <w:pPr>
      <w:wordWrap w:val="0"/>
      <w:spacing w:after="60" w:afterLines="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">
    <w:name w:val="Default"/>
    <w:basedOn w:val="1"/>
    <w:next w:val="5"/>
    <w:qFormat/>
    <w:uiPriority w:val="0"/>
    <w:pPr>
      <w:widowControl w:val="0"/>
      <w:autoSpaceDE w:val="0"/>
      <w:autoSpaceDN w:val="0"/>
      <w:adjustRightInd w:val="0"/>
    </w:pPr>
    <w:rPr>
      <w:rFonts w:ascii="方正大标宋简体" w:hAnsi="方正大标宋简体" w:eastAsia="方正大标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3799</Words>
  <Characters>3857</Characters>
  <Lines>0</Lines>
  <Paragraphs>0</Paragraphs>
  <TotalTime>15</TotalTime>
  <ScaleCrop>false</ScaleCrop>
  <LinksUpToDate>false</LinksUpToDate>
  <CharactersWithSpaces>3869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2025-08-16T00:56:00Z</dcterms:created>
  <dc:creator>lenovo</dc:creator>
  <cp:lastModifiedBy>WPS_1564656432</cp:lastModifiedBy>
  <cp:lastPrinted>2025-09-29T00:48:00Z</cp:lastPrinted>
  <dcterms:modified xsi:type="dcterms:W3CDTF">2025-10-09T02:41:28Z</dcterms:modified>
  <dc:title>中共洛阳市偃师区林业局党组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667A7A97B5B3448F8E69D12E2E01F5A0_13</vt:lpwstr>
  </property>
  <property fmtid="{D5CDD505-2E9C-101B-9397-08002B2CF9AE}" pid="4" name="KSOTemplateDocerSaveRecord">
    <vt:lpwstr>eyJoZGlkIjoiNGZmYzA1OTZmMTAyNzJkMmExZTljYWRiYTgzOGUwNmIiLCJ1c2VySWQiOiI2MjUyMTg4MzAifQ==</vt:lpwstr>
  </property>
</Properties>
</file>